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45A" w:rsidRDefault="0017045A" w:rsidP="007642E3">
      <w:pPr>
        <w:rPr>
          <w:b/>
        </w:rPr>
      </w:pPr>
      <w:bookmarkStart w:id="0" w:name="_GoBack"/>
      <w:bookmarkEnd w:id="0"/>
      <w:r>
        <w:rPr>
          <w:b/>
          <w:noProof/>
          <w:lang w:eastAsia="en-ZA"/>
        </w:rPr>
        <w:drawing>
          <wp:anchor distT="0" distB="0" distL="114300" distR="114300" simplePos="0" relativeHeight="251661312" behindDoc="0" locked="0" layoutInCell="1" allowOverlap="1">
            <wp:simplePos x="0" y="0"/>
            <wp:positionH relativeFrom="column">
              <wp:posOffset>1787525</wp:posOffset>
            </wp:positionH>
            <wp:positionV relativeFrom="paragraph">
              <wp:posOffset>-323850</wp:posOffset>
            </wp:positionV>
            <wp:extent cx="1905000" cy="581025"/>
            <wp:effectExtent l="19050" t="0" r="0" b="0"/>
            <wp:wrapSquare wrapText="bothSides"/>
            <wp:docPr id="7" name="Picture 1" descr="WSU Neg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U Nega_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581025"/>
                    </a:xfrm>
                    <a:prstGeom prst="rect">
                      <a:avLst/>
                    </a:prstGeom>
                    <a:noFill/>
                    <a:ln w="9525">
                      <a:noFill/>
                      <a:miter lim="800000"/>
                      <a:headEnd/>
                      <a:tailEnd/>
                    </a:ln>
                  </pic:spPr>
                </pic:pic>
              </a:graphicData>
            </a:graphic>
          </wp:anchor>
        </w:drawing>
      </w:r>
      <w:r w:rsidR="00710EAA">
        <w:rPr>
          <w:b/>
        </w:rPr>
        <w:t xml:space="preserve"> </w:t>
      </w:r>
      <w:r>
        <w:rPr>
          <w:b/>
        </w:rPr>
        <w:tab/>
      </w:r>
      <w:r>
        <w:rPr>
          <w:b/>
        </w:rPr>
        <w:tab/>
      </w:r>
      <w:r>
        <w:rPr>
          <w:b/>
        </w:rPr>
        <w:tab/>
      </w:r>
    </w:p>
    <w:p w:rsidR="0017045A" w:rsidRDefault="0017045A" w:rsidP="007642E3">
      <w:pPr>
        <w:rPr>
          <w:b/>
        </w:rPr>
      </w:pPr>
    </w:p>
    <w:p w:rsidR="008D1FBA" w:rsidRPr="00B77191" w:rsidRDefault="005558EA" w:rsidP="005558EA">
      <w:pPr>
        <w:spacing w:line="360" w:lineRule="auto"/>
        <w:ind w:right="-858"/>
        <w:rPr>
          <w:rFonts w:ascii="Tahoma" w:hAnsi="Tahoma" w:cs="Tahoma"/>
          <w:b/>
          <w:lang w:eastAsia="en-GB"/>
        </w:rPr>
      </w:pPr>
      <w:r>
        <w:rPr>
          <w:rFonts w:ascii="Tahoma" w:hAnsi="Tahoma" w:cs="Tahoma"/>
          <w:b/>
          <w:lang w:eastAsia="en-GB"/>
        </w:rPr>
        <w:t xml:space="preserve">                                       </w:t>
      </w:r>
      <w:r w:rsidR="008D1FBA" w:rsidRPr="00B77191">
        <w:rPr>
          <w:rFonts w:ascii="Tahoma" w:hAnsi="Tahoma" w:cs="Tahoma"/>
          <w:b/>
          <w:lang w:eastAsia="en-GB"/>
        </w:rPr>
        <w:t>WALTER SISULU UNIVERSITY (19)</w:t>
      </w:r>
    </w:p>
    <w:p w:rsidR="008D1FBA" w:rsidRPr="00B77191" w:rsidRDefault="005558EA" w:rsidP="008D1FBA">
      <w:pPr>
        <w:spacing w:after="200" w:line="276" w:lineRule="auto"/>
        <w:jc w:val="center"/>
        <w:rPr>
          <w:rFonts w:ascii="Calibri" w:eastAsia="Calibri" w:hAnsi="Calibri"/>
          <w:b/>
          <w:sz w:val="36"/>
          <w:lang w:val="en-US"/>
        </w:rPr>
      </w:pPr>
      <w:r>
        <w:rPr>
          <w:rFonts w:ascii="Tahoma" w:hAnsi="Tahoma" w:cs="Tahoma"/>
          <w:b/>
          <w:noProof/>
          <w:lang w:eastAsia="en-ZA"/>
        </w:rPr>
        <w:drawing>
          <wp:anchor distT="0" distB="0" distL="114300" distR="114300" simplePos="0" relativeHeight="251659264" behindDoc="0" locked="0" layoutInCell="1" allowOverlap="1">
            <wp:simplePos x="0" y="0"/>
            <wp:positionH relativeFrom="column">
              <wp:posOffset>1466850</wp:posOffset>
            </wp:positionH>
            <wp:positionV relativeFrom="paragraph">
              <wp:posOffset>388620</wp:posOffset>
            </wp:positionV>
            <wp:extent cx="2225675" cy="771525"/>
            <wp:effectExtent l="19050" t="0" r="3175" b="0"/>
            <wp:wrapSquare wrapText="bothSides"/>
            <wp:docPr id="1" name="Picture 1" descr="Descriptio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5675" cy="771525"/>
                    </a:xfrm>
                    <a:prstGeom prst="rect">
                      <a:avLst/>
                    </a:prstGeom>
                    <a:noFill/>
                    <a:ln>
                      <a:noFill/>
                    </a:ln>
                  </pic:spPr>
                </pic:pic>
              </a:graphicData>
            </a:graphic>
          </wp:anchor>
        </w:drawing>
      </w:r>
      <w:r w:rsidR="008D1FBA" w:rsidRPr="00B77191">
        <w:rPr>
          <w:rFonts w:ascii="Tahoma" w:hAnsi="Tahoma" w:cs="Tahoma"/>
          <w:b/>
          <w:lang w:eastAsia="en-GB"/>
        </w:rPr>
        <w:t>F</w:t>
      </w:r>
      <w:r w:rsidR="008D1FBA">
        <w:rPr>
          <w:rFonts w:ascii="Tahoma" w:hAnsi="Tahoma" w:cs="Tahoma"/>
          <w:b/>
          <w:lang w:eastAsia="en-GB"/>
        </w:rPr>
        <w:t>ACULTY</w:t>
      </w:r>
      <w:r w:rsidR="008D1FBA" w:rsidRPr="00B77191">
        <w:rPr>
          <w:rFonts w:ascii="Tahoma" w:hAnsi="Tahoma" w:cs="Tahoma"/>
          <w:b/>
          <w:lang w:eastAsia="en-GB"/>
        </w:rPr>
        <w:t xml:space="preserve"> OF BUSINESS, MANAGEMENT AND ECONOMICS</w:t>
      </w:r>
    </w:p>
    <w:p w:rsidR="0017045A" w:rsidRDefault="0017045A" w:rsidP="007642E3">
      <w:pPr>
        <w:rPr>
          <w:b/>
        </w:rPr>
      </w:pPr>
    </w:p>
    <w:p w:rsidR="0017045A" w:rsidRDefault="0017045A" w:rsidP="007642E3">
      <w:pPr>
        <w:rPr>
          <w:b/>
        </w:rPr>
      </w:pPr>
    </w:p>
    <w:p w:rsidR="007642E3" w:rsidRDefault="007642E3" w:rsidP="007642E3">
      <w:pPr>
        <w:rPr>
          <w:b/>
        </w:rPr>
      </w:pPr>
    </w:p>
    <w:p w:rsidR="008D1FBA" w:rsidRPr="0073518C" w:rsidRDefault="008D1FBA" w:rsidP="008D1FBA">
      <w:pPr>
        <w:shd w:val="clear" w:color="auto" w:fill="333333"/>
        <w:spacing w:after="0" w:line="240" w:lineRule="auto"/>
        <w:rPr>
          <w:rFonts w:ascii="Verdana" w:eastAsia="Times New Roman" w:hAnsi="Verdana" w:cs="Times New Roman"/>
          <w:b/>
          <w:bCs/>
          <w:color w:val="EEEEEE"/>
          <w:sz w:val="26"/>
          <w:szCs w:val="26"/>
          <w:lang w:eastAsia="en-ZA"/>
        </w:rPr>
      </w:pPr>
      <w:r w:rsidRPr="0073518C">
        <w:rPr>
          <w:rFonts w:ascii="Verdana" w:eastAsia="Times New Roman" w:hAnsi="Verdana" w:cs="Times New Roman"/>
          <w:color w:val="EEEEEE"/>
          <w:sz w:val="21"/>
          <w:szCs w:val="21"/>
          <w:lang w:eastAsia="en-ZA"/>
        </w:rPr>
        <w:t>Application summary</w:t>
      </w:r>
    </w:p>
    <w:p w:rsidR="008D1FBA" w:rsidRPr="005558EA" w:rsidRDefault="008D1FBA" w:rsidP="008D1FBA">
      <w:pPr>
        <w:shd w:val="clear" w:color="auto" w:fill="F9F9F9"/>
        <w:spacing w:after="0" w:line="240" w:lineRule="auto"/>
        <w:rPr>
          <w:rFonts w:ascii="Verdana" w:eastAsia="Times New Roman" w:hAnsi="Verdana" w:cs="Times New Roman"/>
          <w:color w:val="262626" w:themeColor="text1" w:themeTint="D9"/>
          <w:sz w:val="21"/>
          <w:szCs w:val="21"/>
          <w:lang w:eastAsia="en-ZA"/>
        </w:rPr>
      </w:pPr>
      <w:r w:rsidRPr="005558EA">
        <w:rPr>
          <w:rFonts w:ascii="Verdana" w:eastAsia="Times New Roman" w:hAnsi="Verdana" w:cs="Times New Roman"/>
          <w:color w:val="262626" w:themeColor="text1" w:themeTint="D9"/>
          <w:sz w:val="21"/>
          <w:szCs w:val="21"/>
          <w:lang w:eastAsia="en-ZA"/>
        </w:rPr>
        <w:t>Institution </w:t>
      </w:r>
      <w:r w:rsidRPr="005558EA">
        <w:rPr>
          <w:rFonts w:ascii="Verdana" w:eastAsia="Times New Roman" w:hAnsi="Verdana" w:cs="Times New Roman"/>
          <w:b/>
          <w:bCs/>
          <w:color w:val="262626" w:themeColor="text1" w:themeTint="D9"/>
          <w:sz w:val="21"/>
          <w:szCs w:val="21"/>
          <w:lang w:eastAsia="en-ZA"/>
        </w:rPr>
        <w:t>Walter Sisulu University (H19)</w:t>
      </w:r>
      <w:r w:rsidRPr="005558EA">
        <w:rPr>
          <w:rFonts w:ascii="Verdana" w:eastAsia="Times New Roman" w:hAnsi="Verdana" w:cs="Times New Roman"/>
          <w:color w:val="262626" w:themeColor="text1" w:themeTint="D9"/>
          <w:sz w:val="21"/>
          <w:szCs w:val="21"/>
          <w:lang w:eastAsia="en-ZA"/>
        </w:rPr>
        <w:br/>
        <w:t>Qualification reference </w:t>
      </w:r>
      <w:r w:rsidRPr="005558EA">
        <w:rPr>
          <w:rFonts w:ascii="Verdana" w:eastAsia="Times New Roman" w:hAnsi="Verdana" w:cs="Times New Roman"/>
          <w:b/>
          <w:bCs/>
          <w:color w:val="262626" w:themeColor="text1" w:themeTint="D9"/>
          <w:sz w:val="21"/>
          <w:szCs w:val="21"/>
          <w:lang w:eastAsia="en-ZA"/>
        </w:rPr>
        <w:t>Advanced Diploma in Public Management (BTPMA)</w:t>
      </w:r>
    </w:p>
    <w:tbl>
      <w:tblPr>
        <w:tblW w:w="8839" w:type="dxa"/>
        <w:tblInd w:w="75" w:type="dxa"/>
        <w:tblBorders>
          <w:top w:val="single" w:sz="6" w:space="0" w:color="CACACA"/>
          <w:left w:val="single" w:sz="6" w:space="0" w:color="CACACA"/>
          <w:bottom w:val="single" w:sz="6" w:space="0" w:color="CACACA"/>
          <w:right w:val="single" w:sz="6" w:space="0" w:color="CACACA"/>
        </w:tblBorders>
        <w:shd w:val="clear" w:color="auto" w:fill="FFFFFF"/>
        <w:tblCellMar>
          <w:left w:w="0" w:type="dxa"/>
          <w:right w:w="0" w:type="dxa"/>
        </w:tblCellMar>
        <w:tblLook w:val="04A0" w:firstRow="1" w:lastRow="0" w:firstColumn="1" w:lastColumn="0" w:noHBand="0" w:noVBand="1"/>
      </w:tblPr>
      <w:tblGrid>
        <w:gridCol w:w="1267"/>
        <w:gridCol w:w="7572"/>
      </w:tblGrid>
      <w:tr w:rsidR="008D1FBA" w:rsidRPr="005558EA" w:rsidTr="005558EA">
        <w:trPr>
          <w:trHeight w:val="481"/>
        </w:trPr>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8D1FBA" w:rsidRPr="005558EA" w:rsidRDefault="008D1FBA" w:rsidP="004C1995">
            <w:pPr>
              <w:spacing w:after="0" w:line="240" w:lineRule="auto"/>
              <w:rPr>
                <w:rFonts w:eastAsia="Times New Roman" w:cs="Times New Roman"/>
                <w:color w:val="262626" w:themeColor="text1" w:themeTint="D9"/>
                <w:lang w:eastAsia="en-ZA"/>
              </w:rPr>
            </w:pPr>
            <w:r w:rsidRPr="005558EA">
              <w:rPr>
                <w:rFonts w:eastAsia="Times New Roman" w:cs="Times New Roman"/>
                <w:color w:val="262626" w:themeColor="text1" w:themeTint="D9"/>
                <w:lang w:eastAsia="en-ZA"/>
              </w:rPr>
              <w:t>Comment type</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8D1FBA" w:rsidRPr="005558EA" w:rsidRDefault="008D1FBA" w:rsidP="004C1995">
            <w:pPr>
              <w:spacing w:after="0" w:line="240" w:lineRule="auto"/>
              <w:rPr>
                <w:rFonts w:eastAsia="Times New Roman" w:cs="Times New Roman"/>
                <w:color w:val="262626" w:themeColor="text1" w:themeTint="D9"/>
                <w:lang w:eastAsia="en-ZA"/>
              </w:rPr>
            </w:pPr>
            <w:r w:rsidRPr="005558EA">
              <w:rPr>
                <w:rFonts w:eastAsia="Times New Roman" w:cs="Times New Roman"/>
                <w:color w:val="262626" w:themeColor="text1" w:themeTint="D9"/>
                <w:lang w:eastAsia="en-ZA"/>
              </w:rPr>
              <w:t>Comment</w:t>
            </w:r>
          </w:p>
        </w:tc>
      </w:tr>
      <w:tr w:rsidR="008D1FBA" w:rsidRPr="005558EA" w:rsidTr="005558EA">
        <w:trPr>
          <w:trHeight w:val="2388"/>
        </w:trPr>
        <w:tc>
          <w:tcPr>
            <w:tcW w:w="0" w:type="auto"/>
            <w:tcBorders>
              <w:bottom w:val="nil"/>
              <w:right w:val="single" w:sz="6" w:space="0" w:color="E2E2E2"/>
            </w:tcBorders>
            <w:shd w:val="clear" w:color="auto" w:fill="F5F5F5"/>
            <w:tcMar>
              <w:top w:w="90" w:type="dxa"/>
              <w:left w:w="90" w:type="dxa"/>
              <w:bottom w:w="90" w:type="dxa"/>
              <w:right w:w="90" w:type="dxa"/>
            </w:tcMar>
            <w:hideMark/>
          </w:tcPr>
          <w:p w:rsidR="008D1FBA" w:rsidRPr="005558EA" w:rsidRDefault="008D1FBA" w:rsidP="004C1995">
            <w:pPr>
              <w:spacing w:after="0" w:line="240" w:lineRule="auto"/>
              <w:rPr>
                <w:rFonts w:eastAsia="Times New Roman" w:cs="Times New Roman"/>
                <w:color w:val="262626" w:themeColor="text1" w:themeTint="D9"/>
                <w:lang w:eastAsia="en-ZA"/>
              </w:rPr>
            </w:pPr>
            <w:r w:rsidRPr="005558EA">
              <w:rPr>
                <w:rFonts w:eastAsia="Times New Roman" w:cs="Times New Roman"/>
                <w:color w:val="262626" w:themeColor="text1" w:themeTint="D9"/>
                <w:lang w:eastAsia="en-ZA"/>
              </w:rPr>
              <w:t>Review comments</w:t>
            </w:r>
          </w:p>
        </w:tc>
        <w:tc>
          <w:tcPr>
            <w:tcW w:w="0" w:type="auto"/>
            <w:tcBorders>
              <w:top w:val="nil"/>
              <w:left w:val="nil"/>
              <w:bottom w:val="nil"/>
              <w:right w:val="nil"/>
            </w:tcBorders>
            <w:shd w:val="clear" w:color="auto" w:fill="F5F5F5"/>
            <w:tcMar>
              <w:top w:w="90" w:type="dxa"/>
              <w:left w:w="90" w:type="dxa"/>
              <w:bottom w:w="90" w:type="dxa"/>
              <w:right w:w="90" w:type="dxa"/>
            </w:tcMar>
            <w:hideMark/>
          </w:tcPr>
          <w:p w:rsidR="008D1FBA" w:rsidRPr="005558EA" w:rsidRDefault="008D1FBA" w:rsidP="004C1995">
            <w:pPr>
              <w:spacing w:after="0" w:line="240" w:lineRule="auto"/>
              <w:rPr>
                <w:rFonts w:eastAsia="Times New Roman" w:cs="Times New Roman"/>
                <w:color w:val="262626" w:themeColor="text1" w:themeTint="D9"/>
                <w:lang w:eastAsia="en-ZA"/>
              </w:rPr>
            </w:pPr>
            <w:r w:rsidRPr="005558EA">
              <w:rPr>
                <w:rFonts w:eastAsia="Times New Roman" w:cs="Times New Roman"/>
                <w:color w:val="262626" w:themeColor="text1" w:themeTint="D9"/>
                <w:lang w:eastAsia="en-ZA"/>
              </w:rPr>
              <w:t>This programme needs improvement. Remove designator, other designator, motivation for other designator, as this is not required for the Advanced Dioloma. Provide a description of how the curriculum of the programme has been redesigned so that it alignes with the HEQSF. The intended purpose is also not clear. Programme design details refers to Year 4 while this is a 1 year programme. The assessment strategy does not indicate the constructive alignment of the programme design, teaching and learning strategy, and assessment procedures to the learning outcomes.</w:t>
            </w:r>
          </w:p>
        </w:tc>
      </w:tr>
    </w:tbl>
    <w:p w:rsidR="008D1FBA" w:rsidRPr="005558EA" w:rsidRDefault="008D1FBA" w:rsidP="007642E3">
      <w:pPr>
        <w:rPr>
          <w:rFonts w:eastAsia="Times New Roman" w:cs="Times New Roman"/>
          <w:color w:val="262626" w:themeColor="text1" w:themeTint="D9"/>
          <w:lang w:eastAsia="en-ZA"/>
        </w:rPr>
      </w:pPr>
      <w:r w:rsidRPr="005558EA">
        <w:rPr>
          <w:rFonts w:eastAsia="Times New Roman" w:cs="Times New Roman"/>
          <w:color w:val="262626" w:themeColor="text1" w:themeTint="D9"/>
          <w:lang w:eastAsia="en-ZA"/>
        </w:rPr>
        <w:t>This programme needs improvement.</w:t>
      </w:r>
      <w:r w:rsidR="005558EA">
        <w:rPr>
          <w:rFonts w:eastAsia="Times New Roman" w:cs="Times New Roman"/>
          <w:color w:val="262626" w:themeColor="text1" w:themeTint="D9"/>
          <w:lang w:eastAsia="en-ZA"/>
        </w:rPr>
        <w:t>(Summary of issues identified)</w:t>
      </w:r>
    </w:p>
    <w:p w:rsidR="008D1FBA" w:rsidRPr="005558EA" w:rsidRDefault="008D1FBA" w:rsidP="008D1FBA">
      <w:pPr>
        <w:pStyle w:val="ListParagraph"/>
        <w:numPr>
          <w:ilvl w:val="0"/>
          <w:numId w:val="10"/>
        </w:numPr>
        <w:rPr>
          <w:b/>
          <w:color w:val="262626" w:themeColor="text1" w:themeTint="D9"/>
        </w:rPr>
      </w:pPr>
      <w:r w:rsidRPr="005558EA">
        <w:rPr>
          <w:rFonts w:eastAsia="Times New Roman" w:cs="Times New Roman"/>
          <w:color w:val="262626" w:themeColor="text1" w:themeTint="D9"/>
          <w:lang w:eastAsia="en-ZA"/>
        </w:rPr>
        <w:t xml:space="preserve">Remove designator, other designator, motivation for other designator, as this is not required for the Advanced Diploma. </w:t>
      </w:r>
    </w:p>
    <w:p w:rsidR="008D1FBA" w:rsidRPr="005558EA" w:rsidRDefault="008D1FBA" w:rsidP="008D1FBA">
      <w:pPr>
        <w:pStyle w:val="ListParagraph"/>
        <w:numPr>
          <w:ilvl w:val="1"/>
          <w:numId w:val="10"/>
        </w:numPr>
        <w:rPr>
          <w:b/>
          <w:color w:val="262626" w:themeColor="text1" w:themeTint="D9"/>
        </w:rPr>
      </w:pPr>
      <w:r w:rsidRPr="005558EA">
        <w:rPr>
          <w:rFonts w:eastAsia="Times New Roman" w:cs="Times New Roman"/>
          <w:color w:val="262626" w:themeColor="text1" w:themeTint="D9"/>
          <w:lang w:eastAsia="en-ZA"/>
        </w:rPr>
        <w:t>The designator</w:t>
      </w:r>
      <w:r w:rsidR="005774D2">
        <w:rPr>
          <w:rFonts w:eastAsia="Times New Roman" w:cs="Times New Roman"/>
          <w:color w:val="262626" w:themeColor="text1" w:themeTint="D9"/>
          <w:lang w:eastAsia="en-ZA"/>
        </w:rPr>
        <w:t xml:space="preserve"> namely </w:t>
      </w:r>
      <w:r w:rsidR="005774D2" w:rsidRPr="005774D2">
        <w:rPr>
          <w:rFonts w:eastAsia="Times New Roman" w:cs="Times New Roman"/>
          <w:b/>
          <w:color w:val="262626" w:themeColor="text1" w:themeTint="D9"/>
          <w:lang w:eastAsia="en-ZA"/>
        </w:rPr>
        <w:t>business management</w:t>
      </w:r>
      <w:r w:rsidRPr="005558EA">
        <w:rPr>
          <w:rFonts w:eastAsia="Times New Roman" w:cs="Times New Roman"/>
          <w:color w:val="262626" w:themeColor="text1" w:themeTint="D9"/>
          <w:lang w:eastAsia="en-ZA"/>
        </w:rPr>
        <w:t xml:space="preserve"> </w:t>
      </w:r>
      <w:r w:rsidR="005558EA" w:rsidRPr="005558EA">
        <w:rPr>
          <w:rFonts w:eastAsia="Times New Roman" w:cs="Times New Roman"/>
          <w:color w:val="262626" w:themeColor="text1" w:themeTint="D9"/>
          <w:lang w:eastAsia="en-ZA"/>
        </w:rPr>
        <w:t xml:space="preserve">must be removed as well as </w:t>
      </w:r>
      <w:r w:rsidRPr="005558EA">
        <w:rPr>
          <w:rFonts w:eastAsia="Times New Roman" w:cs="Times New Roman"/>
          <w:color w:val="262626" w:themeColor="text1" w:themeTint="D9"/>
          <w:lang w:eastAsia="en-ZA"/>
        </w:rPr>
        <w:t>the related motivation</w:t>
      </w:r>
      <w:r w:rsidR="005558EA" w:rsidRPr="005558EA">
        <w:rPr>
          <w:rFonts w:eastAsia="Times New Roman" w:cs="Times New Roman"/>
          <w:color w:val="262626" w:themeColor="text1" w:themeTint="D9"/>
          <w:lang w:eastAsia="en-ZA"/>
        </w:rPr>
        <w:t xml:space="preserve"> so as to align it with the HEQSF</w:t>
      </w:r>
    </w:p>
    <w:p w:rsidR="008D1FBA" w:rsidRPr="005558EA" w:rsidRDefault="008D1FBA" w:rsidP="008D1FBA">
      <w:pPr>
        <w:pStyle w:val="ListParagraph"/>
        <w:numPr>
          <w:ilvl w:val="0"/>
          <w:numId w:val="10"/>
        </w:numPr>
        <w:rPr>
          <w:b/>
          <w:color w:val="262626" w:themeColor="text1" w:themeTint="D9"/>
        </w:rPr>
      </w:pPr>
      <w:r w:rsidRPr="005558EA">
        <w:rPr>
          <w:rFonts w:eastAsia="Times New Roman" w:cs="Times New Roman"/>
          <w:color w:val="262626" w:themeColor="text1" w:themeTint="D9"/>
          <w:lang w:eastAsia="en-ZA"/>
        </w:rPr>
        <w:lastRenderedPageBreak/>
        <w:t xml:space="preserve">Provide a description of how the curriculum of the programme has been redesigned so that it aligns with the HEQSF. </w:t>
      </w:r>
    </w:p>
    <w:p w:rsidR="005558EA" w:rsidRPr="005558EA" w:rsidRDefault="005558EA" w:rsidP="005558EA">
      <w:pPr>
        <w:pStyle w:val="ListParagraph"/>
        <w:numPr>
          <w:ilvl w:val="1"/>
          <w:numId w:val="10"/>
        </w:numPr>
        <w:rPr>
          <w:b/>
          <w:color w:val="262626" w:themeColor="text1" w:themeTint="D9"/>
        </w:rPr>
      </w:pPr>
      <w:r w:rsidRPr="005558EA">
        <w:rPr>
          <w:rFonts w:eastAsia="Times New Roman" w:cs="Times New Roman"/>
          <w:color w:val="262626" w:themeColor="text1" w:themeTint="D9"/>
          <w:lang w:eastAsia="en-ZA"/>
        </w:rPr>
        <w:t>This has been answered in the relevant parts in the document below</w:t>
      </w:r>
    </w:p>
    <w:p w:rsidR="008D1FBA" w:rsidRPr="005558EA" w:rsidRDefault="008D1FBA" w:rsidP="008D1FBA">
      <w:pPr>
        <w:pStyle w:val="ListParagraph"/>
        <w:numPr>
          <w:ilvl w:val="0"/>
          <w:numId w:val="10"/>
        </w:numPr>
        <w:rPr>
          <w:b/>
          <w:color w:val="262626" w:themeColor="text1" w:themeTint="D9"/>
        </w:rPr>
      </w:pPr>
      <w:r w:rsidRPr="005558EA">
        <w:rPr>
          <w:rFonts w:eastAsia="Times New Roman" w:cs="Times New Roman"/>
          <w:color w:val="262626" w:themeColor="text1" w:themeTint="D9"/>
          <w:lang w:eastAsia="en-ZA"/>
        </w:rPr>
        <w:t xml:space="preserve">The intended purpose is also not clear. </w:t>
      </w:r>
    </w:p>
    <w:p w:rsidR="005558EA" w:rsidRPr="005558EA" w:rsidRDefault="005558EA" w:rsidP="005558EA">
      <w:pPr>
        <w:pStyle w:val="ListParagraph"/>
        <w:numPr>
          <w:ilvl w:val="1"/>
          <w:numId w:val="10"/>
        </w:numPr>
        <w:rPr>
          <w:b/>
          <w:color w:val="262626" w:themeColor="text1" w:themeTint="D9"/>
        </w:rPr>
      </w:pPr>
      <w:r w:rsidRPr="005558EA">
        <w:rPr>
          <w:rFonts w:eastAsia="Times New Roman" w:cs="Times New Roman"/>
          <w:color w:val="262626" w:themeColor="text1" w:themeTint="D9"/>
          <w:lang w:eastAsia="en-ZA"/>
        </w:rPr>
        <w:t>This has been updated refer to answered questions in document below</w:t>
      </w:r>
    </w:p>
    <w:p w:rsidR="008D1FBA" w:rsidRPr="005558EA" w:rsidRDefault="008D1FBA" w:rsidP="008D1FBA">
      <w:pPr>
        <w:pStyle w:val="ListParagraph"/>
        <w:numPr>
          <w:ilvl w:val="0"/>
          <w:numId w:val="10"/>
        </w:numPr>
        <w:rPr>
          <w:b/>
          <w:color w:val="262626" w:themeColor="text1" w:themeTint="D9"/>
        </w:rPr>
      </w:pPr>
      <w:r w:rsidRPr="005558EA">
        <w:rPr>
          <w:rFonts w:eastAsia="Times New Roman" w:cs="Times New Roman"/>
          <w:color w:val="262626" w:themeColor="text1" w:themeTint="D9"/>
          <w:lang w:eastAsia="en-ZA"/>
        </w:rPr>
        <w:t xml:space="preserve">Programme design details refers to Year 4 while this is a 1 year programme. </w:t>
      </w:r>
    </w:p>
    <w:p w:rsidR="005558EA" w:rsidRPr="005558EA" w:rsidRDefault="005558EA" w:rsidP="005558EA">
      <w:pPr>
        <w:pStyle w:val="ListParagraph"/>
        <w:numPr>
          <w:ilvl w:val="1"/>
          <w:numId w:val="10"/>
        </w:numPr>
        <w:rPr>
          <w:b/>
          <w:color w:val="262626" w:themeColor="text1" w:themeTint="D9"/>
        </w:rPr>
      </w:pPr>
      <w:r w:rsidRPr="005558EA">
        <w:rPr>
          <w:rFonts w:eastAsia="Times New Roman" w:cs="Times New Roman"/>
          <w:color w:val="262626" w:themeColor="text1" w:themeTint="D9"/>
          <w:lang w:eastAsia="en-ZA"/>
        </w:rPr>
        <w:t xml:space="preserve">This has been corrected. It should say year one.  The reference to year four was in reference to the fact that it was the fourth year of study(after the three year diploma). The error has been corrected refer to table below. </w:t>
      </w:r>
    </w:p>
    <w:p w:rsidR="005558EA" w:rsidRPr="005558EA" w:rsidRDefault="008D1FBA" w:rsidP="005558EA">
      <w:pPr>
        <w:pStyle w:val="ListParagraph"/>
        <w:numPr>
          <w:ilvl w:val="0"/>
          <w:numId w:val="10"/>
        </w:numPr>
        <w:rPr>
          <w:b/>
          <w:color w:val="262626" w:themeColor="text1" w:themeTint="D9"/>
        </w:rPr>
      </w:pPr>
      <w:r w:rsidRPr="005558EA">
        <w:rPr>
          <w:rFonts w:eastAsia="Times New Roman" w:cs="Times New Roman"/>
          <w:color w:val="262626" w:themeColor="text1" w:themeTint="D9"/>
          <w:lang w:eastAsia="en-ZA"/>
        </w:rPr>
        <w:t>The assessment strategy does not indicate the constructive alignment of the programme design, teaching and learning strategy, and assessment procedures to the learning outcomes.</w:t>
      </w:r>
    </w:p>
    <w:p w:rsidR="005558EA" w:rsidRPr="005558EA" w:rsidRDefault="005558EA" w:rsidP="005558EA">
      <w:pPr>
        <w:pStyle w:val="ListParagraph"/>
        <w:numPr>
          <w:ilvl w:val="1"/>
          <w:numId w:val="10"/>
        </w:numPr>
        <w:rPr>
          <w:rFonts w:eastAsia="Times New Roman" w:cs="Times New Roman"/>
          <w:color w:val="262626" w:themeColor="text1" w:themeTint="D9"/>
          <w:lang w:eastAsia="en-ZA"/>
        </w:rPr>
      </w:pPr>
      <w:r w:rsidRPr="005558EA">
        <w:rPr>
          <w:rFonts w:eastAsia="Times New Roman" w:cs="Times New Roman"/>
          <w:color w:val="262626" w:themeColor="text1" w:themeTint="D9"/>
          <w:lang w:eastAsia="en-ZA"/>
        </w:rPr>
        <w:t>The assessment strategy has always been linked</w:t>
      </w:r>
      <w:r w:rsidR="005774D2">
        <w:rPr>
          <w:rFonts w:eastAsia="Times New Roman" w:cs="Times New Roman"/>
          <w:color w:val="262626" w:themeColor="text1" w:themeTint="D9"/>
          <w:lang w:eastAsia="en-ZA"/>
        </w:rPr>
        <w:t>/aligned</w:t>
      </w:r>
      <w:r w:rsidRPr="005558EA">
        <w:rPr>
          <w:rFonts w:eastAsia="Times New Roman" w:cs="Times New Roman"/>
          <w:color w:val="262626" w:themeColor="text1" w:themeTint="D9"/>
          <w:lang w:eastAsia="en-ZA"/>
        </w:rPr>
        <w:t xml:space="preserve"> to the expected outcomes. This however was not properly articulated</w:t>
      </w:r>
      <w:r w:rsidR="005774D2">
        <w:rPr>
          <w:rFonts w:eastAsia="Times New Roman" w:cs="Times New Roman"/>
          <w:color w:val="262626" w:themeColor="text1" w:themeTint="D9"/>
          <w:lang w:eastAsia="en-ZA"/>
        </w:rPr>
        <w:t>.  T</w:t>
      </w:r>
      <w:r w:rsidRPr="005558EA">
        <w:rPr>
          <w:rFonts w:eastAsia="Times New Roman" w:cs="Times New Roman"/>
          <w:color w:val="262626" w:themeColor="text1" w:themeTint="D9"/>
          <w:lang w:eastAsia="en-ZA"/>
        </w:rPr>
        <w:t>his has been clearly articulated in the document below to demonstrate this point.</w:t>
      </w:r>
    </w:p>
    <w:p w:rsidR="008D1FBA" w:rsidRDefault="008D1FBA" w:rsidP="008D1FBA">
      <w:pPr>
        <w:rPr>
          <w:b/>
        </w:rPr>
      </w:pPr>
    </w:p>
    <w:p w:rsidR="008D1FBA" w:rsidRPr="005558EA" w:rsidRDefault="008D1FBA" w:rsidP="008D1FBA">
      <w:pPr>
        <w:ind w:left="720" w:firstLine="720"/>
        <w:rPr>
          <w:b/>
          <w:u w:val="single"/>
        </w:rPr>
      </w:pPr>
      <w:r w:rsidRPr="005558EA">
        <w:rPr>
          <w:b/>
          <w:u w:val="single"/>
        </w:rPr>
        <w:t>Corrections for Advanced Diploma in Public Management</w:t>
      </w:r>
    </w:p>
    <w:p w:rsidR="007642E3" w:rsidRDefault="007642E3" w:rsidP="007642E3">
      <w:pPr>
        <w:tabs>
          <w:tab w:val="left" w:pos="1965"/>
        </w:tabs>
      </w:pPr>
    </w:p>
    <w:p w:rsidR="0017045A" w:rsidRPr="00961866" w:rsidRDefault="0017045A" w:rsidP="0017045A">
      <w:pPr>
        <w:rPr>
          <w:rFonts w:cstheme="minorHAnsi"/>
          <w:b/>
          <w:sz w:val="20"/>
          <w:szCs w:val="20"/>
        </w:rPr>
      </w:pPr>
      <w:r w:rsidRPr="00961866">
        <w:rPr>
          <w:rFonts w:cstheme="minorHAnsi"/>
          <w:b/>
          <w:sz w:val="20"/>
          <w:szCs w:val="20"/>
        </w:rPr>
        <w:t>COMPULSORY QUESTIONS</w:t>
      </w:r>
    </w:p>
    <w:p w:rsidR="0017045A" w:rsidRPr="00961866" w:rsidRDefault="0017045A" w:rsidP="0017045A">
      <w:pPr>
        <w:pStyle w:val="ListParagraph"/>
        <w:numPr>
          <w:ilvl w:val="0"/>
          <w:numId w:val="8"/>
        </w:numPr>
        <w:spacing w:after="0" w:line="240" w:lineRule="auto"/>
        <w:rPr>
          <w:rFonts w:cstheme="minorHAnsi"/>
          <w:sz w:val="20"/>
          <w:szCs w:val="20"/>
        </w:rPr>
      </w:pPr>
      <w:r w:rsidRPr="00961866">
        <w:rPr>
          <w:sz w:val="20"/>
          <w:szCs w:val="20"/>
        </w:rPr>
        <w:t xml:space="preserve">Complete the table below indicating </w:t>
      </w:r>
      <w:r w:rsidRPr="00961866">
        <w:rPr>
          <w:rFonts w:cstheme="minorHAnsi"/>
          <w:sz w:val="20"/>
          <w:szCs w:val="20"/>
        </w:rPr>
        <w:t xml:space="preserve">the specific </w:t>
      </w:r>
      <w:r w:rsidRPr="00961866">
        <w:rPr>
          <w:sz w:val="20"/>
          <w:szCs w:val="20"/>
        </w:rPr>
        <w:t xml:space="preserve">amendments to the </w:t>
      </w:r>
      <w:r w:rsidRPr="00961866">
        <w:rPr>
          <w:rFonts w:cstheme="minorHAnsi"/>
          <w:sz w:val="20"/>
          <w:szCs w:val="20"/>
        </w:rPr>
        <w:t xml:space="preserve">design of the learning </w:t>
      </w:r>
      <w:r w:rsidRPr="00961866">
        <w:rPr>
          <w:sz w:val="20"/>
          <w:szCs w:val="20"/>
        </w:rPr>
        <w:t>programme</w:t>
      </w:r>
      <w:r w:rsidRPr="00961866">
        <w:rPr>
          <w:rFonts w:cstheme="minorHAnsi"/>
          <w:sz w:val="20"/>
          <w:szCs w:val="20"/>
        </w:rPr>
        <w:t xml:space="preserve"> that have been made. Please ensure that you </w:t>
      </w:r>
      <w:r w:rsidRPr="00961866">
        <w:rPr>
          <w:sz w:val="20"/>
          <w:szCs w:val="20"/>
        </w:rPr>
        <w:t xml:space="preserve">indicate whether a module </w:t>
      </w:r>
      <w:r w:rsidRPr="00961866">
        <w:rPr>
          <w:rFonts w:cstheme="minorHAnsi"/>
          <w:sz w:val="20"/>
          <w:szCs w:val="20"/>
        </w:rPr>
        <w:t xml:space="preserve">of the programmes </w:t>
      </w:r>
      <w:r w:rsidRPr="00961866">
        <w:rPr>
          <w:sz w:val="20"/>
          <w:szCs w:val="20"/>
        </w:rPr>
        <w:t>has been</w:t>
      </w:r>
      <w:r w:rsidRPr="00961866">
        <w:rPr>
          <w:rFonts w:cstheme="minorHAnsi"/>
          <w:sz w:val="20"/>
          <w:szCs w:val="20"/>
        </w:rPr>
        <w:t xml:space="preserve"> added, removed, modified or remains unchanged</w:t>
      </w:r>
      <w:r w:rsidRPr="00961866">
        <w:rPr>
          <w:sz w:val="20"/>
          <w:szCs w:val="20"/>
        </w:rPr>
        <w:t xml:space="preserve">. The amendments indicated should clearly illustrate that the proposed curriculum changes do not differ from the original programme design by more than </w:t>
      </w:r>
    </w:p>
    <w:p w:rsidR="0017045A" w:rsidRPr="00961866" w:rsidRDefault="0017045A" w:rsidP="008D1FBA">
      <w:pPr>
        <w:pStyle w:val="ListParagraph"/>
        <w:spacing w:after="0" w:line="240" w:lineRule="auto"/>
        <w:ind w:left="644"/>
        <w:rPr>
          <w:rFonts w:cstheme="minorHAnsi"/>
          <w:sz w:val="20"/>
          <w:szCs w:val="20"/>
        </w:rPr>
      </w:pPr>
      <w:r w:rsidRPr="00961866">
        <w:rPr>
          <w:sz w:val="20"/>
          <w:szCs w:val="20"/>
        </w:rPr>
        <w:t>50% (Criteria 1 vi, 5 ii).</w:t>
      </w:r>
    </w:p>
    <w:p w:rsidR="0017045A" w:rsidRDefault="0017045A" w:rsidP="007642E3">
      <w:pPr>
        <w:tabs>
          <w:tab w:val="left" w:pos="1965"/>
        </w:tabs>
      </w:pPr>
    </w:p>
    <w:tbl>
      <w:tblPr>
        <w:tblStyle w:val="TableGrid"/>
        <w:tblW w:w="9959" w:type="dxa"/>
        <w:tblInd w:w="-460" w:type="dxa"/>
        <w:tblLook w:val="04A0" w:firstRow="1" w:lastRow="0" w:firstColumn="1" w:lastColumn="0" w:noHBand="0" w:noVBand="1"/>
      </w:tblPr>
      <w:tblGrid>
        <w:gridCol w:w="2095"/>
        <w:gridCol w:w="1286"/>
        <w:gridCol w:w="1025"/>
        <w:gridCol w:w="1039"/>
        <w:gridCol w:w="1312"/>
        <w:gridCol w:w="1143"/>
        <w:gridCol w:w="2059"/>
      </w:tblGrid>
      <w:tr w:rsidR="007642E3" w:rsidTr="0017045A">
        <w:trPr>
          <w:trHeight w:val="491"/>
        </w:trPr>
        <w:tc>
          <w:tcPr>
            <w:tcW w:w="9959" w:type="dxa"/>
            <w:gridSpan w:val="7"/>
            <w:shd w:val="clear" w:color="auto" w:fill="D9D9D9" w:themeFill="background1" w:themeFillShade="D9"/>
          </w:tcPr>
          <w:p w:rsidR="007642E3" w:rsidRPr="00B7720D" w:rsidRDefault="007642E3" w:rsidP="006A1AB8">
            <w:pPr>
              <w:jc w:val="center"/>
              <w:rPr>
                <w:b/>
              </w:rPr>
            </w:pPr>
            <w:r>
              <w:rPr>
                <w:b/>
              </w:rPr>
              <w:t>PROGRAMME DETAILS</w:t>
            </w:r>
          </w:p>
        </w:tc>
      </w:tr>
      <w:tr w:rsidR="007642E3" w:rsidTr="0017045A">
        <w:trPr>
          <w:trHeight w:val="743"/>
        </w:trPr>
        <w:tc>
          <w:tcPr>
            <w:tcW w:w="2095" w:type="dxa"/>
          </w:tcPr>
          <w:p w:rsidR="007642E3" w:rsidRDefault="007642E3" w:rsidP="006A1AB8">
            <w:r>
              <w:lastRenderedPageBreak/>
              <w:t>Title of all modules</w:t>
            </w:r>
          </w:p>
        </w:tc>
        <w:tc>
          <w:tcPr>
            <w:tcW w:w="1286" w:type="dxa"/>
          </w:tcPr>
          <w:p w:rsidR="007642E3" w:rsidRDefault="007642E3" w:rsidP="006A1AB8">
            <w:r>
              <w:t>Compulsory</w:t>
            </w:r>
          </w:p>
          <w:p w:rsidR="007642E3" w:rsidRDefault="007642E3" w:rsidP="006A1AB8">
            <w:r>
              <w:t>(c)/</w:t>
            </w:r>
          </w:p>
          <w:p w:rsidR="007642E3" w:rsidRDefault="007642E3" w:rsidP="006A1AB8">
            <w:r>
              <w:t>Electives (E)</w:t>
            </w:r>
          </w:p>
        </w:tc>
        <w:tc>
          <w:tcPr>
            <w:tcW w:w="1025" w:type="dxa"/>
          </w:tcPr>
          <w:p w:rsidR="007642E3" w:rsidRDefault="007642E3" w:rsidP="006A1AB8">
            <w:r>
              <w:t xml:space="preserve">NQF </w:t>
            </w:r>
          </w:p>
          <w:p w:rsidR="007642E3" w:rsidRDefault="007642E3" w:rsidP="006A1AB8">
            <w:r>
              <w:t>Level</w:t>
            </w:r>
          </w:p>
        </w:tc>
        <w:tc>
          <w:tcPr>
            <w:tcW w:w="1039" w:type="dxa"/>
          </w:tcPr>
          <w:p w:rsidR="007642E3" w:rsidRDefault="007642E3" w:rsidP="006A1AB8">
            <w:r>
              <w:t>Credits</w:t>
            </w:r>
          </w:p>
        </w:tc>
        <w:tc>
          <w:tcPr>
            <w:tcW w:w="1312" w:type="dxa"/>
          </w:tcPr>
          <w:p w:rsidR="007642E3" w:rsidRDefault="007642E3" w:rsidP="006A1AB8">
            <w:r>
              <w:t>No of contact hours</w:t>
            </w:r>
          </w:p>
        </w:tc>
        <w:tc>
          <w:tcPr>
            <w:tcW w:w="1143" w:type="dxa"/>
          </w:tcPr>
          <w:p w:rsidR="007642E3" w:rsidRDefault="007642E3" w:rsidP="006A1AB8">
            <w:r>
              <w:t>Mode of delivery</w:t>
            </w:r>
          </w:p>
        </w:tc>
        <w:tc>
          <w:tcPr>
            <w:tcW w:w="2059" w:type="dxa"/>
          </w:tcPr>
          <w:p w:rsidR="007642E3" w:rsidRDefault="007642E3" w:rsidP="006A1AB8">
            <w:r>
              <w:t>Module status: Removed /Added / Modified / Unchanged</w:t>
            </w:r>
          </w:p>
        </w:tc>
      </w:tr>
      <w:tr w:rsidR="007642E3" w:rsidTr="0017045A">
        <w:trPr>
          <w:trHeight w:val="919"/>
        </w:trPr>
        <w:tc>
          <w:tcPr>
            <w:tcW w:w="2095" w:type="dxa"/>
          </w:tcPr>
          <w:p w:rsidR="00D35246" w:rsidRDefault="00412EDE" w:rsidP="00B62C97">
            <w:r>
              <w:t xml:space="preserve">Public  Policy Management IV (PUPY4/0) </w:t>
            </w:r>
          </w:p>
        </w:tc>
        <w:tc>
          <w:tcPr>
            <w:tcW w:w="1286" w:type="dxa"/>
          </w:tcPr>
          <w:p w:rsidR="00D35246" w:rsidRDefault="00412EDE" w:rsidP="006A1AB8">
            <w:r>
              <w:t>C</w:t>
            </w:r>
          </w:p>
        </w:tc>
        <w:tc>
          <w:tcPr>
            <w:tcW w:w="1025" w:type="dxa"/>
          </w:tcPr>
          <w:p w:rsidR="007C5FAB" w:rsidRDefault="00412EDE" w:rsidP="006A1AB8">
            <w:r>
              <w:t>7</w:t>
            </w:r>
          </w:p>
        </w:tc>
        <w:tc>
          <w:tcPr>
            <w:tcW w:w="1039" w:type="dxa"/>
          </w:tcPr>
          <w:p w:rsidR="006A1AB8" w:rsidRDefault="00412EDE" w:rsidP="006A1AB8">
            <w:r>
              <w:t>20</w:t>
            </w:r>
          </w:p>
        </w:tc>
        <w:tc>
          <w:tcPr>
            <w:tcW w:w="1312" w:type="dxa"/>
          </w:tcPr>
          <w:p w:rsidR="00D35246" w:rsidRDefault="00412EDE" w:rsidP="006A1AB8">
            <w:r>
              <w:t>200</w:t>
            </w:r>
          </w:p>
        </w:tc>
        <w:tc>
          <w:tcPr>
            <w:tcW w:w="1143" w:type="dxa"/>
          </w:tcPr>
          <w:p w:rsidR="00D35246" w:rsidRDefault="008974D6" w:rsidP="006A1AB8">
            <w:r>
              <w:t>Contact</w:t>
            </w:r>
          </w:p>
        </w:tc>
        <w:tc>
          <w:tcPr>
            <w:tcW w:w="2059" w:type="dxa"/>
          </w:tcPr>
          <w:p w:rsidR="00D35246" w:rsidRDefault="00412EDE" w:rsidP="003438BA">
            <w:r>
              <w:t>Unchanged</w:t>
            </w:r>
          </w:p>
        </w:tc>
      </w:tr>
      <w:tr w:rsidR="007642E3" w:rsidTr="0017045A">
        <w:trPr>
          <w:trHeight w:val="491"/>
        </w:trPr>
        <w:tc>
          <w:tcPr>
            <w:tcW w:w="2095" w:type="dxa"/>
          </w:tcPr>
          <w:p w:rsidR="007642E3" w:rsidRDefault="00412EDE" w:rsidP="006A1AB8">
            <w:r>
              <w:t xml:space="preserve">Strategic Public Management (PSTR4/0) </w:t>
            </w:r>
          </w:p>
        </w:tc>
        <w:tc>
          <w:tcPr>
            <w:tcW w:w="1286" w:type="dxa"/>
          </w:tcPr>
          <w:p w:rsidR="007642E3" w:rsidRDefault="00412EDE" w:rsidP="006A1AB8">
            <w:r>
              <w:t>C</w:t>
            </w:r>
          </w:p>
        </w:tc>
        <w:tc>
          <w:tcPr>
            <w:tcW w:w="1025" w:type="dxa"/>
          </w:tcPr>
          <w:p w:rsidR="007642E3" w:rsidRDefault="00412EDE" w:rsidP="006A1AB8">
            <w:r>
              <w:t>7</w:t>
            </w:r>
          </w:p>
        </w:tc>
        <w:tc>
          <w:tcPr>
            <w:tcW w:w="1039" w:type="dxa"/>
          </w:tcPr>
          <w:p w:rsidR="007642E3" w:rsidRDefault="00412EDE" w:rsidP="006A1AB8">
            <w:r>
              <w:t>20</w:t>
            </w:r>
          </w:p>
        </w:tc>
        <w:tc>
          <w:tcPr>
            <w:tcW w:w="1312" w:type="dxa"/>
          </w:tcPr>
          <w:p w:rsidR="007642E3" w:rsidRDefault="00412EDE" w:rsidP="006A1AB8">
            <w:r>
              <w:t>200</w:t>
            </w:r>
          </w:p>
        </w:tc>
        <w:tc>
          <w:tcPr>
            <w:tcW w:w="1143" w:type="dxa"/>
          </w:tcPr>
          <w:p w:rsidR="007642E3" w:rsidRDefault="008974D6" w:rsidP="006A1AB8">
            <w:r>
              <w:t>Contact</w:t>
            </w:r>
          </w:p>
        </w:tc>
        <w:tc>
          <w:tcPr>
            <w:tcW w:w="2059" w:type="dxa"/>
          </w:tcPr>
          <w:p w:rsidR="007642E3" w:rsidRDefault="00412EDE" w:rsidP="006A1AB8">
            <w:r>
              <w:t>Unchanged</w:t>
            </w:r>
          </w:p>
        </w:tc>
      </w:tr>
      <w:tr w:rsidR="007642E3" w:rsidTr="0017045A">
        <w:trPr>
          <w:trHeight w:val="505"/>
        </w:trPr>
        <w:tc>
          <w:tcPr>
            <w:tcW w:w="2095" w:type="dxa"/>
          </w:tcPr>
          <w:p w:rsidR="007642E3" w:rsidRDefault="00412EDE" w:rsidP="00D35246">
            <w:r>
              <w:t>Research and Information Management IV (REIM4/0)</w:t>
            </w:r>
          </w:p>
        </w:tc>
        <w:tc>
          <w:tcPr>
            <w:tcW w:w="1286" w:type="dxa"/>
          </w:tcPr>
          <w:p w:rsidR="007642E3" w:rsidRDefault="00412EDE" w:rsidP="006A1AB8">
            <w:r>
              <w:t>C</w:t>
            </w:r>
          </w:p>
        </w:tc>
        <w:tc>
          <w:tcPr>
            <w:tcW w:w="1025" w:type="dxa"/>
          </w:tcPr>
          <w:p w:rsidR="007642E3" w:rsidRDefault="00412EDE" w:rsidP="006A1AB8">
            <w:r>
              <w:t>7</w:t>
            </w:r>
          </w:p>
        </w:tc>
        <w:tc>
          <w:tcPr>
            <w:tcW w:w="1039" w:type="dxa"/>
          </w:tcPr>
          <w:p w:rsidR="007642E3" w:rsidRDefault="00412EDE" w:rsidP="006A1AB8">
            <w:r>
              <w:t>10</w:t>
            </w:r>
          </w:p>
        </w:tc>
        <w:tc>
          <w:tcPr>
            <w:tcW w:w="1312" w:type="dxa"/>
          </w:tcPr>
          <w:p w:rsidR="007642E3" w:rsidRDefault="00412EDE" w:rsidP="006A1AB8">
            <w:r>
              <w:t>100</w:t>
            </w:r>
          </w:p>
        </w:tc>
        <w:tc>
          <w:tcPr>
            <w:tcW w:w="1143" w:type="dxa"/>
          </w:tcPr>
          <w:p w:rsidR="007642E3" w:rsidRDefault="008974D6" w:rsidP="006A1AB8">
            <w:r>
              <w:t>Contact</w:t>
            </w:r>
          </w:p>
        </w:tc>
        <w:tc>
          <w:tcPr>
            <w:tcW w:w="2059" w:type="dxa"/>
          </w:tcPr>
          <w:p w:rsidR="007642E3" w:rsidRDefault="00412EDE" w:rsidP="006A1AB8">
            <w:r>
              <w:t>Modified</w:t>
            </w:r>
          </w:p>
        </w:tc>
      </w:tr>
      <w:tr w:rsidR="007642E3" w:rsidTr="0017045A">
        <w:trPr>
          <w:trHeight w:val="491"/>
        </w:trPr>
        <w:tc>
          <w:tcPr>
            <w:tcW w:w="2095" w:type="dxa"/>
          </w:tcPr>
          <w:p w:rsidR="007642E3" w:rsidRDefault="00412EDE" w:rsidP="006A1AB8">
            <w:r>
              <w:t>Government Relations IV (GVRT4/0)</w:t>
            </w:r>
          </w:p>
        </w:tc>
        <w:tc>
          <w:tcPr>
            <w:tcW w:w="1286" w:type="dxa"/>
          </w:tcPr>
          <w:p w:rsidR="007642E3" w:rsidRDefault="00412EDE" w:rsidP="006A1AB8">
            <w:r>
              <w:t>C</w:t>
            </w:r>
          </w:p>
        </w:tc>
        <w:tc>
          <w:tcPr>
            <w:tcW w:w="1025" w:type="dxa"/>
          </w:tcPr>
          <w:p w:rsidR="007642E3" w:rsidRDefault="00412EDE" w:rsidP="006A1AB8">
            <w:r>
              <w:t>7</w:t>
            </w:r>
          </w:p>
        </w:tc>
        <w:tc>
          <w:tcPr>
            <w:tcW w:w="1039" w:type="dxa"/>
          </w:tcPr>
          <w:p w:rsidR="007642E3" w:rsidRDefault="00412EDE" w:rsidP="006A1AB8">
            <w:r>
              <w:t>20</w:t>
            </w:r>
          </w:p>
        </w:tc>
        <w:tc>
          <w:tcPr>
            <w:tcW w:w="1312" w:type="dxa"/>
          </w:tcPr>
          <w:p w:rsidR="007642E3" w:rsidRDefault="00412EDE" w:rsidP="006A1AB8">
            <w:r>
              <w:t>200</w:t>
            </w:r>
          </w:p>
        </w:tc>
        <w:tc>
          <w:tcPr>
            <w:tcW w:w="1143" w:type="dxa"/>
          </w:tcPr>
          <w:p w:rsidR="007642E3" w:rsidRDefault="008974D6" w:rsidP="006A1AB8">
            <w:r>
              <w:t>Contact</w:t>
            </w:r>
          </w:p>
        </w:tc>
        <w:tc>
          <w:tcPr>
            <w:tcW w:w="2059" w:type="dxa"/>
          </w:tcPr>
          <w:p w:rsidR="007642E3" w:rsidRDefault="00412EDE" w:rsidP="006A1AB8">
            <w:r>
              <w:t>Unchanged</w:t>
            </w:r>
          </w:p>
        </w:tc>
      </w:tr>
      <w:tr w:rsidR="007642E3" w:rsidTr="0017045A">
        <w:trPr>
          <w:trHeight w:val="505"/>
        </w:trPr>
        <w:tc>
          <w:tcPr>
            <w:tcW w:w="2095" w:type="dxa"/>
          </w:tcPr>
          <w:p w:rsidR="007642E3" w:rsidRDefault="00412EDE" w:rsidP="006A1AB8">
            <w:r>
              <w:t>Public Accountability (PACC4/0)</w:t>
            </w:r>
          </w:p>
        </w:tc>
        <w:tc>
          <w:tcPr>
            <w:tcW w:w="1286" w:type="dxa"/>
          </w:tcPr>
          <w:p w:rsidR="007642E3" w:rsidRDefault="00412EDE" w:rsidP="006A1AB8">
            <w:r>
              <w:t>C</w:t>
            </w:r>
          </w:p>
        </w:tc>
        <w:tc>
          <w:tcPr>
            <w:tcW w:w="1025" w:type="dxa"/>
          </w:tcPr>
          <w:p w:rsidR="007642E3" w:rsidRDefault="00412EDE" w:rsidP="006A1AB8">
            <w:r>
              <w:t>7</w:t>
            </w:r>
          </w:p>
        </w:tc>
        <w:tc>
          <w:tcPr>
            <w:tcW w:w="1039" w:type="dxa"/>
          </w:tcPr>
          <w:p w:rsidR="007642E3" w:rsidRPr="008F7403" w:rsidRDefault="00412EDE" w:rsidP="006A1AB8">
            <w:r>
              <w:t>20</w:t>
            </w:r>
          </w:p>
        </w:tc>
        <w:tc>
          <w:tcPr>
            <w:tcW w:w="1312" w:type="dxa"/>
          </w:tcPr>
          <w:p w:rsidR="007642E3" w:rsidRDefault="00412EDE" w:rsidP="006A1AB8">
            <w:r>
              <w:t>200</w:t>
            </w:r>
          </w:p>
        </w:tc>
        <w:tc>
          <w:tcPr>
            <w:tcW w:w="1143" w:type="dxa"/>
          </w:tcPr>
          <w:p w:rsidR="007642E3" w:rsidRDefault="008974D6" w:rsidP="006A1AB8">
            <w:r>
              <w:t>Contact</w:t>
            </w:r>
          </w:p>
        </w:tc>
        <w:tc>
          <w:tcPr>
            <w:tcW w:w="2059" w:type="dxa"/>
          </w:tcPr>
          <w:p w:rsidR="007642E3" w:rsidRDefault="00412EDE" w:rsidP="006A1AB8">
            <w:r>
              <w:t>Unchanged</w:t>
            </w:r>
          </w:p>
        </w:tc>
      </w:tr>
      <w:tr w:rsidR="007642E3" w:rsidTr="0017045A">
        <w:trPr>
          <w:trHeight w:val="135"/>
        </w:trPr>
        <w:tc>
          <w:tcPr>
            <w:tcW w:w="2095" w:type="dxa"/>
          </w:tcPr>
          <w:p w:rsidR="007642E3" w:rsidRDefault="00412EDE" w:rsidP="006A1AB8">
            <w:r>
              <w:t>Public Human Resource Management IV (PHRM4/0)</w:t>
            </w:r>
          </w:p>
        </w:tc>
        <w:tc>
          <w:tcPr>
            <w:tcW w:w="1286" w:type="dxa"/>
          </w:tcPr>
          <w:p w:rsidR="007642E3" w:rsidRDefault="00412EDE" w:rsidP="006A1AB8">
            <w:r>
              <w:t>C</w:t>
            </w:r>
          </w:p>
        </w:tc>
        <w:tc>
          <w:tcPr>
            <w:tcW w:w="1025" w:type="dxa"/>
          </w:tcPr>
          <w:p w:rsidR="007642E3" w:rsidRDefault="00412EDE" w:rsidP="006A1AB8">
            <w:r>
              <w:t>7</w:t>
            </w:r>
          </w:p>
        </w:tc>
        <w:tc>
          <w:tcPr>
            <w:tcW w:w="1039" w:type="dxa"/>
          </w:tcPr>
          <w:p w:rsidR="007642E3" w:rsidRDefault="00412EDE" w:rsidP="006A1AB8">
            <w:r>
              <w:t>20</w:t>
            </w:r>
          </w:p>
        </w:tc>
        <w:tc>
          <w:tcPr>
            <w:tcW w:w="1312" w:type="dxa"/>
          </w:tcPr>
          <w:p w:rsidR="007642E3" w:rsidRDefault="00412EDE" w:rsidP="006A1AB8">
            <w:r>
              <w:t>200</w:t>
            </w:r>
          </w:p>
        </w:tc>
        <w:tc>
          <w:tcPr>
            <w:tcW w:w="1143" w:type="dxa"/>
          </w:tcPr>
          <w:p w:rsidR="007642E3" w:rsidRDefault="008974D6" w:rsidP="006A1AB8">
            <w:r>
              <w:t>Contact</w:t>
            </w:r>
          </w:p>
        </w:tc>
        <w:tc>
          <w:tcPr>
            <w:tcW w:w="2059" w:type="dxa"/>
          </w:tcPr>
          <w:p w:rsidR="007642E3" w:rsidRDefault="00412EDE" w:rsidP="006A1AB8">
            <w:r>
              <w:t>Unchanged</w:t>
            </w:r>
          </w:p>
        </w:tc>
      </w:tr>
      <w:tr w:rsidR="007642E3" w:rsidTr="0017045A">
        <w:trPr>
          <w:trHeight w:val="135"/>
        </w:trPr>
        <w:tc>
          <w:tcPr>
            <w:tcW w:w="2095" w:type="dxa"/>
          </w:tcPr>
          <w:p w:rsidR="007642E3" w:rsidRDefault="00412EDE" w:rsidP="006A1AB8">
            <w:r>
              <w:t>Research project IV (REPR4/0)</w:t>
            </w:r>
          </w:p>
        </w:tc>
        <w:tc>
          <w:tcPr>
            <w:tcW w:w="1286" w:type="dxa"/>
          </w:tcPr>
          <w:p w:rsidR="007642E3" w:rsidRDefault="00412EDE" w:rsidP="006A1AB8">
            <w:r>
              <w:t>C</w:t>
            </w:r>
          </w:p>
        </w:tc>
        <w:tc>
          <w:tcPr>
            <w:tcW w:w="1025" w:type="dxa"/>
          </w:tcPr>
          <w:p w:rsidR="007642E3" w:rsidRDefault="00412EDE" w:rsidP="006A1AB8">
            <w:r>
              <w:t>7</w:t>
            </w:r>
          </w:p>
        </w:tc>
        <w:tc>
          <w:tcPr>
            <w:tcW w:w="1039" w:type="dxa"/>
          </w:tcPr>
          <w:p w:rsidR="007642E3" w:rsidRDefault="00412EDE" w:rsidP="006A1AB8">
            <w:r>
              <w:t>10</w:t>
            </w:r>
          </w:p>
        </w:tc>
        <w:tc>
          <w:tcPr>
            <w:tcW w:w="1312" w:type="dxa"/>
          </w:tcPr>
          <w:p w:rsidR="007642E3" w:rsidRDefault="00412EDE" w:rsidP="006A1AB8">
            <w:r>
              <w:t>100</w:t>
            </w:r>
          </w:p>
        </w:tc>
        <w:tc>
          <w:tcPr>
            <w:tcW w:w="1143" w:type="dxa"/>
          </w:tcPr>
          <w:p w:rsidR="007642E3" w:rsidRDefault="008974D6" w:rsidP="006A1AB8">
            <w:r>
              <w:t>Contact</w:t>
            </w:r>
          </w:p>
        </w:tc>
        <w:tc>
          <w:tcPr>
            <w:tcW w:w="2059" w:type="dxa"/>
          </w:tcPr>
          <w:p w:rsidR="007642E3" w:rsidRDefault="00412EDE" w:rsidP="006A1AB8">
            <w:r>
              <w:t>Modified</w:t>
            </w:r>
          </w:p>
        </w:tc>
      </w:tr>
      <w:tr w:rsidR="007642E3" w:rsidTr="0017045A">
        <w:trPr>
          <w:trHeight w:val="135"/>
        </w:trPr>
        <w:tc>
          <w:tcPr>
            <w:tcW w:w="2095" w:type="dxa"/>
          </w:tcPr>
          <w:p w:rsidR="007642E3" w:rsidRPr="00412EDE" w:rsidRDefault="00412EDE" w:rsidP="006A1AB8">
            <w:pPr>
              <w:rPr>
                <w:b/>
              </w:rPr>
            </w:pPr>
            <w:r w:rsidRPr="00412EDE">
              <w:rPr>
                <w:b/>
              </w:rPr>
              <w:t>TOTAL</w:t>
            </w:r>
          </w:p>
        </w:tc>
        <w:tc>
          <w:tcPr>
            <w:tcW w:w="1286" w:type="dxa"/>
          </w:tcPr>
          <w:p w:rsidR="007642E3" w:rsidRPr="00412EDE" w:rsidRDefault="007642E3" w:rsidP="006A1AB8">
            <w:pPr>
              <w:rPr>
                <w:b/>
              </w:rPr>
            </w:pPr>
          </w:p>
        </w:tc>
        <w:tc>
          <w:tcPr>
            <w:tcW w:w="1025" w:type="dxa"/>
          </w:tcPr>
          <w:p w:rsidR="007642E3" w:rsidRPr="00412EDE" w:rsidRDefault="007642E3" w:rsidP="006A1AB8">
            <w:pPr>
              <w:rPr>
                <w:b/>
              </w:rPr>
            </w:pPr>
          </w:p>
        </w:tc>
        <w:tc>
          <w:tcPr>
            <w:tcW w:w="1039" w:type="dxa"/>
          </w:tcPr>
          <w:p w:rsidR="007642E3" w:rsidRPr="00412EDE" w:rsidRDefault="00412EDE" w:rsidP="006A1AB8">
            <w:pPr>
              <w:rPr>
                <w:b/>
              </w:rPr>
            </w:pPr>
            <w:r w:rsidRPr="00412EDE">
              <w:rPr>
                <w:b/>
              </w:rPr>
              <w:t>120</w:t>
            </w:r>
          </w:p>
        </w:tc>
        <w:tc>
          <w:tcPr>
            <w:tcW w:w="1312" w:type="dxa"/>
          </w:tcPr>
          <w:p w:rsidR="007642E3" w:rsidRPr="00412EDE" w:rsidRDefault="00412EDE" w:rsidP="006A1AB8">
            <w:pPr>
              <w:rPr>
                <w:b/>
              </w:rPr>
            </w:pPr>
            <w:r w:rsidRPr="00412EDE">
              <w:rPr>
                <w:b/>
              </w:rPr>
              <w:t>1200</w:t>
            </w:r>
          </w:p>
        </w:tc>
        <w:tc>
          <w:tcPr>
            <w:tcW w:w="1143" w:type="dxa"/>
          </w:tcPr>
          <w:p w:rsidR="007642E3" w:rsidRDefault="007642E3" w:rsidP="006A1AB8"/>
        </w:tc>
        <w:tc>
          <w:tcPr>
            <w:tcW w:w="2059" w:type="dxa"/>
          </w:tcPr>
          <w:p w:rsidR="007642E3" w:rsidRDefault="007642E3" w:rsidP="006A1AB8"/>
        </w:tc>
      </w:tr>
    </w:tbl>
    <w:p w:rsidR="007642E3" w:rsidRDefault="007642E3" w:rsidP="007642E3"/>
    <w:p w:rsidR="007642E3" w:rsidRDefault="007642E3" w:rsidP="007642E3">
      <w:pPr>
        <w:pStyle w:val="ListParagraph"/>
        <w:numPr>
          <w:ilvl w:val="0"/>
          <w:numId w:val="1"/>
        </w:numPr>
      </w:pPr>
      <w:r>
        <w:t>Briefly describe the purpose of this programme in relation to its alignment with the relevant HEQSF qualification type (criteria 1 i, ii, iii, iv, v).</w:t>
      </w:r>
    </w:p>
    <w:tbl>
      <w:tblPr>
        <w:tblStyle w:val="TableGrid"/>
        <w:tblW w:w="0" w:type="auto"/>
        <w:tblLook w:val="04A0" w:firstRow="1" w:lastRow="0" w:firstColumn="1" w:lastColumn="0" w:noHBand="0" w:noVBand="1"/>
      </w:tblPr>
      <w:tblGrid>
        <w:gridCol w:w="9016"/>
      </w:tblGrid>
      <w:tr w:rsidR="007642E3" w:rsidTr="006A1AB8">
        <w:tc>
          <w:tcPr>
            <w:tcW w:w="9016" w:type="dxa"/>
          </w:tcPr>
          <w:p w:rsidR="00A359A3" w:rsidRPr="00A359A3" w:rsidRDefault="00A359A3" w:rsidP="00A359A3">
            <w:pPr>
              <w:rPr>
                <w:color w:val="FF0000"/>
              </w:rPr>
            </w:pPr>
            <w:r w:rsidRPr="00A359A3">
              <w:rPr>
                <w:color w:val="FF0000"/>
              </w:rPr>
              <w:t>The purpose of this qualification is to prepare leaners to be able to direct, improve and manage the institutional structures, resources and functions to effect service delivery in the public sector environment.</w:t>
            </w:r>
          </w:p>
          <w:p w:rsidR="0048595B" w:rsidRPr="00A359A3" w:rsidRDefault="0048595B" w:rsidP="00141DCC">
            <w:pPr>
              <w:rPr>
                <w:color w:val="FF0000"/>
              </w:rPr>
            </w:pPr>
          </w:p>
        </w:tc>
      </w:tr>
    </w:tbl>
    <w:p w:rsidR="007642E3" w:rsidRDefault="007642E3" w:rsidP="007642E3"/>
    <w:p w:rsidR="007642E3" w:rsidRDefault="007642E3" w:rsidP="007642E3">
      <w:pPr>
        <w:pStyle w:val="ListParagraph"/>
        <w:numPr>
          <w:ilvl w:val="0"/>
          <w:numId w:val="1"/>
        </w:numPr>
      </w:pPr>
      <w:r>
        <w:lastRenderedPageBreak/>
        <w:t>Describe how the curriculum of this programme has been redesigned so that it aligns with the HEQSF, specifically in relation to the intended purpose, exit level outcomes and assessment criteria for this programme( 1 iii, iv , 6 I, 13 i)</w:t>
      </w:r>
    </w:p>
    <w:tbl>
      <w:tblPr>
        <w:tblStyle w:val="TableGrid"/>
        <w:tblpPr w:leftFromText="180" w:rightFromText="180" w:vertAnchor="text" w:horzAnchor="margin" w:tblpY="189"/>
        <w:tblW w:w="9076" w:type="dxa"/>
        <w:tblLook w:val="04A0" w:firstRow="1" w:lastRow="0" w:firstColumn="1" w:lastColumn="0" w:noHBand="0" w:noVBand="1"/>
      </w:tblPr>
      <w:tblGrid>
        <w:gridCol w:w="9076"/>
      </w:tblGrid>
      <w:tr w:rsidR="007642E3" w:rsidTr="006A1AB8">
        <w:trPr>
          <w:trHeight w:val="656"/>
        </w:trPr>
        <w:tc>
          <w:tcPr>
            <w:tcW w:w="9076" w:type="dxa"/>
          </w:tcPr>
          <w:p w:rsidR="00A359A3" w:rsidRDefault="00A359A3" w:rsidP="00A359A3">
            <w:pPr>
              <w:ind w:left="360"/>
            </w:pPr>
            <w:r>
              <w:t xml:space="preserve">The curriculum has been designed in such a way that the qualifying learner will be able: </w:t>
            </w:r>
          </w:p>
          <w:p w:rsidR="00A359A3" w:rsidRPr="00A359A3" w:rsidRDefault="00A359A3" w:rsidP="00A359A3">
            <w:pPr>
              <w:pStyle w:val="ListParagraph"/>
              <w:numPr>
                <w:ilvl w:val="0"/>
                <w:numId w:val="7"/>
              </w:numPr>
              <w:spacing w:after="200" w:line="276" w:lineRule="auto"/>
              <w:rPr>
                <w:color w:val="FF0000"/>
              </w:rPr>
            </w:pPr>
            <w:r w:rsidRPr="00A359A3">
              <w:rPr>
                <w:color w:val="FF0000"/>
              </w:rPr>
              <w:t>Analyze and evaluate executive policies to improve the formulation and implementation thereof</w:t>
            </w:r>
          </w:p>
          <w:p w:rsidR="00A359A3" w:rsidRPr="00A359A3" w:rsidRDefault="00A359A3" w:rsidP="00A359A3">
            <w:pPr>
              <w:pStyle w:val="ListParagraph"/>
              <w:numPr>
                <w:ilvl w:val="0"/>
                <w:numId w:val="7"/>
              </w:numPr>
              <w:spacing w:after="200" w:line="276" w:lineRule="auto"/>
              <w:rPr>
                <w:color w:val="FF0000"/>
              </w:rPr>
            </w:pPr>
            <w:r w:rsidRPr="00A359A3">
              <w:rPr>
                <w:color w:val="FF0000"/>
              </w:rPr>
              <w:t>Manage financial resources to minimize risk and ensure accountability</w:t>
            </w:r>
          </w:p>
          <w:p w:rsidR="00A359A3" w:rsidRPr="00A359A3" w:rsidRDefault="00A359A3" w:rsidP="00A359A3">
            <w:pPr>
              <w:pStyle w:val="ListParagraph"/>
              <w:numPr>
                <w:ilvl w:val="0"/>
                <w:numId w:val="7"/>
              </w:numPr>
              <w:spacing w:after="200" w:line="276" w:lineRule="auto"/>
              <w:rPr>
                <w:color w:val="FF0000"/>
              </w:rPr>
            </w:pPr>
            <w:r w:rsidRPr="00A359A3">
              <w:rPr>
                <w:color w:val="FF0000"/>
              </w:rPr>
              <w:t>Establish and maintain inter, intra and extra-governmental relations to ensure intersectoral collaboration</w:t>
            </w:r>
          </w:p>
          <w:p w:rsidR="00A359A3" w:rsidRPr="00A359A3" w:rsidRDefault="00A359A3" w:rsidP="00A359A3">
            <w:pPr>
              <w:pStyle w:val="ListParagraph"/>
              <w:numPr>
                <w:ilvl w:val="0"/>
                <w:numId w:val="7"/>
              </w:numPr>
              <w:spacing w:after="200" w:line="276" w:lineRule="auto"/>
              <w:rPr>
                <w:color w:val="FF0000"/>
              </w:rPr>
            </w:pPr>
            <w:r w:rsidRPr="00A359A3">
              <w:rPr>
                <w:color w:val="FF0000"/>
              </w:rPr>
              <w:t>Adhere to and implement the provision of labour legislation to ensure fair labour practices.</w:t>
            </w:r>
          </w:p>
          <w:p w:rsidR="00A359A3" w:rsidRPr="00A359A3" w:rsidRDefault="00A359A3" w:rsidP="00A359A3">
            <w:pPr>
              <w:rPr>
                <w:color w:val="FF0000"/>
              </w:rPr>
            </w:pPr>
          </w:p>
          <w:p w:rsidR="00C40772" w:rsidRDefault="00C40772" w:rsidP="00A359A3"/>
        </w:tc>
      </w:tr>
    </w:tbl>
    <w:p w:rsidR="007642E3" w:rsidRDefault="007642E3" w:rsidP="007642E3">
      <w:pPr>
        <w:pStyle w:val="ListParagraph"/>
        <w:ind w:left="765"/>
      </w:pPr>
    </w:p>
    <w:p w:rsidR="007642E3" w:rsidRDefault="007642E3" w:rsidP="007642E3">
      <w:pPr>
        <w:pStyle w:val="ListParagraph"/>
        <w:numPr>
          <w:ilvl w:val="0"/>
          <w:numId w:val="1"/>
        </w:numPr>
      </w:pPr>
      <w:r>
        <w:t>Discuss the overall assessment strategy an</w:t>
      </w:r>
      <w:r w:rsidR="009368F0">
        <w:t>d show</w:t>
      </w:r>
      <w:r>
        <w:t xml:space="preserve"> the constructive alignment of the programme design, teaching and learning strategy, and assessment procedures to the learning outcomes (criteria 6 i, 13 i).</w:t>
      </w:r>
    </w:p>
    <w:tbl>
      <w:tblPr>
        <w:tblStyle w:val="TableGrid"/>
        <w:tblW w:w="9067" w:type="dxa"/>
        <w:shd w:val="clear" w:color="auto" w:fill="FFFFFF" w:themeFill="background1"/>
        <w:tblLook w:val="04A0" w:firstRow="1" w:lastRow="0" w:firstColumn="1" w:lastColumn="0" w:noHBand="0" w:noVBand="1"/>
      </w:tblPr>
      <w:tblGrid>
        <w:gridCol w:w="3004"/>
        <w:gridCol w:w="3006"/>
        <w:gridCol w:w="3057"/>
      </w:tblGrid>
      <w:tr w:rsidR="007642E3" w:rsidRPr="006433A5" w:rsidTr="000742DA">
        <w:tc>
          <w:tcPr>
            <w:tcW w:w="9067" w:type="dxa"/>
            <w:gridSpan w:val="3"/>
            <w:shd w:val="clear" w:color="auto" w:fill="FFFFFF" w:themeFill="background1"/>
          </w:tcPr>
          <w:p w:rsidR="007642E3" w:rsidRPr="006433A5" w:rsidRDefault="007642E3" w:rsidP="006A1AB8">
            <w:pPr>
              <w:rPr>
                <w:b/>
              </w:rPr>
            </w:pPr>
            <w:r>
              <w:rPr>
                <w:b/>
              </w:rPr>
              <w:t>Programme assessment approach (e.g. case based assessment approach)</w:t>
            </w:r>
          </w:p>
        </w:tc>
      </w:tr>
      <w:tr w:rsidR="007642E3" w:rsidTr="000742DA">
        <w:tc>
          <w:tcPr>
            <w:tcW w:w="9067" w:type="dxa"/>
            <w:gridSpan w:val="3"/>
            <w:tcBorders>
              <w:bottom w:val="single" w:sz="4" w:space="0" w:color="auto"/>
            </w:tcBorders>
            <w:shd w:val="clear" w:color="auto" w:fill="FFFFFF" w:themeFill="background1"/>
          </w:tcPr>
          <w:p w:rsidR="007642E3" w:rsidRPr="00D40A30" w:rsidRDefault="007642E3" w:rsidP="006A1AB8">
            <w:pPr>
              <w:rPr>
                <w:color w:val="FF0000"/>
              </w:rPr>
            </w:pPr>
          </w:p>
          <w:p w:rsidR="006D2568" w:rsidRPr="00D40A30" w:rsidRDefault="006D2568" w:rsidP="006A1AB8">
            <w:pPr>
              <w:rPr>
                <w:b/>
                <w:color w:val="FF0000"/>
              </w:rPr>
            </w:pPr>
            <w:r w:rsidRPr="00D40A30">
              <w:rPr>
                <w:b/>
                <w:color w:val="FF0000"/>
              </w:rPr>
              <w:t xml:space="preserve">Assessment Strategies </w:t>
            </w:r>
          </w:p>
          <w:p w:rsidR="00531BBF" w:rsidRPr="00D40A30" w:rsidRDefault="00591B0B" w:rsidP="00A359A3">
            <w:pPr>
              <w:rPr>
                <w:color w:val="FF0000"/>
              </w:rPr>
            </w:pPr>
            <w:r w:rsidRPr="00D40A30">
              <w:rPr>
                <w:color w:val="FF0000"/>
              </w:rPr>
              <w:t xml:space="preserve">There are various Programme Assessment strategies used to evaluate the effectiveness of teaching and learning. For </w:t>
            </w:r>
            <w:r w:rsidR="00F73641" w:rsidRPr="00D40A30">
              <w:rPr>
                <w:color w:val="FF0000"/>
              </w:rPr>
              <w:t>instance</w:t>
            </w:r>
            <w:r w:rsidRPr="00D40A30">
              <w:rPr>
                <w:color w:val="FF0000"/>
              </w:rPr>
              <w:t>, some of the assessment strategies include, Participative assessment</w:t>
            </w:r>
            <w:r w:rsidR="003D3FDE" w:rsidRPr="00D40A30">
              <w:rPr>
                <w:color w:val="FF0000"/>
              </w:rPr>
              <w:t xml:space="preserve"> and case method appro</w:t>
            </w:r>
            <w:r w:rsidR="00DC2FE1" w:rsidRPr="00D40A30">
              <w:rPr>
                <w:color w:val="FF0000"/>
              </w:rPr>
              <w:t>a</w:t>
            </w:r>
            <w:r w:rsidR="003D3FDE" w:rsidRPr="00D40A30">
              <w:rPr>
                <w:color w:val="FF0000"/>
              </w:rPr>
              <w:t>ch</w:t>
            </w:r>
            <w:r w:rsidRPr="00D40A30">
              <w:rPr>
                <w:b/>
                <w:color w:val="FF0000"/>
              </w:rPr>
              <w:t xml:space="preserve"> </w:t>
            </w:r>
            <w:r w:rsidR="00A359A3" w:rsidRPr="00D40A30">
              <w:rPr>
                <w:b/>
                <w:color w:val="FF0000"/>
              </w:rPr>
              <w:t xml:space="preserve">. </w:t>
            </w:r>
            <w:r w:rsidR="00D40A30">
              <w:rPr>
                <w:color w:val="FF0000"/>
              </w:rPr>
              <w:t xml:space="preserve">The qualification provides for </w:t>
            </w:r>
            <w:r w:rsidR="00D40A30" w:rsidRPr="00D40A30">
              <w:rPr>
                <w:color w:val="FF0000"/>
              </w:rPr>
              <w:t>sufficient</w:t>
            </w:r>
            <w:r w:rsidR="00D40A30">
              <w:rPr>
                <w:color w:val="FF0000"/>
              </w:rPr>
              <w:t xml:space="preserve"> practical application of knowledge, skills and attitudes across modules to ensure that the learner’s</w:t>
            </w:r>
            <w:r w:rsidR="00E91E68">
              <w:rPr>
                <w:color w:val="FF0000"/>
              </w:rPr>
              <w:t xml:space="preserve"> </w:t>
            </w:r>
            <w:r w:rsidR="00D40A30">
              <w:rPr>
                <w:color w:val="FF0000"/>
              </w:rPr>
              <w:t xml:space="preserve">  competencies can be assessed</w:t>
            </w:r>
            <w:r w:rsidR="00E91E68">
              <w:rPr>
                <w:color w:val="FF0000"/>
              </w:rPr>
              <w:t xml:space="preserve"> through f</w:t>
            </w:r>
            <w:r w:rsidR="00531BBF" w:rsidRPr="00D40A30">
              <w:rPr>
                <w:color w:val="FF0000"/>
              </w:rPr>
              <w:t>ormative assessment</w:t>
            </w:r>
            <w:r w:rsidR="00E91E68">
              <w:rPr>
                <w:color w:val="FF0000"/>
              </w:rPr>
              <w:t xml:space="preserve"> and s</w:t>
            </w:r>
            <w:r w:rsidR="00531BBF" w:rsidRPr="00D40A30">
              <w:rPr>
                <w:color w:val="FF0000"/>
              </w:rPr>
              <w:t>ummative assessment</w:t>
            </w:r>
            <w:r w:rsidR="00E91E68">
              <w:rPr>
                <w:color w:val="FF0000"/>
              </w:rPr>
              <w:t>.</w:t>
            </w:r>
          </w:p>
          <w:p w:rsidR="00531BBF" w:rsidRPr="00D40A30" w:rsidRDefault="00531BBF" w:rsidP="00531BBF">
            <w:pPr>
              <w:ind w:left="360"/>
              <w:rPr>
                <w:color w:val="FF0000"/>
              </w:rPr>
            </w:pPr>
          </w:p>
          <w:p w:rsidR="00F73641" w:rsidRPr="00D40A30" w:rsidRDefault="00E91E68" w:rsidP="00A359A3">
            <w:pPr>
              <w:rPr>
                <w:color w:val="FF0000"/>
              </w:rPr>
            </w:pPr>
            <w:r>
              <w:rPr>
                <w:color w:val="FF0000"/>
              </w:rPr>
              <w:t xml:space="preserve"> Formative assessment includes t</w:t>
            </w:r>
            <w:r w:rsidR="00531BBF" w:rsidRPr="00D40A30">
              <w:rPr>
                <w:color w:val="FF0000"/>
              </w:rPr>
              <w:t xml:space="preserve">ests, presentations, assignments, case study methods </w:t>
            </w:r>
            <w:r w:rsidR="00472535" w:rsidRPr="00D40A30">
              <w:rPr>
                <w:color w:val="FF0000"/>
              </w:rPr>
              <w:t xml:space="preserve">, </w:t>
            </w:r>
            <w:r w:rsidR="00531BBF" w:rsidRPr="00D40A30">
              <w:rPr>
                <w:color w:val="FF0000"/>
              </w:rPr>
              <w:t>practical exercises</w:t>
            </w:r>
            <w:r w:rsidR="00A359A3" w:rsidRPr="00D40A30">
              <w:rPr>
                <w:color w:val="FF0000"/>
              </w:rPr>
              <w:t xml:space="preserve"> and projects </w:t>
            </w:r>
            <w:r w:rsidR="00531BBF" w:rsidRPr="00D40A30">
              <w:rPr>
                <w:color w:val="FF0000"/>
              </w:rPr>
              <w:t xml:space="preserve"> in the case of </w:t>
            </w:r>
            <w:r w:rsidR="00A359A3" w:rsidRPr="00D40A30">
              <w:rPr>
                <w:color w:val="FF0000"/>
              </w:rPr>
              <w:t xml:space="preserve">research </w:t>
            </w:r>
            <w:r w:rsidR="00531BBF" w:rsidRPr="00D40A30">
              <w:rPr>
                <w:color w:val="FF0000"/>
              </w:rPr>
              <w:t xml:space="preserve">are used to evaluate the performance of the students. </w:t>
            </w:r>
            <w:r>
              <w:rPr>
                <w:color w:val="FF0000"/>
              </w:rPr>
              <w:t xml:space="preserve"> Summative assessment  include a written examination. </w:t>
            </w:r>
            <w:r w:rsidR="00531BBF" w:rsidRPr="00D40A30">
              <w:rPr>
                <w:color w:val="FF0000"/>
              </w:rPr>
              <w:t xml:space="preserve">At the end of the year </w:t>
            </w:r>
            <w:r>
              <w:rPr>
                <w:color w:val="FF0000"/>
              </w:rPr>
              <w:t>t</w:t>
            </w:r>
            <w:r w:rsidR="00531BBF" w:rsidRPr="00D40A30">
              <w:rPr>
                <w:color w:val="FF0000"/>
              </w:rPr>
              <w:t>hose who have obtained the minimum pass percentage in accordance with facul</w:t>
            </w:r>
            <w:r>
              <w:rPr>
                <w:color w:val="FF0000"/>
              </w:rPr>
              <w:t>ty and institutional guidelines are promoted.</w:t>
            </w:r>
          </w:p>
          <w:p w:rsidR="006D2568" w:rsidRPr="00D40A30" w:rsidRDefault="006D2568" w:rsidP="00531BBF">
            <w:pPr>
              <w:ind w:left="360"/>
              <w:rPr>
                <w:color w:val="FF0000"/>
              </w:rPr>
            </w:pPr>
          </w:p>
          <w:p w:rsidR="006D2568" w:rsidRPr="00D40A30" w:rsidRDefault="006D2568" w:rsidP="006D2568">
            <w:pPr>
              <w:rPr>
                <w:b/>
                <w:color w:val="FF0000"/>
              </w:rPr>
            </w:pPr>
            <w:r w:rsidRPr="00D40A30">
              <w:rPr>
                <w:b/>
                <w:color w:val="FF0000"/>
              </w:rPr>
              <w:t>Assessment policies, procedures and practices match and support the programme purpose.</w:t>
            </w:r>
          </w:p>
          <w:p w:rsidR="00591B0B" w:rsidRPr="00D40A30" w:rsidRDefault="00472535" w:rsidP="00E91E68">
            <w:pPr>
              <w:rPr>
                <w:color w:val="FF0000"/>
              </w:rPr>
            </w:pPr>
            <w:r w:rsidRPr="00D40A30">
              <w:rPr>
                <w:color w:val="FF0000"/>
              </w:rPr>
              <w:t xml:space="preserve">Students at different delivery sites write common semester tests and common examinations (same day and at the same time). </w:t>
            </w:r>
            <w:r w:rsidR="006D2568" w:rsidRPr="00D40A30">
              <w:rPr>
                <w:color w:val="FF0000"/>
              </w:rPr>
              <w:t xml:space="preserve">There are generally 2 tests </w:t>
            </w:r>
            <w:r w:rsidR="00E14414" w:rsidRPr="00D40A30">
              <w:rPr>
                <w:color w:val="FF0000"/>
              </w:rPr>
              <w:t>per subject per semester</w:t>
            </w:r>
            <w:r w:rsidR="00E91E68">
              <w:rPr>
                <w:color w:val="FF0000"/>
              </w:rPr>
              <w:t xml:space="preserve"> and one assignment</w:t>
            </w:r>
            <w:r w:rsidR="006D2568" w:rsidRPr="00D40A30">
              <w:rPr>
                <w:color w:val="FF0000"/>
              </w:rPr>
              <w:t>. The question papers and memos are externally moderated</w:t>
            </w:r>
            <w:r w:rsidR="00B158B5" w:rsidRPr="00D40A30">
              <w:rPr>
                <w:color w:val="FF0000"/>
              </w:rPr>
              <w:t xml:space="preserve"> by</w:t>
            </w:r>
            <w:r w:rsidR="00E91E68">
              <w:rPr>
                <w:color w:val="FF0000"/>
              </w:rPr>
              <w:t xml:space="preserve"> qualified</w:t>
            </w:r>
            <w:r w:rsidR="00B158B5" w:rsidRPr="00D40A30">
              <w:rPr>
                <w:color w:val="FF0000"/>
              </w:rPr>
              <w:t xml:space="preserve"> lecturers</w:t>
            </w:r>
            <w:r w:rsidR="00E14414" w:rsidRPr="00D40A30">
              <w:rPr>
                <w:color w:val="FF0000"/>
              </w:rPr>
              <w:t xml:space="preserve"> from other Universities</w:t>
            </w:r>
            <w:r w:rsidR="00B158B5" w:rsidRPr="00D40A30">
              <w:rPr>
                <w:color w:val="FF0000"/>
              </w:rPr>
              <w:t xml:space="preserve">. The final examinations </w:t>
            </w:r>
            <w:r w:rsidRPr="00D40A30">
              <w:rPr>
                <w:color w:val="FF0000"/>
              </w:rPr>
              <w:t xml:space="preserve">scripts </w:t>
            </w:r>
            <w:r w:rsidR="00B158B5" w:rsidRPr="00D40A30">
              <w:rPr>
                <w:color w:val="FF0000"/>
              </w:rPr>
              <w:t>and memos are also moderated</w:t>
            </w:r>
            <w:r w:rsidRPr="00D40A30">
              <w:rPr>
                <w:color w:val="FF0000"/>
              </w:rPr>
              <w:t>.</w:t>
            </w:r>
            <w:r w:rsidR="00D40A30" w:rsidRPr="00D40A30">
              <w:rPr>
                <w:color w:val="FF0000"/>
              </w:rPr>
              <w:t xml:space="preserve"> </w:t>
            </w:r>
            <w:r w:rsidR="00B158B5" w:rsidRPr="00D40A30">
              <w:rPr>
                <w:color w:val="FF0000"/>
              </w:rPr>
              <w:t xml:space="preserve">Our leaner guides mention the summative assessment requirements that the learner has to satisfy for each course. </w:t>
            </w:r>
          </w:p>
        </w:tc>
      </w:tr>
      <w:tr w:rsidR="007642E3" w:rsidRPr="006433A5" w:rsidTr="000742DA">
        <w:tc>
          <w:tcPr>
            <w:tcW w:w="9067" w:type="dxa"/>
            <w:gridSpan w:val="3"/>
            <w:shd w:val="clear" w:color="auto" w:fill="D9D9D9" w:themeFill="background1" w:themeFillShade="D9"/>
          </w:tcPr>
          <w:p w:rsidR="007642E3" w:rsidRPr="00D40A30" w:rsidRDefault="007642E3" w:rsidP="006A1AB8">
            <w:pPr>
              <w:rPr>
                <w:b/>
                <w:color w:val="FF0000"/>
              </w:rPr>
            </w:pPr>
            <w:r w:rsidRPr="00D40A30">
              <w:rPr>
                <w:b/>
                <w:color w:val="FF0000"/>
              </w:rPr>
              <w:lastRenderedPageBreak/>
              <w:t>Exit level outcomes</w:t>
            </w:r>
          </w:p>
        </w:tc>
      </w:tr>
      <w:tr w:rsidR="007642E3" w:rsidRPr="006433A5" w:rsidTr="000742DA">
        <w:tc>
          <w:tcPr>
            <w:tcW w:w="9067" w:type="dxa"/>
            <w:gridSpan w:val="3"/>
            <w:shd w:val="clear" w:color="auto" w:fill="FFFFFF" w:themeFill="background1"/>
          </w:tcPr>
          <w:p w:rsidR="009E02E4" w:rsidRPr="00EB7A18" w:rsidRDefault="009E02E4" w:rsidP="007E1D1A">
            <w:pPr>
              <w:pStyle w:val="ListParagraph"/>
            </w:pPr>
          </w:p>
        </w:tc>
      </w:tr>
      <w:tr w:rsidR="007642E3" w:rsidRPr="006433A5" w:rsidTr="000742DA">
        <w:tc>
          <w:tcPr>
            <w:tcW w:w="3004" w:type="dxa"/>
            <w:shd w:val="clear" w:color="auto" w:fill="FFFFFF" w:themeFill="background1"/>
          </w:tcPr>
          <w:p w:rsidR="007642E3" w:rsidRDefault="007E1D1A" w:rsidP="006A1AB8">
            <w:pPr>
              <w:rPr>
                <w:b/>
              </w:rPr>
            </w:pPr>
            <w:r>
              <w:rPr>
                <w:b/>
              </w:rPr>
              <w:t>YEAR</w:t>
            </w:r>
          </w:p>
        </w:tc>
        <w:tc>
          <w:tcPr>
            <w:tcW w:w="3006" w:type="dxa"/>
            <w:shd w:val="clear" w:color="auto" w:fill="FFFFFF" w:themeFill="background1"/>
          </w:tcPr>
          <w:p w:rsidR="007642E3" w:rsidRDefault="007E1D1A" w:rsidP="006A1AB8">
            <w:pPr>
              <w:rPr>
                <w:b/>
              </w:rPr>
            </w:pPr>
            <w:r>
              <w:rPr>
                <w:b/>
              </w:rPr>
              <w:t>Assessment Purpose</w:t>
            </w:r>
          </w:p>
        </w:tc>
        <w:tc>
          <w:tcPr>
            <w:tcW w:w="3057" w:type="dxa"/>
            <w:shd w:val="clear" w:color="auto" w:fill="FFFFFF" w:themeFill="background1"/>
          </w:tcPr>
          <w:p w:rsidR="007642E3" w:rsidRDefault="007642E3" w:rsidP="006A1AB8">
            <w:pPr>
              <w:rPr>
                <w:b/>
              </w:rPr>
            </w:pPr>
            <w:r>
              <w:rPr>
                <w:b/>
              </w:rPr>
              <w:t>Assessment methods</w:t>
            </w:r>
          </w:p>
        </w:tc>
      </w:tr>
      <w:tr w:rsidR="009E02E4" w:rsidRPr="006433A5" w:rsidTr="000742DA">
        <w:tc>
          <w:tcPr>
            <w:tcW w:w="3004" w:type="dxa"/>
            <w:shd w:val="clear" w:color="auto" w:fill="FFFFFF" w:themeFill="background1"/>
          </w:tcPr>
          <w:p w:rsidR="009E02E4" w:rsidRDefault="007E1D1A" w:rsidP="006A1AB8">
            <w:pPr>
              <w:rPr>
                <w:b/>
              </w:rPr>
            </w:pPr>
            <w:r>
              <w:rPr>
                <w:b/>
              </w:rPr>
              <w:t>1</w:t>
            </w:r>
          </w:p>
        </w:tc>
        <w:tc>
          <w:tcPr>
            <w:tcW w:w="3006" w:type="dxa"/>
            <w:shd w:val="clear" w:color="auto" w:fill="FFFFFF" w:themeFill="background1"/>
          </w:tcPr>
          <w:p w:rsidR="00FE592D" w:rsidRDefault="007E1D1A" w:rsidP="00FE592D">
            <w:pPr>
              <w:pStyle w:val="ListParagraph"/>
              <w:numPr>
                <w:ilvl w:val="0"/>
                <w:numId w:val="3"/>
              </w:numPr>
            </w:pPr>
            <w:r>
              <w:t>Analyse and evaluate policies to improve the formulation and implementation thereof</w:t>
            </w:r>
          </w:p>
          <w:p w:rsidR="007E1D1A" w:rsidRDefault="007E1D1A" w:rsidP="00FE592D">
            <w:pPr>
              <w:pStyle w:val="ListParagraph"/>
              <w:numPr>
                <w:ilvl w:val="0"/>
                <w:numId w:val="3"/>
              </w:numPr>
            </w:pPr>
            <w:r>
              <w:t>Formulate executive policies to ensure the implementation of government policies</w:t>
            </w:r>
          </w:p>
          <w:p w:rsidR="007E1D1A" w:rsidRDefault="007E1D1A" w:rsidP="00FE592D">
            <w:pPr>
              <w:pStyle w:val="ListParagraph"/>
              <w:numPr>
                <w:ilvl w:val="0"/>
                <w:numId w:val="3"/>
              </w:numPr>
            </w:pPr>
            <w:r>
              <w:t>Conduct institutional research to evaluate policy alte</w:t>
            </w:r>
            <w:r w:rsidR="008974D6">
              <w:t>r</w:t>
            </w:r>
            <w:r>
              <w:t>native</w:t>
            </w:r>
          </w:p>
          <w:p w:rsidR="007E1D1A" w:rsidRPr="00FE592D" w:rsidRDefault="007E1D1A" w:rsidP="00FE592D">
            <w:pPr>
              <w:pStyle w:val="ListParagraph"/>
              <w:numPr>
                <w:ilvl w:val="0"/>
                <w:numId w:val="3"/>
              </w:numPr>
            </w:pPr>
            <w:r>
              <w:t>Direct and control the implementation of government and executive policies to effect set objectives</w:t>
            </w:r>
          </w:p>
        </w:tc>
        <w:tc>
          <w:tcPr>
            <w:tcW w:w="3057" w:type="dxa"/>
            <w:shd w:val="clear" w:color="auto" w:fill="FFFFFF" w:themeFill="background1"/>
          </w:tcPr>
          <w:p w:rsidR="00752836" w:rsidRDefault="007E1D1A" w:rsidP="00752836">
            <w:pPr>
              <w:pStyle w:val="ListParagraph"/>
              <w:numPr>
                <w:ilvl w:val="0"/>
                <w:numId w:val="3"/>
              </w:numPr>
              <w:rPr>
                <w:b/>
              </w:rPr>
            </w:pPr>
            <w:r>
              <w:rPr>
                <w:b/>
              </w:rPr>
              <w:t>Case studies</w:t>
            </w:r>
          </w:p>
          <w:p w:rsidR="007E1D1A" w:rsidRDefault="007E1D1A" w:rsidP="007E1D1A">
            <w:pPr>
              <w:pStyle w:val="ListParagraph"/>
              <w:rPr>
                <w:b/>
              </w:rPr>
            </w:pPr>
          </w:p>
          <w:p w:rsidR="007E1D1A" w:rsidRDefault="007E1D1A" w:rsidP="007E1D1A">
            <w:pPr>
              <w:pStyle w:val="ListParagraph"/>
              <w:rPr>
                <w:b/>
              </w:rPr>
            </w:pPr>
          </w:p>
          <w:p w:rsidR="007E1D1A" w:rsidRDefault="007E1D1A" w:rsidP="007E1D1A">
            <w:pPr>
              <w:pStyle w:val="ListParagraph"/>
              <w:rPr>
                <w:b/>
              </w:rPr>
            </w:pPr>
          </w:p>
          <w:p w:rsidR="007E1D1A" w:rsidRDefault="007E1D1A" w:rsidP="007E1D1A">
            <w:pPr>
              <w:pStyle w:val="ListParagraph"/>
              <w:rPr>
                <w:b/>
              </w:rPr>
            </w:pPr>
          </w:p>
          <w:p w:rsidR="007E1D1A" w:rsidRDefault="007E1D1A" w:rsidP="007E1D1A">
            <w:pPr>
              <w:pStyle w:val="ListParagraph"/>
              <w:rPr>
                <w:b/>
              </w:rPr>
            </w:pPr>
            <w:r>
              <w:rPr>
                <w:b/>
              </w:rPr>
              <w:t>Case studies and Assignments</w:t>
            </w:r>
          </w:p>
          <w:p w:rsidR="007E1D1A" w:rsidRDefault="007E1D1A" w:rsidP="007E1D1A">
            <w:pPr>
              <w:pStyle w:val="ListParagraph"/>
              <w:rPr>
                <w:b/>
              </w:rPr>
            </w:pPr>
          </w:p>
          <w:p w:rsidR="007E1D1A" w:rsidRDefault="007E1D1A" w:rsidP="007E1D1A">
            <w:pPr>
              <w:pStyle w:val="ListParagraph"/>
              <w:rPr>
                <w:b/>
              </w:rPr>
            </w:pPr>
          </w:p>
          <w:p w:rsidR="007E1D1A" w:rsidRDefault="007E1D1A" w:rsidP="007E1D1A">
            <w:pPr>
              <w:pStyle w:val="ListParagraph"/>
              <w:rPr>
                <w:b/>
              </w:rPr>
            </w:pPr>
          </w:p>
          <w:p w:rsidR="007E1D1A" w:rsidRDefault="007E1D1A" w:rsidP="007E1D1A">
            <w:pPr>
              <w:pStyle w:val="ListParagraph"/>
              <w:rPr>
                <w:b/>
              </w:rPr>
            </w:pPr>
            <w:r>
              <w:rPr>
                <w:b/>
              </w:rPr>
              <w:t>Research Project</w:t>
            </w:r>
          </w:p>
          <w:p w:rsidR="007E1D1A" w:rsidRDefault="007E1D1A" w:rsidP="007E1D1A">
            <w:pPr>
              <w:pStyle w:val="ListParagraph"/>
              <w:rPr>
                <w:b/>
              </w:rPr>
            </w:pPr>
          </w:p>
          <w:p w:rsidR="007E1D1A" w:rsidRDefault="007E1D1A" w:rsidP="007E1D1A">
            <w:pPr>
              <w:pStyle w:val="ListParagraph"/>
              <w:rPr>
                <w:b/>
              </w:rPr>
            </w:pPr>
          </w:p>
          <w:p w:rsidR="007E1D1A" w:rsidRPr="00752836" w:rsidRDefault="007E1D1A" w:rsidP="007E1D1A">
            <w:pPr>
              <w:pStyle w:val="ListParagraph"/>
              <w:rPr>
                <w:b/>
              </w:rPr>
            </w:pPr>
            <w:r>
              <w:rPr>
                <w:b/>
              </w:rPr>
              <w:t>Tests and Presentation</w:t>
            </w:r>
          </w:p>
        </w:tc>
      </w:tr>
      <w:tr w:rsidR="00B51B6E" w:rsidRPr="006433A5" w:rsidTr="000742DA">
        <w:tc>
          <w:tcPr>
            <w:tcW w:w="3004" w:type="dxa"/>
            <w:shd w:val="clear" w:color="auto" w:fill="FFFFFF" w:themeFill="background1"/>
          </w:tcPr>
          <w:p w:rsidR="00B51B6E" w:rsidRDefault="00FF5A73" w:rsidP="00B51B6E">
            <w:pPr>
              <w:rPr>
                <w:b/>
              </w:rPr>
            </w:pPr>
            <w:r>
              <w:rPr>
                <w:b/>
              </w:rPr>
              <w:t>1</w:t>
            </w:r>
          </w:p>
        </w:tc>
        <w:tc>
          <w:tcPr>
            <w:tcW w:w="3006" w:type="dxa"/>
            <w:shd w:val="clear" w:color="auto" w:fill="FFFFFF" w:themeFill="background1"/>
          </w:tcPr>
          <w:p w:rsidR="000742DA" w:rsidRDefault="007E1D1A" w:rsidP="007E1D1A">
            <w:pPr>
              <w:pStyle w:val="ListParagraph"/>
              <w:numPr>
                <w:ilvl w:val="0"/>
                <w:numId w:val="3"/>
              </w:numPr>
            </w:pPr>
            <w:r>
              <w:t>Manage Financial Resources to minimise risk and ensure accountability</w:t>
            </w:r>
          </w:p>
          <w:p w:rsidR="00963490" w:rsidRDefault="00963490" w:rsidP="007E1D1A">
            <w:pPr>
              <w:pStyle w:val="ListParagraph"/>
              <w:numPr>
                <w:ilvl w:val="0"/>
                <w:numId w:val="3"/>
              </w:numPr>
            </w:pPr>
            <w:r>
              <w:t xml:space="preserve">Compile and analyse budget information in </w:t>
            </w:r>
            <w:r>
              <w:lastRenderedPageBreak/>
              <w:t>terms of the short-, medium- and long term expenditure framework(MTEF) to ensure optimal utilisation of financial resources</w:t>
            </w:r>
          </w:p>
          <w:p w:rsidR="00963490" w:rsidRPr="00FE592D" w:rsidRDefault="00963490" w:rsidP="007E1D1A">
            <w:pPr>
              <w:pStyle w:val="ListParagraph"/>
              <w:numPr>
                <w:ilvl w:val="0"/>
                <w:numId w:val="3"/>
              </w:numPr>
            </w:pPr>
            <w:r>
              <w:t>Provide input for the compilation of annual financial statement and performance report according to prescribed guidelines</w:t>
            </w:r>
          </w:p>
        </w:tc>
        <w:tc>
          <w:tcPr>
            <w:tcW w:w="3057" w:type="dxa"/>
            <w:shd w:val="clear" w:color="auto" w:fill="FFFFFF" w:themeFill="background1"/>
          </w:tcPr>
          <w:p w:rsidR="00090ED7" w:rsidRDefault="00963490" w:rsidP="000742DA">
            <w:pPr>
              <w:rPr>
                <w:b/>
              </w:rPr>
            </w:pPr>
            <w:r>
              <w:rPr>
                <w:b/>
              </w:rPr>
              <w:lastRenderedPageBreak/>
              <w:t>Case Study</w:t>
            </w:r>
          </w:p>
          <w:p w:rsidR="00963490" w:rsidRDefault="00963490" w:rsidP="000742DA">
            <w:pPr>
              <w:rPr>
                <w:b/>
              </w:rPr>
            </w:pPr>
          </w:p>
          <w:p w:rsidR="00963490" w:rsidRDefault="00963490" w:rsidP="000742DA">
            <w:pPr>
              <w:rPr>
                <w:b/>
              </w:rPr>
            </w:pPr>
          </w:p>
          <w:p w:rsidR="00963490" w:rsidRDefault="00963490" w:rsidP="000742DA">
            <w:pPr>
              <w:rPr>
                <w:b/>
              </w:rPr>
            </w:pPr>
          </w:p>
          <w:p w:rsidR="00963490" w:rsidRDefault="00963490" w:rsidP="00963490">
            <w:pPr>
              <w:rPr>
                <w:b/>
              </w:rPr>
            </w:pPr>
            <w:r>
              <w:rPr>
                <w:b/>
              </w:rPr>
              <w:t>Assignment</w:t>
            </w:r>
          </w:p>
          <w:p w:rsidR="00963490" w:rsidRDefault="00963490" w:rsidP="00963490">
            <w:pPr>
              <w:rPr>
                <w:b/>
              </w:rPr>
            </w:pPr>
          </w:p>
          <w:p w:rsidR="00963490" w:rsidRDefault="00963490" w:rsidP="00963490">
            <w:pPr>
              <w:rPr>
                <w:b/>
              </w:rPr>
            </w:pPr>
          </w:p>
          <w:p w:rsidR="00963490" w:rsidRDefault="00963490" w:rsidP="00963490">
            <w:pPr>
              <w:rPr>
                <w:b/>
              </w:rPr>
            </w:pPr>
          </w:p>
          <w:p w:rsidR="00963490" w:rsidRDefault="00963490" w:rsidP="00963490">
            <w:pPr>
              <w:rPr>
                <w:b/>
              </w:rPr>
            </w:pPr>
          </w:p>
          <w:p w:rsidR="00963490" w:rsidRDefault="00963490" w:rsidP="00963490">
            <w:pPr>
              <w:rPr>
                <w:b/>
              </w:rPr>
            </w:pPr>
          </w:p>
          <w:p w:rsidR="00963490" w:rsidRDefault="00963490" w:rsidP="00963490">
            <w:pPr>
              <w:rPr>
                <w:b/>
              </w:rPr>
            </w:pPr>
          </w:p>
          <w:p w:rsidR="00963490" w:rsidRDefault="00963490" w:rsidP="00963490">
            <w:pPr>
              <w:rPr>
                <w:b/>
              </w:rPr>
            </w:pPr>
          </w:p>
          <w:p w:rsidR="00963490" w:rsidRDefault="00963490" w:rsidP="00963490">
            <w:pPr>
              <w:rPr>
                <w:b/>
              </w:rPr>
            </w:pPr>
          </w:p>
          <w:p w:rsidR="00963490" w:rsidRPr="000742DA" w:rsidRDefault="00963490" w:rsidP="00963490">
            <w:pPr>
              <w:rPr>
                <w:b/>
              </w:rPr>
            </w:pPr>
            <w:r>
              <w:rPr>
                <w:b/>
              </w:rPr>
              <w:t>Presentations</w:t>
            </w:r>
          </w:p>
        </w:tc>
      </w:tr>
      <w:tr w:rsidR="00B51B6E" w:rsidRPr="006433A5" w:rsidTr="000742DA">
        <w:tc>
          <w:tcPr>
            <w:tcW w:w="3004" w:type="dxa"/>
            <w:shd w:val="clear" w:color="auto" w:fill="FFFFFF" w:themeFill="background1"/>
          </w:tcPr>
          <w:p w:rsidR="00B51B6E" w:rsidRDefault="00FF5A73" w:rsidP="00B51B6E">
            <w:pPr>
              <w:rPr>
                <w:b/>
              </w:rPr>
            </w:pPr>
            <w:r>
              <w:rPr>
                <w:b/>
              </w:rPr>
              <w:lastRenderedPageBreak/>
              <w:t>1</w:t>
            </w:r>
          </w:p>
        </w:tc>
        <w:tc>
          <w:tcPr>
            <w:tcW w:w="3006" w:type="dxa"/>
            <w:shd w:val="clear" w:color="auto" w:fill="FFFFFF" w:themeFill="background1"/>
          </w:tcPr>
          <w:p w:rsidR="00B51B6E" w:rsidRPr="00963490" w:rsidRDefault="00963490" w:rsidP="00963490">
            <w:pPr>
              <w:pStyle w:val="ListParagraph"/>
              <w:numPr>
                <w:ilvl w:val="0"/>
                <w:numId w:val="3"/>
              </w:numPr>
              <w:rPr>
                <w:b/>
              </w:rPr>
            </w:pPr>
            <w:r>
              <w:t>Adhere to and implement the provisions of the labour  legislation to ensure fair labour practices</w:t>
            </w:r>
          </w:p>
          <w:p w:rsidR="00963490" w:rsidRPr="00FF5A73" w:rsidRDefault="00963490" w:rsidP="00963490">
            <w:pPr>
              <w:pStyle w:val="ListParagraph"/>
              <w:numPr>
                <w:ilvl w:val="0"/>
                <w:numId w:val="3"/>
              </w:numPr>
              <w:rPr>
                <w:b/>
              </w:rPr>
            </w:pPr>
            <w:r>
              <w:t>Create</w:t>
            </w:r>
            <w:r w:rsidR="00FF5A73">
              <w:t xml:space="preserve"> an enabling environment based on appropriate management practices to maintain sound labour relations</w:t>
            </w:r>
          </w:p>
          <w:p w:rsidR="00FF5A73" w:rsidRPr="00FF5A73" w:rsidRDefault="00FF5A73" w:rsidP="00963490">
            <w:pPr>
              <w:pStyle w:val="ListParagraph"/>
              <w:numPr>
                <w:ilvl w:val="0"/>
                <w:numId w:val="3"/>
              </w:numPr>
              <w:rPr>
                <w:b/>
              </w:rPr>
            </w:pPr>
            <w:r>
              <w:t>Participate in and facilitate labour negotiations in bargaining chambers to ensure a content workforce</w:t>
            </w:r>
          </w:p>
          <w:p w:rsidR="00FF5A73" w:rsidRPr="00963490" w:rsidRDefault="00FF5A73" w:rsidP="00963490">
            <w:pPr>
              <w:pStyle w:val="ListParagraph"/>
              <w:numPr>
                <w:ilvl w:val="0"/>
                <w:numId w:val="3"/>
              </w:numPr>
              <w:rPr>
                <w:b/>
              </w:rPr>
            </w:pPr>
            <w:r>
              <w:t xml:space="preserve">Manage conflict by following appropriate </w:t>
            </w:r>
            <w:r>
              <w:lastRenderedPageBreak/>
              <w:t>mechanisms and procedures</w:t>
            </w:r>
          </w:p>
        </w:tc>
        <w:tc>
          <w:tcPr>
            <w:tcW w:w="3057" w:type="dxa"/>
            <w:shd w:val="clear" w:color="auto" w:fill="FFFFFF" w:themeFill="background1"/>
          </w:tcPr>
          <w:p w:rsidR="00584C99" w:rsidRDefault="00FF5A73" w:rsidP="000742DA">
            <w:pPr>
              <w:pStyle w:val="ListParagraph"/>
              <w:rPr>
                <w:b/>
              </w:rPr>
            </w:pPr>
            <w:r>
              <w:rPr>
                <w:b/>
              </w:rPr>
              <w:lastRenderedPageBreak/>
              <w:t>Tests and Assignment</w:t>
            </w:r>
          </w:p>
          <w:p w:rsidR="00FF5A73" w:rsidRDefault="00FF5A73" w:rsidP="000742DA">
            <w:pPr>
              <w:pStyle w:val="ListParagraph"/>
              <w:rPr>
                <w:b/>
              </w:rPr>
            </w:pPr>
          </w:p>
          <w:p w:rsidR="00FF5A73" w:rsidRDefault="00FF5A73" w:rsidP="000742DA">
            <w:pPr>
              <w:pStyle w:val="ListParagraph"/>
              <w:rPr>
                <w:b/>
              </w:rPr>
            </w:pPr>
          </w:p>
          <w:p w:rsidR="00FF5A73" w:rsidRDefault="00FF5A73" w:rsidP="000742DA">
            <w:pPr>
              <w:pStyle w:val="ListParagraph"/>
              <w:rPr>
                <w:b/>
              </w:rPr>
            </w:pPr>
          </w:p>
          <w:p w:rsidR="00FF5A73" w:rsidRDefault="00FF5A73" w:rsidP="000742DA">
            <w:pPr>
              <w:pStyle w:val="ListParagraph"/>
              <w:rPr>
                <w:b/>
              </w:rPr>
            </w:pPr>
          </w:p>
          <w:p w:rsidR="00FF5A73" w:rsidRDefault="00FF5A73" w:rsidP="000742DA">
            <w:pPr>
              <w:pStyle w:val="ListParagraph"/>
              <w:rPr>
                <w:b/>
              </w:rPr>
            </w:pPr>
          </w:p>
          <w:p w:rsidR="00FF5A73" w:rsidRDefault="00FF5A73" w:rsidP="000742DA">
            <w:pPr>
              <w:pStyle w:val="ListParagraph"/>
              <w:rPr>
                <w:b/>
              </w:rPr>
            </w:pPr>
            <w:r>
              <w:rPr>
                <w:b/>
              </w:rPr>
              <w:t>Presentations</w:t>
            </w:r>
          </w:p>
          <w:p w:rsidR="00FF5A73" w:rsidRDefault="00FF5A73" w:rsidP="000742DA">
            <w:pPr>
              <w:pStyle w:val="ListParagraph"/>
              <w:rPr>
                <w:b/>
              </w:rPr>
            </w:pPr>
          </w:p>
          <w:p w:rsidR="00FF5A73" w:rsidRDefault="00FF5A73" w:rsidP="000742DA">
            <w:pPr>
              <w:pStyle w:val="ListParagraph"/>
              <w:rPr>
                <w:b/>
              </w:rPr>
            </w:pPr>
          </w:p>
          <w:p w:rsidR="00FF5A73" w:rsidRDefault="00FF5A73" w:rsidP="000742DA">
            <w:pPr>
              <w:pStyle w:val="ListParagraph"/>
              <w:rPr>
                <w:b/>
              </w:rPr>
            </w:pPr>
          </w:p>
          <w:p w:rsidR="00FF5A73" w:rsidRDefault="00FF5A73" w:rsidP="000742DA">
            <w:pPr>
              <w:pStyle w:val="ListParagraph"/>
              <w:rPr>
                <w:b/>
              </w:rPr>
            </w:pPr>
          </w:p>
          <w:p w:rsidR="00FF5A73" w:rsidRDefault="00FF5A73" w:rsidP="000742DA">
            <w:pPr>
              <w:pStyle w:val="ListParagraph"/>
              <w:rPr>
                <w:b/>
              </w:rPr>
            </w:pPr>
          </w:p>
          <w:p w:rsidR="00FF5A73" w:rsidRDefault="00FF5A73" w:rsidP="000742DA">
            <w:pPr>
              <w:pStyle w:val="ListParagraph"/>
              <w:rPr>
                <w:b/>
              </w:rPr>
            </w:pPr>
            <w:r>
              <w:rPr>
                <w:b/>
              </w:rPr>
              <w:t>Peer Evaluations</w:t>
            </w:r>
          </w:p>
          <w:p w:rsidR="00FF5A73" w:rsidRDefault="00FF5A73" w:rsidP="000742DA">
            <w:pPr>
              <w:pStyle w:val="ListParagraph"/>
              <w:rPr>
                <w:b/>
              </w:rPr>
            </w:pPr>
          </w:p>
          <w:p w:rsidR="00FF5A73" w:rsidRDefault="00FF5A73" w:rsidP="000742DA">
            <w:pPr>
              <w:pStyle w:val="ListParagraph"/>
              <w:rPr>
                <w:b/>
              </w:rPr>
            </w:pPr>
          </w:p>
          <w:p w:rsidR="00FF5A73" w:rsidRDefault="00FF5A73" w:rsidP="000742DA">
            <w:pPr>
              <w:pStyle w:val="ListParagraph"/>
              <w:rPr>
                <w:b/>
              </w:rPr>
            </w:pPr>
          </w:p>
          <w:p w:rsidR="00FF5A73" w:rsidRDefault="00FF5A73" w:rsidP="000742DA">
            <w:pPr>
              <w:pStyle w:val="ListParagraph"/>
              <w:rPr>
                <w:b/>
              </w:rPr>
            </w:pPr>
          </w:p>
          <w:p w:rsidR="00FF5A73" w:rsidRDefault="00FF5A73" w:rsidP="000742DA">
            <w:pPr>
              <w:pStyle w:val="ListParagraph"/>
              <w:rPr>
                <w:b/>
              </w:rPr>
            </w:pPr>
          </w:p>
          <w:p w:rsidR="00FF5A73" w:rsidRDefault="00FF5A73" w:rsidP="000742DA">
            <w:pPr>
              <w:pStyle w:val="ListParagraph"/>
              <w:rPr>
                <w:b/>
              </w:rPr>
            </w:pPr>
            <w:r>
              <w:rPr>
                <w:b/>
              </w:rPr>
              <w:t>Case Studies</w:t>
            </w:r>
          </w:p>
          <w:p w:rsidR="00FF5A73" w:rsidRDefault="00FF5A73" w:rsidP="000742DA">
            <w:pPr>
              <w:pStyle w:val="ListParagraph"/>
              <w:rPr>
                <w:b/>
              </w:rPr>
            </w:pPr>
          </w:p>
          <w:p w:rsidR="00FF5A73" w:rsidRDefault="00FF5A73" w:rsidP="000742DA">
            <w:pPr>
              <w:pStyle w:val="ListParagraph"/>
              <w:rPr>
                <w:b/>
              </w:rPr>
            </w:pPr>
          </w:p>
          <w:p w:rsidR="00FF5A73" w:rsidRPr="00090ED7" w:rsidRDefault="00FF5A73" w:rsidP="000742DA">
            <w:pPr>
              <w:pStyle w:val="ListParagraph"/>
              <w:rPr>
                <w:b/>
              </w:rPr>
            </w:pPr>
          </w:p>
        </w:tc>
      </w:tr>
    </w:tbl>
    <w:p w:rsidR="007642E3" w:rsidRDefault="007642E3" w:rsidP="007642E3">
      <w:pPr>
        <w:pStyle w:val="ListParagraph"/>
        <w:numPr>
          <w:ilvl w:val="0"/>
          <w:numId w:val="1"/>
        </w:numPr>
      </w:pPr>
      <w:r>
        <w:lastRenderedPageBreak/>
        <w:t>In the table below, indicate the types of learning activities of the amended programme design, and number of hours a student is expected to devote to each type. (this should refer to the table above relating to programme details) (criterion  1 vi)</w:t>
      </w:r>
    </w:p>
    <w:p w:rsidR="007642E3" w:rsidRDefault="007642E3" w:rsidP="007642E3"/>
    <w:tbl>
      <w:tblPr>
        <w:tblStyle w:val="TableGrid"/>
        <w:tblW w:w="0" w:type="auto"/>
        <w:tblLook w:val="04A0" w:firstRow="1" w:lastRow="0" w:firstColumn="1" w:lastColumn="0" w:noHBand="0" w:noVBand="1"/>
      </w:tblPr>
      <w:tblGrid>
        <w:gridCol w:w="3397"/>
        <w:gridCol w:w="2977"/>
        <w:gridCol w:w="1276"/>
        <w:gridCol w:w="1366"/>
      </w:tblGrid>
      <w:tr w:rsidR="007642E3" w:rsidTr="006A1AB8">
        <w:tc>
          <w:tcPr>
            <w:tcW w:w="6374" w:type="dxa"/>
            <w:gridSpan w:val="2"/>
            <w:shd w:val="clear" w:color="auto" w:fill="D9D9D9" w:themeFill="background1" w:themeFillShade="D9"/>
          </w:tcPr>
          <w:p w:rsidR="007642E3" w:rsidRDefault="007642E3" w:rsidP="006A1AB8">
            <w:pPr>
              <w:jc w:val="center"/>
            </w:pPr>
            <w:r>
              <w:t>Types of learning activities</w:t>
            </w:r>
          </w:p>
        </w:tc>
        <w:tc>
          <w:tcPr>
            <w:tcW w:w="1276" w:type="dxa"/>
            <w:shd w:val="clear" w:color="auto" w:fill="D9D9D9" w:themeFill="background1" w:themeFillShade="D9"/>
          </w:tcPr>
          <w:p w:rsidR="007642E3" w:rsidRDefault="007642E3" w:rsidP="006A1AB8">
            <w:pPr>
              <w:jc w:val="center"/>
            </w:pPr>
            <w:r>
              <w:t>Hours</w:t>
            </w:r>
          </w:p>
        </w:tc>
        <w:tc>
          <w:tcPr>
            <w:tcW w:w="1366" w:type="dxa"/>
            <w:shd w:val="clear" w:color="auto" w:fill="D9D9D9" w:themeFill="background1" w:themeFillShade="D9"/>
          </w:tcPr>
          <w:p w:rsidR="007642E3" w:rsidRDefault="007642E3" w:rsidP="006A1AB8">
            <w:pPr>
              <w:jc w:val="center"/>
            </w:pPr>
            <w:r>
              <w:t>%</w:t>
            </w:r>
          </w:p>
          <w:p w:rsidR="007642E3" w:rsidRDefault="007642E3" w:rsidP="006A1AB8">
            <w:pPr>
              <w:jc w:val="center"/>
            </w:pPr>
            <w:r>
              <w:t>Learning time</w:t>
            </w:r>
          </w:p>
        </w:tc>
      </w:tr>
      <w:tr w:rsidR="007642E3" w:rsidTr="006A1AB8">
        <w:tc>
          <w:tcPr>
            <w:tcW w:w="6374" w:type="dxa"/>
            <w:gridSpan w:val="2"/>
          </w:tcPr>
          <w:p w:rsidR="007642E3" w:rsidRDefault="007642E3" w:rsidP="006A1AB8">
            <w:r>
              <w:t>Direct contact time (Lecturers, face to face, limited interaction or technology assisted , tutorials, syndicate groups)</w:t>
            </w:r>
          </w:p>
        </w:tc>
        <w:tc>
          <w:tcPr>
            <w:tcW w:w="1276" w:type="dxa"/>
          </w:tcPr>
          <w:p w:rsidR="007642E3" w:rsidRDefault="00D32F1E" w:rsidP="00D32F1E">
            <w:r>
              <w:t>360</w:t>
            </w:r>
          </w:p>
        </w:tc>
        <w:tc>
          <w:tcPr>
            <w:tcW w:w="1366" w:type="dxa"/>
          </w:tcPr>
          <w:p w:rsidR="007642E3" w:rsidRDefault="00D32F1E" w:rsidP="006A1AB8">
            <w:r>
              <w:t>30</w:t>
            </w:r>
            <w:r w:rsidR="00C34C0A">
              <w:t>%</w:t>
            </w:r>
          </w:p>
        </w:tc>
      </w:tr>
      <w:tr w:rsidR="007642E3" w:rsidTr="006A1AB8">
        <w:tc>
          <w:tcPr>
            <w:tcW w:w="6374" w:type="dxa"/>
            <w:gridSpan w:val="2"/>
          </w:tcPr>
          <w:p w:rsidR="007642E3" w:rsidRDefault="007642E3" w:rsidP="006A1AB8">
            <w:r>
              <w:t>Independent self-study of standard tests and references and specially prepared materials (study guides, books journal articles, case studies, multi-media)</w:t>
            </w:r>
          </w:p>
        </w:tc>
        <w:tc>
          <w:tcPr>
            <w:tcW w:w="1276" w:type="dxa"/>
          </w:tcPr>
          <w:p w:rsidR="007642E3" w:rsidRDefault="00C34C0A" w:rsidP="006A1AB8">
            <w:r>
              <w:t>680</w:t>
            </w:r>
          </w:p>
        </w:tc>
        <w:tc>
          <w:tcPr>
            <w:tcW w:w="1366" w:type="dxa"/>
          </w:tcPr>
          <w:p w:rsidR="007642E3" w:rsidRDefault="00D32F1E" w:rsidP="006A1AB8">
            <w:r>
              <w:t>57</w:t>
            </w:r>
            <w:r w:rsidR="00C34C0A">
              <w:t>%</w:t>
            </w:r>
          </w:p>
        </w:tc>
      </w:tr>
      <w:tr w:rsidR="007642E3" w:rsidTr="006A1AB8">
        <w:tc>
          <w:tcPr>
            <w:tcW w:w="6374" w:type="dxa"/>
            <w:gridSpan w:val="2"/>
          </w:tcPr>
          <w:p w:rsidR="007642E3" w:rsidRDefault="007642E3" w:rsidP="006A1AB8">
            <w:r>
              <w:t>Assessment</w:t>
            </w:r>
          </w:p>
        </w:tc>
        <w:tc>
          <w:tcPr>
            <w:tcW w:w="1276" w:type="dxa"/>
          </w:tcPr>
          <w:p w:rsidR="007642E3" w:rsidRDefault="00D32F1E" w:rsidP="006A1AB8">
            <w:r>
              <w:t>6</w:t>
            </w:r>
            <w:r w:rsidR="00C34C0A">
              <w:t>0</w:t>
            </w:r>
          </w:p>
        </w:tc>
        <w:tc>
          <w:tcPr>
            <w:tcW w:w="1366" w:type="dxa"/>
          </w:tcPr>
          <w:p w:rsidR="007642E3" w:rsidRDefault="00D32F1E" w:rsidP="006A1AB8">
            <w:r>
              <w:t>5</w:t>
            </w:r>
            <w:r w:rsidR="00C34C0A">
              <w:t>%</w:t>
            </w:r>
          </w:p>
        </w:tc>
      </w:tr>
      <w:tr w:rsidR="007642E3" w:rsidTr="006A1AB8">
        <w:tc>
          <w:tcPr>
            <w:tcW w:w="6374" w:type="dxa"/>
            <w:gridSpan w:val="2"/>
          </w:tcPr>
          <w:p w:rsidR="007642E3" w:rsidRDefault="007642E3" w:rsidP="006A1AB8">
            <w:r>
              <w:t>Other (specify)</w:t>
            </w:r>
          </w:p>
        </w:tc>
        <w:tc>
          <w:tcPr>
            <w:tcW w:w="1276" w:type="dxa"/>
          </w:tcPr>
          <w:p w:rsidR="007642E3" w:rsidRDefault="00D32F1E" w:rsidP="006A1AB8">
            <w:r>
              <w:t>100</w:t>
            </w:r>
          </w:p>
        </w:tc>
        <w:tc>
          <w:tcPr>
            <w:tcW w:w="1366" w:type="dxa"/>
          </w:tcPr>
          <w:p w:rsidR="007642E3" w:rsidRDefault="00D32F1E" w:rsidP="006A1AB8">
            <w:r>
              <w:t>8.33%</w:t>
            </w:r>
          </w:p>
        </w:tc>
      </w:tr>
      <w:tr w:rsidR="007642E3" w:rsidTr="006A1AB8">
        <w:tc>
          <w:tcPr>
            <w:tcW w:w="6374" w:type="dxa"/>
            <w:gridSpan w:val="2"/>
          </w:tcPr>
          <w:p w:rsidR="007642E3" w:rsidRPr="000742DA" w:rsidRDefault="007642E3" w:rsidP="006A1AB8">
            <w:pPr>
              <w:rPr>
                <w:b/>
              </w:rPr>
            </w:pPr>
            <w:r w:rsidRPr="000742DA">
              <w:rPr>
                <w:b/>
              </w:rPr>
              <w:t>Total</w:t>
            </w:r>
          </w:p>
        </w:tc>
        <w:tc>
          <w:tcPr>
            <w:tcW w:w="1276" w:type="dxa"/>
          </w:tcPr>
          <w:p w:rsidR="007642E3" w:rsidRPr="000742DA" w:rsidRDefault="000742DA" w:rsidP="006A1AB8">
            <w:pPr>
              <w:rPr>
                <w:b/>
              </w:rPr>
            </w:pPr>
            <w:r w:rsidRPr="000742DA">
              <w:rPr>
                <w:b/>
              </w:rPr>
              <w:t>1200</w:t>
            </w:r>
          </w:p>
        </w:tc>
        <w:tc>
          <w:tcPr>
            <w:tcW w:w="1366" w:type="dxa"/>
          </w:tcPr>
          <w:p w:rsidR="007642E3" w:rsidRDefault="007642E3" w:rsidP="006A1AB8">
            <w:r>
              <w:t>100%</w:t>
            </w:r>
          </w:p>
        </w:tc>
      </w:tr>
      <w:tr w:rsidR="007642E3" w:rsidTr="006A1AB8">
        <w:tc>
          <w:tcPr>
            <w:tcW w:w="3397" w:type="dxa"/>
          </w:tcPr>
          <w:p w:rsidR="007642E3" w:rsidRDefault="007642E3" w:rsidP="006A1AB8"/>
        </w:tc>
        <w:tc>
          <w:tcPr>
            <w:tcW w:w="5619" w:type="dxa"/>
            <w:gridSpan w:val="3"/>
          </w:tcPr>
          <w:p w:rsidR="007642E3" w:rsidRPr="00522654" w:rsidRDefault="007642E3" w:rsidP="006A1AB8">
            <w:pPr>
              <w:rPr>
                <w:b/>
              </w:rPr>
            </w:pPr>
            <w:r>
              <w:rPr>
                <w:b/>
              </w:rPr>
              <w:t xml:space="preserve">If you selected “Other” as </w:t>
            </w:r>
            <w:r w:rsidRPr="00522654">
              <w:rPr>
                <w:b/>
                <w:u w:val="single"/>
              </w:rPr>
              <w:t>a type of learning activity</w:t>
            </w:r>
            <w:r>
              <w:rPr>
                <w:b/>
              </w:rPr>
              <w:t xml:space="preserve"> please give a detailed explanation below</w:t>
            </w:r>
          </w:p>
        </w:tc>
      </w:tr>
    </w:tbl>
    <w:p w:rsidR="007642E3" w:rsidRDefault="007642E3" w:rsidP="007642E3"/>
    <w:p w:rsidR="007642E3" w:rsidRDefault="007642E3" w:rsidP="007642E3">
      <w:pPr>
        <w:rPr>
          <w:b/>
        </w:rPr>
      </w:pPr>
      <w:r w:rsidRPr="00C47DFC">
        <w:rPr>
          <w:b/>
        </w:rPr>
        <w:t>ONLY ANSWER IF APPLICABLE:</w:t>
      </w:r>
    </w:p>
    <w:p w:rsidR="007642E3" w:rsidRDefault="007642E3" w:rsidP="007642E3">
      <w:pPr>
        <w:pStyle w:val="ListParagraph"/>
        <w:numPr>
          <w:ilvl w:val="0"/>
          <w:numId w:val="1"/>
        </w:numPr>
      </w:pPr>
      <w:r>
        <w:t>Indicate the name of the statutory and non-statutory Professional Body that has a role in this programme and indicate whether the amendments to the programme design comply with the requirements of this statutory and non-statutory Professional Body (Criterion 1 viii).</w:t>
      </w:r>
    </w:p>
    <w:tbl>
      <w:tblPr>
        <w:tblStyle w:val="TableGrid"/>
        <w:tblW w:w="9166" w:type="dxa"/>
        <w:tblInd w:w="-5" w:type="dxa"/>
        <w:tblLook w:val="04A0" w:firstRow="1" w:lastRow="0" w:firstColumn="1" w:lastColumn="0" w:noHBand="0" w:noVBand="1"/>
      </w:tblPr>
      <w:tblGrid>
        <w:gridCol w:w="9166"/>
      </w:tblGrid>
      <w:tr w:rsidR="007642E3" w:rsidTr="00B24CBD">
        <w:trPr>
          <w:trHeight w:val="672"/>
        </w:trPr>
        <w:tc>
          <w:tcPr>
            <w:tcW w:w="9166" w:type="dxa"/>
          </w:tcPr>
          <w:p w:rsidR="007642E3" w:rsidRDefault="007642E3" w:rsidP="006A1AB8"/>
          <w:p w:rsidR="007642E3" w:rsidRDefault="00B53DCD" w:rsidP="006A1AB8">
            <w:r>
              <w:t>N/A</w:t>
            </w:r>
          </w:p>
        </w:tc>
      </w:tr>
    </w:tbl>
    <w:p w:rsidR="007642E3" w:rsidRDefault="007642E3" w:rsidP="007642E3">
      <w:pPr>
        <w:ind w:left="405"/>
      </w:pPr>
    </w:p>
    <w:p w:rsidR="007642E3" w:rsidRDefault="007642E3" w:rsidP="007642E3">
      <w:pPr>
        <w:pStyle w:val="ListParagraph"/>
        <w:numPr>
          <w:ilvl w:val="0"/>
          <w:numId w:val="1"/>
        </w:numPr>
      </w:pPr>
      <w:r>
        <w:lastRenderedPageBreak/>
        <w:t>Provide details of how Recognition of Prior Learning (RPL) will be applied to this programme (Criteria 6 i, 13 v).</w:t>
      </w:r>
    </w:p>
    <w:tbl>
      <w:tblPr>
        <w:tblStyle w:val="TableGrid"/>
        <w:tblW w:w="0" w:type="auto"/>
        <w:tblLook w:val="04A0" w:firstRow="1" w:lastRow="0" w:firstColumn="1" w:lastColumn="0" w:noHBand="0" w:noVBand="1"/>
      </w:tblPr>
      <w:tblGrid>
        <w:gridCol w:w="9016"/>
      </w:tblGrid>
      <w:tr w:rsidR="007642E3" w:rsidTr="006A1AB8">
        <w:tc>
          <w:tcPr>
            <w:tcW w:w="9016" w:type="dxa"/>
          </w:tcPr>
          <w:p w:rsidR="00680674" w:rsidRDefault="00680674" w:rsidP="00680674">
            <w:pPr>
              <w:pStyle w:val="ListParagraph"/>
            </w:pPr>
          </w:p>
          <w:p w:rsidR="007642E3" w:rsidRDefault="00574882" w:rsidP="00680674">
            <w:pPr>
              <w:pStyle w:val="ListParagraph"/>
              <w:numPr>
                <w:ilvl w:val="0"/>
                <w:numId w:val="3"/>
              </w:numPr>
            </w:pPr>
            <w:r>
              <w:t>Prior learning shall be recognized, subject to the requirements of the programme and a</w:t>
            </w:r>
            <w:r w:rsidR="00B53DCD">
              <w:t>s</w:t>
            </w:r>
            <w:r>
              <w:t xml:space="preserve"> per WSU’s policy for Recognition of Prior Learning (RPL) </w:t>
            </w:r>
          </w:p>
          <w:p w:rsidR="00680674" w:rsidRDefault="00680674" w:rsidP="00680674">
            <w:pPr>
              <w:pStyle w:val="ListParagraph"/>
            </w:pPr>
          </w:p>
          <w:p w:rsidR="00680674" w:rsidRDefault="00680674" w:rsidP="00680674">
            <w:pPr>
              <w:pStyle w:val="ListParagraph"/>
              <w:numPr>
                <w:ilvl w:val="0"/>
                <w:numId w:val="3"/>
              </w:numPr>
            </w:pPr>
            <w:r>
              <w:t>RPL may be used to demonstrate competence for admission into this programme.  This qualification may be achieved in part through recognition of the prior learning processes.  Credits achieved by RPL must not exceed 50% of the total credits and must not include credits at the exit level.</w:t>
            </w:r>
          </w:p>
          <w:p w:rsidR="00680674" w:rsidRDefault="00680674" w:rsidP="00680674"/>
          <w:p w:rsidR="00680674" w:rsidRDefault="00680674" w:rsidP="00680674">
            <w:pPr>
              <w:pStyle w:val="ListParagraph"/>
              <w:numPr>
                <w:ilvl w:val="0"/>
                <w:numId w:val="3"/>
              </w:numPr>
            </w:pPr>
            <w:r>
              <w:t>Evidence of prior learning must be assessed through formal RPL processes through recognized methods.  Any other evidence of prior learning should be assessed through RPL processes to recognize achievement thereof.</w:t>
            </w:r>
          </w:p>
          <w:p w:rsidR="00680674" w:rsidRDefault="00680674" w:rsidP="005A7549">
            <w:pPr>
              <w:pStyle w:val="ListParagraph"/>
            </w:pPr>
          </w:p>
          <w:p w:rsidR="007642E3" w:rsidRDefault="007642E3" w:rsidP="006A1AB8"/>
        </w:tc>
      </w:tr>
    </w:tbl>
    <w:p w:rsidR="007642E3" w:rsidRDefault="007642E3" w:rsidP="007642E3"/>
    <w:p w:rsidR="007642E3" w:rsidRDefault="007642E3" w:rsidP="007642E3">
      <w:pPr>
        <w:pStyle w:val="ListParagraph"/>
        <w:numPr>
          <w:ilvl w:val="0"/>
          <w:numId w:val="1"/>
        </w:numPr>
      </w:pPr>
      <w:r>
        <w:t xml:space="preserve">*Where a workplace-based learning component is included, provide details as to how students will be placed into WIL programmes, how the WIL programme is appropriately structured, and how the WIL programme will be supervised and assessed. (Criteria 1 ix, 15 i-iv) </w:t>
      </w:r>
    </w:p>
    <w:tbl>
      <w:tblPr>
        <w:tblStyle w:val="TableGrid"/>
        <w:tblW w:w="0" w:type="auto"/>
        <w:tblLook w:val="04A0" w:firstRow="1" w:lastRow="0" w:firstColumn="1" w:lastColumn="0" w:noHBand="0" w:noVBand="1"/>
      </w:tblPr>
      <w:tblGrid>
        <w:gridCol w:w="9016"/>
      </w:tblGrid>
      <w:tr w:rsidR="007642E3" w:rsidTr="006A1AB8">
        <w:tc>
          <w:tcPr>
            <w:tcW w:w="9016" w:type="dxa"/>
          </w:tcPr>
          <w:p w:rsidR="007642E3" w:rsidRDefault="007254A6" w:rsidP="006A1AB8">
            <w:r>
              <w:t>N/A</w:t>
            </w:r>
          </w:p>
        </w:tc>
      </w:tr>
    </w:tbl>
    <w:p w:rsidR="00E7465A" w:rsidRDefault="00E7465A"/>
    <w:p w:rsidR="00710EAA" w:rsidRDefault="00710EAA"/>
    <w:p w:rsidR="00710EAA" w:rsidRDefault="00710EAA"/>
    <w:p w:rsidR="00710EAA" w:rsidRPr="00710EAA" w:rsidRDefault="00710EAA">
      <w:pPr>
        <w:rPr>
          <w:color w:val="FF0000"/>
        </w:rPr>
      </w:pPr>
    </w:p>
    <w:sectPr w:rsidR="00710EAA" w:rsidRPr="00710EAA" w:rsidSect="002F501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135" w:rsidRDefault="001D7135">
      <w:pPr>
        <w:spacing w:after="0" w:line="240" w:lineRule="auto"/>
      </w:pPr>
      <w:r>
        <w:separator/>
      </w:r>
    </w:p>
  </w:endnote>
  <w:endnote w:type="continuationSeparator" w:id="0">
    <w:p w:rsidR="001D7135" w:rsidRDefault="001D7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488812"/>
      <w:docPartObj>
        <w:docPartGallery w:val="Page Numbers (Bottom of Page)"/>
        <w:docPartUnique/>
      </w:docPartObj>
    </w:sdtPr>
    <w:sdtEndPr>
      <w:rPr>
        <w:noProof/>
      </w:rPr>
    </w:sdtEndPr>
    <w:sdtContent>
      <w:p w:rsidR="006A1AB8" w:rsidRDefault="00D31D5C">
        <w:pPr>
          <w:pStyle w:val="Footer"/>
          <w:jc w:val="right"/>
        </w:pPr>
        <w:r>
          <w:fldChar w:fldCharType="begin"/>
        </w:r>
        <w:r w:rsidR="008916BB">
          <w:instrText xml:space="preserve"> PAGE   \* MERGEFORMAT </w:instrText>
        </w:r>
        <w:r>
          <w:fldChar w:fldCharType="separate"/>
        </w:r>
        <w:r w:rsidR="00BC30B5">
          <w:rPr>
            <w:noProof/>
          </w:rPr>
          <w:t>1</w:t>
        </w:r>
        <w:r>
          <w:rPr>
            <w:noProof/>
          </w:rPr>
          <w:fldChar w:fldCharType="end"/>
        </w:r>
      </w:p>
    </w:sdtContent>
  </w:sdt>
  <w:p w:rsidR="006A1AB8" w:rsidRDefault="006A1A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135" w:rsidRDefault="001D7135">
      <w:pPr>
        <w:spacing w:after="0" w:line="240" w:lineRule="auto"/>
      </w:pPr>
      <w:r>
        <w:separator/>
      </w:r>
    </w:p>
  </w:footnote>
  <w:footnote w:type="continuationSeparator" w:id="0">
    <w:p w:rsidR="001D7135" w:rsidRDefault="001D71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EAA" w:rsidRDefault="00710EAA">
    <w:pPr>
      <w:pStyle w:val="Header"/>
    </w:pPr>
  </w:p>
  <w:p w:rsidR="00710EAA" w:rsidRDefault="00710E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F77D0"/>
    <w:multiLevelType w:val="hybridMultilevel"/>
    <w:tmpl w:val="1578191A"/>
    <w:lvl w:ilvl="0" w:tplc="6C76560A">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B87634D"/>
    <w:multiLevelType w:val="hybridMultilevel"/>
    <w:tmpl w:val="4D60BB66"/>
    <w:lvl w:ilvl="0" w:tplc="18642290">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26D4E79"/>
    <w:multiLevelType w:val="hybridMultilevel"/>
    <w:tmpl w:val="B43E5B90"/>
    <w:lvl w:ilvl="0" w:tplc="1BDE82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F5E8B"/>
    <w:multiLevelType w:val="hybridMultilevel"/>
    <w:tmpl w:val="748A3728"/>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nsid w:val="43AC6443"/>
    <w:multiLevelType w:val="hybridMultilevel"/>
    <w:tmpl w:val="B51A2ECE"/>
    <w:lvl w:ilvl="0" w:tplc="7CC88C60">
      <w:start w:val="2"/>
      <w:numFmt w:val="decimal"/>
      <w:lvlText w:val="%1."/>
      <w:lvlJc w:val="left"/>
      <w:pPr>
        <w:ind w:left="765" w:hanging="360"/>
      </w:pPr>
      <w:rPr>
        <w:rFonts w:hint="default"/>
      </w:rPr>
    </w:lvl>
    <w:lvl w:ilvl="1" w:tplc="1C090019" w:tentative="1">
      <w:start w:val="1"/>
      <w:numFmt w:val="lowerLetter"/>
      <w:lvlText w:val="%2."/>
      <w:lvlJc w:val="left"/>
      <w:pPr>
        <w:ind w:left="1485" w:hanging="360"/>
      </w:pPr>
    </w:lvl>
    <w:lvl w:ilvl="2" w:tplc="1C09001B" w:tentative="1">
      <w:start w:val="1"/>
      <w:numFmt w:val="lowerRoman"/>
      <w:lvlText w:val="%3."/>
      <w:lvlJc w:val="right"/>
      <w:pPr>
        <w:ind w:left="2205" w:hanging="180"/>
      </w:pPr>
    </w:lvl>
    <w:lvl w:ilvl="3" w:tplc="1C09000F" w:tentative="1">
      <w:start w:val="1"/>
      <w:numFmt w:val="decimal"/>
      <w:lvlText w:val="%4."/>
      <w:lvlJc w:val="left"/>
      <w:pPr>
        <w:ind w:left="2925" w:hanging="360"/>
      </w:pPr>
    </w:lvl>
    <w:lvl w:ilvl="4" w:tplc="1C090019" w:tentative="1">
      <w:start w:val="1"/>
      <w:numFmt w:val="lowerLetter"/>
      <w:lvlText w:val="%5."/>
      <w:lvlJc w:val="left"/>
      <w:pPr>
        <w:ind w:left="3645" w:hanging="360"/>
      </w:pPr>
    </w:lvl>
    <w:lvl w:ilvl="5" w:tplc="1C09001B" w:tentative="1">
      <w:start w:val="1"/>
      <w:numFmt w:val="lowerRoman"/>
      <w:lvlText w:val="%6."/>
      <w:lvlJc w:val="right"/>
      <w:pPr>
        <w:ind w:left="4365" w:hanging="180"/>
      </w:pPr>
    </w:lvl>
    <w:lvl w:ilvl="6" w:tplc="1C09000F" w:tentative="1">
      <w:start w:val="1"/>
      <w:numFmt w:val="decimal"/>
      <w:lvlText w:val="%7."/>
      <w:lvlJc w:val="left"/>
      <w:pPr>
        <w:ind w:left="5085" w:hanging="360"/>
      </w:pPr>
    </w:lvl>
    <w:lvl w:ilvl="7" w:tplc="1C090019" w:tentative="1">
      <w:start w:val="1"/>
      <w:numFmt w:val="lowerLetter"/>
      <w:lvlText w:val="%8."/>
      <w:lvlJc w:val="left"/>
      <w:pPr>
        <w:ind w:left="5805" w:hanging="360"/>
      </w:pPr>
    </w:lvl>
    <w:lvl w:ilvl="8" w:tplc="1C09001B" w:tentative="1">
      <w:start w:val="1"/>
      <w:numFmt w:val="lowerRoman"/>
      <w:lvlText w:val="%9."/>
      <w:lvlJc w:val="right"/>
      <w:pPr>
        <w:ind w:left="6525" w:hanging="180"/>
      </w:pPr>
    </w:lvl>
  </w:abstractNum>
  <w:abstractNum w:abstractNumId="5">
    <w:nsid w:val="48507285"/>
    <w:multiLevelType w:val="hybridMultilevel"/>
    <w:tmpl w:val="36F6F98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nsid w:val="56C03E17"/>
    <w:multiLevelType w:val="hybridMultilevel"/>
    <w:tmpl w:val="95C6673C"/>
    <w:lvl w:ilvl="0" w:tplc="6C76560A">
      <w:numFmt w:val="bullet"/>
      <w:lvlText w:val=""/>
      <w:lvlJc w:val="left"/>
      <w:pPr>
        <w:ind w:left="768" w:hanging="360"/>
      </w:pPr>
      <w:rPr>
        <w:rFonts w:ascii="Symbol" w:eastAsiaTheme="minorHAnsi" w:hAnsi="Symbol" w:cstheme="minorBidi"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7">
    <w:nsid w:val="60D348FC"/>
    <w:multiLevelType w:val="hybridMultilevel"/>
    <w:tmpl w:val="5532CCA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8">
    <w:nsid w:val="615411B1"/>
    <w:multiLevelType w:val="hybridMultilevel"/>
    <w:tmpl w:val="7396DF8E"/>
    <w:lvl w:ilvl="0" w:tplc="CBE0F730">
      <w:start w:val="8"/>
      <w:numFmt w:val="bullet"/>
      <w:lvlText w:val="-"/>
      <w:lvlJc w:val="left"/>
      <w:pPr>
        <w:ind w:left="720" w:hanging="360"/>
      </w:pPr>
      <w:rPr>
        <w:rFonts w:ascii="Tahoma" w:eastAsia="Times New Roman" w:hAnsi="Tahoma" w:cs="Tahoma"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74DA2DC7"/>
    <w:multiLevelType w:val="hybridMultilevel"/>
    <w:tmpl w:val="2DEAC6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9"/>
  </w:num>
  <w:num w:numId="5">
    <w:abstractNumId w:val="8"/>
  </w:num>
  <w:num w:numId="6">
    <w:abstractNumId w:val="6"/>
  </w:num>
  <w:num w:numId="7">
    <w:abstractNumId w:val="2"/>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E3"/>
    <w:rsid w:val="00041ED0"/>
    <w:rsid w:val="00051D8A"/>
    <w:rsid w:val="000742DA"/>
    <w:rsid w:val="00090ED7"/>
    <w:rsid w:val="000A3A4B"/>
    <w:rsid w:val="00126509"/>
    <w:rsid w:val="00131CB3"/>
    <w:rsid w:val="00141DCC"/>
    <w:rsid w:val="0017045A"/>
    <w:rsid w:val="00197DBC"/>
    <w:rsid w:val="001D23C0"/>
    <w:rsid w:val="001D7135"/>
    <w:rsid w:val="002773F2"/>
    <w:rsid w:val="002F501B"/>
    <w:rsid w:val="002F58D6"/>
    <w:rsid w:val="003438BA"/>
    <w:rsid w:val="003535DC"/>
    <w:rsid w:val="00356200"/>
    <w:rsid w:val="003D3FDE"/>
    <w:rsid w:val="0040720A"/>
    <w:rsid w:val="00412EDE"/>
    <w:rsid w:val="00472535"/>
    <w:rsid w:val="004732E9"/>
    <w:rsid w:val="0048595B"/>
    <w:rsid w:val="004A3EB5"/>
    <w:rsid w:val="004E655D"/>
    <w:rsid w:val="00517D47"/>
    <w:rsid w:val="00531BBF"/>
    <w:rsid w:val="00540C08"/>
    <w:rsid w:val="005558EA"/>
    <w:rsid w:val="00574882"/>
    <w:rsid w:val="005774D2"/>
    <w:rsid w:val="00584C99"/>
    <w:rsid w:val="00591B0B"/>
    <w:rsid w:val="005A7549"/>
    <w:rsid w:val="005E7026"/>
    <w:rsid w:val="00670B1C"/>
    <w:rsid w:val="00680674"/>
    <w:rsid w:val="006A1AB8"/>
    <w:rsid w:val="006B2C88"/>
    <w:rsid w:val="006D0C27"/>
    <w:rsid w:val="006D22DD"/>
    <w:rsid w:val="006D2568"/>
    <w:rsid w:val="006E3E75"/>
    <w:rsid w:val="00710EAA"/>
    <w:rsid w:val="007254A6"/>
    <w:rsid w:val="00752836"/>
    <w:rsid w:val="007642E3"/>
    <w:rsid w:val="007C5FAB"/>
    <w:rsid w:val="007D3801"/>
    <w:rsid w:val="007E1D1A"/>
    <w:rsid w:val="007E4616"/>
    <w:rsid w:val="008916BB"/>
    <w:rsid w:val="00895DA0"/>
    <w:rsid w:val="008974D6"/>
    <w:rsid w:val="008A1495"/>
    <w:rsid w:val="008D1FBA"/>
    <w:rsid w:val="008F7403"/>
    <w:rsid w:val="009368F0"/>
    <w:rsid w:val="00963490"/>
    <w:rsid w:val="009A1B56"/>
    <w:rsid w:val="009B7A50"/>
    <w:rsid w:val="009E02E4"/>
    <w:rsid w:val="009F0BCB"/>
    <w:rsid w:val="00A359A3"/>
    <w:rsid w:val="00A612C6"/>
    <w:rsid w:val="00AB5DE4"/>
    <w:rsid w:val="00B10639"/>
    <w:rsid w:val="00B158B5"/>
    <w:rsid w:val="00B24CBD"/>
    <w:rsid w:val="00B352C1"/>
    <w:rsid w:val="00B42E47"/>
    <w:rsid w:val="00B51B6E"/>
    <w:rsid w:val="00B53DCD"/>
    <w:rsid w:val="00B61614"/>
    <w:rsid w:val="00B62C97"/>
    <w:rsid w:val="00BC30B5"/>
    <w:rsid w:val="00BE2F1C"/>
    <w:rsid w:val="00BE7E1F"/>
    <w:rsid w:val="00C34C0A"/>
    <w:rsid w:val="00C40772"/>
    <w:rsid w:val="00CB15CE"/>
    <w:rsid w:val="00CF4CA7"/>
    <w:rsid w:val="00D16FD6"/>
    <w:rsid w:val="00D31D5C"/>
    <w:rsid w:val="00D32F1E"/>
    <w:rsid w:val="00D35246"/>
    <w:rsid w:val="00D40A30"/>
    <w:rsid w:val="00D94864"/>
    <w:rsid w:val="00DA00ED"/>
    <w:rsid w:val="00DC2FE1"/>
    <w:rsid w:val="00DE2751"/>
    <w:rsid w:val="00E14414"/>
    <w:rsid w:val="00E70D21"/>
    <w:rsid w:val="00E7465A"/>
    <w:rsid w:val="00E750BF"/>
    <w:rsid w:val="00E91E68"/>
    <w:rsid w:val="00EB7A18"/>
    <w:rsid w:val="00EC2DD6"/>
    <w:rsid w:val="00F67B9A"/>
    <w:rsid w:val="00F73641"/>
    <w:rsid w:val="00FE592D"/>
    <w:rsid w:val="00FF5841"/>
    <w:rsid w:val="00FF5A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285FE7-7171-4605-B7A8-39F48C68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2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4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2E3"/>
    <w:pPr>
      <w:ind w:left="720"/>
      <w:contextualSpacing/>
    </w:pPr>
  </w:style>
  <w:style w:type="paragraph" w:styleId="Footer">
    <w:name w:val="footer"/>
    <w:basedOn w:val="Normal"/>
    <w:link w:val="FooterChar"/>
    <w:uiPriority w:val="99"/>
    <w:unhideWhenUsed/>
    <w:rsid w:val="00764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2E3"/>
  </w:style>
  <w:style w:type="paragraph" w:styleId="BalloonText">
    <w:name w:val="Balloon Text"/>
    <w:basedOn w:val="Normal"/>
    <w:link w:val="BalloonTextChar"/>
    <w:uiPriority w:val="99"/>
    <w:semiHidden/>
    <w:unhideWhenUsed/>
    <w:rsid w:val="007C5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FAB"/>
    <w:rPr>
      <w:rFonts w:ascii="Tahoma" w:hAnsi="Tahoma" w:cs="Tahoma"/>
      <w:sz w:val="16"/>
      <w:szCs w:val="16"/>
    </w:rPr>
  </w:style>
  <w:style w:type="paragraph" w:styleId="Header">
    <w:name w:val="header"/>
    <w:basedOn w:val="Normal"/>
    <w:link w:val="HeaderChar"/>
    <w:uiPriority w:val="99"/>
    <w:unhideWhenUsed/>
    <w:rsid w:val="00710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62BE7-9C71-463B-8DD5-3CBE13C8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Dr. Mabovula</cp:lastModifiedBy>
  <cp:revision>2</cp:revision>
  <dcterms:created xsi:type="dcterms:W3CDTF">2015-04-28T12:53:00Z</dcterms:created>
  <dcterms:modified xsi:type="dcterms:W3CDTF">2015-04-28T12:53:00Z</dcterms:modified>
</cp:coreProperties>
</file>