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8E" w:rsidRDefault="0066298E" w:rsidP="0066298E">
      <w:pPr>
        <w:pStyle w:val="ListParagraph"/>
        <w:numPr>
          <w:ilvl w:val="0"/>
          <w:numId w:val="2"/>
        </w:numPr>
        <w:spacing w:after="0"/>
        <w:jc w:val="center"/>
        <w:rPr>
          <w:rFonts w:ascii="Arial Narrow" w:hAnsi="Arial Narrow"/>
          <w:b/>
          <w:sz w:val="28"/>
          <w:szCs w:val="28"/>
        </w:rPr>
      </w:pPr>
      <w:r w:rsidRPr="000D1E20">
        <w:rPr>
          <w:rFonts w:ascii="Arial Narrow" w:hAnsi="Arial Narrow"/>
          <w:b/>
          <w:sz w:val="28"/>
          <w:szCs w:val="28"/>
        </w:rPr>
        <w:t>ACADEMIC DEVELOPMENT INCLUDING STUDENT SUPPORT</w:t>
      </w:r>
    </w:p>
    <w:p w:rsidR="0066298E" w:rsidRDefault="0066298E" w:rsidP="0066298E">
      <w:pPr>
        <w:spacing w:after="0"/>
        <w:rPr>
          <w:rFonts w:ascii="Arial Narrow" w:hAnsi="Arial Narrow"/>
          <w:b/>
          <w:sz w:val="28"/>
          <w:szCs w:val="28"/>
        </w:rPr>
      </w:pPr>
    </w:p>
    <w:p w:rsidR="0066298E" w:rsidRPr="000D1E20" w:rsidRDefault="0066298E" w:rsidP="0066298E">
      <w:pPr>
        <w:spacing w:after="0"/>
        <w:rPr>
          <w:rFonts w:ascii="Arial Narrow" w:hAnsi="Arial Narrow"/>
          <w:b/>
          <w:sz w:val="28"/>
          <w:szCs w:val="28"/>
        </w:rPr>
      </w:pPr>
      <w:r>
        <w:rPr>
          <w:rFonts w:ascii="Arial Narrow" w:hAnsi="Arial Narrow"/>
          <w:b/>
          <w:sz w:val="28"/>
          <w:szCs w:val="28"/>
        </w:rPr>
        <w:t>5.1</w:t>
      </w:r>
    </w:p>
    <w:p w:rsidR="0066298E" w:rsidRDefault="0066298E" w:rsidP="0066298E">
      <w:pPr>
        <w:spacing w:after="0"/>
        <w:jc w:val="center"/>
        <w:rPr>
          <w:rFonts w:ascii="Arial Narrow" w:hAnsi="Arial Narrow"/>
          <w:b/>
          <w:sz w:val="28"/>
          <w:szCs w:val="28"/>
        </w:rPr>
      </w:pPr>
    </w:p>
    <w:tbl>
      <w:tblPr>
        <w:tblStyle w:val="TableGrid"/>
        <w:tblW w:w="15390" w:type="dxa"/>
        <w:tblInd w:w="-725" w:type="dxa"/>
        <w:tblLook w:val="04A0" w:firstRow="1" w:lastRow="0" w:firstColumn="1" w:lastColumn="0" w:noHBand="0" w:noVBand="1"/>
      </w:tblPr>
      <w:tblGrid>
        <w:gridCol w:w="15390"/>
      </w:tblGrid>
      <w:tr w:rsidR="0066298E" w:rsidTr="000E660B">
        <w:tc>
          <w:tcPr>
            <w:tcW w:w="15390" w:type="dxa"/>
          </w:tcPr>
          <w:p w:rsidR="0066298E" w:rsidRDefault="0066298E" w:rsidP="0066298E">
            <w:pPr>
              <w:rPr>
                <w:rFonts w:ascii="Arial Narrow" w:hAnsi="Arial Narrow" w:cs="Times New Roman"/>
                <w:b/>
                <w:sz w:val="24"/>
                <w:szCs w:val="24"/>
              </w:rPr>
            </w:pPr>
            <w:r>
              <w:rPr>
                <w:rFonts w:ascii="Arial Narrow" w:hAnsi="Arial Narrow" w:cs="Times New Roman"/>
                <w:b/>
                <w:sz w:val="24"/>
                <w:szCs w:val="24"/>
              </w:rPr>
              <w:t xml:space="preserve">Instructions: </w:t>
            </w: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1655D6" w:rsidRDefault="001655D6"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1655D6" w:rsidRDefault="001655D6"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1655D6" w:rsidRDefault="001655D6"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1655D6" w:rsidRDefault="001655D6"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1655D6" w:rsidRDefault="001655D6" w:rsidP="001655D6">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1655D6" w:rsidRDefault="001655D6" w:rsidP="001655D6">
            <w:pPr>
              <w:pStyle w:val="ListParagraph"/>
              <w:ind w:left="1440"/>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1655D6" w:rsidRDefault="001655D6" w:rsidP="001655D6">
            <w:pPr>
              <w:pStyle w:val="ListParagraph"/>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1655D6" w:rsidRPr="00B1388F" w:rsidRDefault="001655D6" w:rsidP="001655D6">
            <w:pPr>
              <w:pStyle w:val="ListParagraph"/>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Compile supporting evidence to substantiate the institution’s response and list it systematically in the space provided. The actual supporting evidence should be uploaded on HEQC Online system at the time of submission and should correspond to the list of evidence below.</w:t>
            </w:r>
          </w:p>
          <w:p w:rsidR="0066298E" w:rsidRDefault="0066298E" w:rsidP="000E660B">
            <w:pPr>
              <w:jc w:val="center"/>
              <w:rPr>
                <w:rFonts w:ascii="Arial Narrow" w:hAnsi="Arial Narrow"/>
                <w:b/>
                <w:sz w:val="28"/>
                <w:szCs w:val="28"/>
              </w:rPr>
            </w:pPr>
          </w:p>
        </w:tc>
      </w:tr>
    </w:tbl>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66298E" w:rsidRPr="007A53FA" w:rsidTr="000E660B">
        <w:tc>
          <w:tcPr>
            <w:tcW w:w="8820" w:type="dxa"/>
            <w:shd w:val="clear" w:color="auto" w:fill="BFBFBF" w:themeFill="background1" w:themeFillShade="BF"/>
          </w:tcPr>
          <w:p w:rsidR="0066298E" w:rsidRDefault="0066298E" w:rsidP="000E660B">
            <w:pPr>
              <w:jc w:val="center"/>
              <w:rPr>
                <w:rFonts w:ascii="Arial Narrow" w:hAnsi="Arial Narrow" w:cs="Times New Roman"/>
                <w:b/>
                <w:bCs/>
                <w:sz w:val="24"/>
                <w:szCs w:val="24"/>
                <w:lang w:val="en-ZA"/>
              </w:rPr>
            </w:pPr>
          </w:p>
          <w:p w:rsidR="0066298E" w:rsidRPr="007A53FA" w:rsidRDefault="0066298E"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rPr>
              <w:t>Does not meet the majority of the minimum standards</w:t>
            </w:r>
          </w:p>
        </w:tc>
      </w:tr>
      <w:tr w:rsidR="0066298E" w:rsidRPr="00BB19F3" w:rsidTr="000E660B">
        <w:tc>
          <w:tcPr>
            <w:tcW w:w="8820" w:type="dxa"/>
          </w:tcPr>
          <w:p w:rsidR="0066298E" w:rsidRDefault="0066298E" w:rsidP="0066298E">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Student and staff development initiatives are responsive to the needs of the students and staff. This includes foundational and skills-oriented provision for students.</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r w:rsidR="0066298E" w:rsidRPr="00BB19F3" w:rsidTr="000E660B">
        <w:tc>
          <w:tcPr>
            <w:tcW w:w="8820" w:type="dxa"/>
          </w:tcPr>
          <w:p w:rsidR="0066298E" w:rsidRPr="004A7255" w:rsidRDefault="0066298E"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Curriculum development at programme and course/module levels includes strategies for language skills development, numeracy and cognitive skills which enhance the use of disciplinary discourse and skills by students.</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r w:rsidR="0066298E" w:rsidRPr="00BB19F3" w:rsidTr="000E660B">
        <w:tc>
          <w:tcPr>
            <w:tcW w:w="8820" w:type="dxa"/>
          </w:tcPr>
          <w:p w:rsidR="0066298E" w:rsidRPr="004A7255" w:rsidRDefault="0066298E"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effectiveness of academic development initiatives is regularly monitored and feedback is used for improvement.</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r w:rsidR="0066298E" w:rsidRPr="00BB19F3" w:rsidTr="000E660B">
        <w:tc>
          <w:tcPr>
            <w:tcW w:w="8820" w:type="dxa"/>
          </w:tcPr>
          <w:p w:rsidR="0066298E" w:rsidRPr="004A7255" w:rsidRDefault="0066298E"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Academic support programmes provide appropriate assistance to underperforming or at-risk students on the programme</w:t>
            </w:r>
            <w:r>
              <w:rPr>
                <w:rFonts w:ascii="Arial Narrow" w:eastAsia="Times New Roman" w:hAnsi="Arial Narrow" w:cs="Times New Roman"/>
                <w:sz w:val="24"/>
                <w:szCs w:val="24"/>
                <w:lang w:val="en-ZA"/>
              </w:rPr>
              <w:t>.</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r w:rsidR="0066298E" w:rsidRPr="00BB19F3" w:rsidTr="000E660B">
        <w:tc>
          <w:tcPr>
            <w:tcW w:w="8820" w:type="dxa"/>
          </w:tcPr>
          <w:p w:rsidR="0066298E" w:rsidRPr="004A7255" w:rsidRDefault="0066298E"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procedures for monitoring teaching and learning, and assessment in online learning or the use of technology in support of teaching and learning are clear and aligned to the teaching and learning and assessment strategy.</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r w:rsidR="0066298E" w:rsidRPr="00BB19F3" w:rsidTr="000E660B">
        <w:tc>
          <w:tcPr>
            <w:tcW w:w="8820" w:type="dxa"/>
          </w:tcPr>
          <w:p w:rsidR="0066298E" w:rsidRPr="004A7255" w:rsidRDefault="0066298E"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Institution has the capacity in terms of systems, structures, policies, procedures and processes for materials design, development and delivery for online learning in relation to the programme.</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bl>
    <w:p w:rsidR="0066298E" w:rsidRDefault="0066298E" w:rsidP="0066298E">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66298E" w:rsidRPr="007A53FA" w:rsidTr="000E660B">
        <w:tc>
          <w:tcPr>
            <w:tcW w:w="8820" w:type="dxa"/>
            <w:shd w:val="clear" w:color="auto" w:fill="BFBFBF" w:themeFill="background1" w:themeFillShade="BF"/>
          </w:tcPr>
          <w:p w:rsidR="0066298E" w:rsidRDefault="0066298E" w:rsidP="000E660B">
            <w:pPr>
              <w:jc w:val="center"/>
              <w:rPr>
                <w:rFonts w:ascii="Arial Narrow" w:hAnsi="Arial Narrow" w:cs="Times New Roman"/>
                <w:b/>
                <w:bCs/>
                <w:sz w:val="24"/>
                <w:szCs w:val="24"/>
                <w:lang w:val="en-ZA"/>
              </w:rPr>
            </w:pPr>
          </w:p>
          <w:p w:rsidR="0066298E" w:rsidRDefault="0066298E"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FC2C8A" w:rsidRDefault="00FC2C8A" w:rsidP="00FC2C8A">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FC2C8A" w:rsidRDefault="00FC2C8A" w:rsidP="000E660B">
            <w:pPr>
              <w:jc w:val="center"/>
              <w:rPr>
                <w:rFonts w:ascii="Arial Narrow" w:hAnsi="Arial Narrow" w:cs="Times New Roman"/>
                <w:b/>
                <w:sz w:val="24"/>
                <w:szCs w:val="24"/>
                <w:lang w:val="en-ZA"/>
              </w:rPr>
            </w:pPr>
          </w:p>
          <w:p w:rsidR="0066298E" w:rsidRPr="007A53FA" w:rsidRDefault="0066298E" w:rsidP="000E660B">
            <w:pPr>
              <w:jc w:val="center"/>
              <w:rPr>
                <w:b/>
              </w:rPr>
            </w:pPr>
          </w:p>
        </w:tc>
        <w:tc>
          <w:tcPr>
            <w:tcW w:w="1170"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66298E" w:rsidRPr="007A53FA" w:rsidRDefault="0066298E" w:rsidP="000E660B">
            <w:pPr>
              <w:rPr>
                <w:b/>
              </w:rPr>
            </w:pPr>
            <w:r w:rsidRPr="007A53FA">
              <w:rPr>
                <w:rFonts w:ascii="Arial Narrow" w:hAnsi="Arial Narrow" w:cs="Times New Roman"/>
                <w:b/>
                <w:sz w:val="24"/>
                <w:szCs w:val="24"/>
              </w:rPr>
              <w:t>Does not meet the majority of the minimum standards</w:t>
            </w:r>
          </w:p>
        </w:tc>
      </w:tr>
      <w:tr w:rsidR="0066298E" w:rsidRPr="00BB19F3" w:rsidTr="000E660B">
        <w:tc>
          <w:tcPr>
            <w:tcW w:w="8820" w:type="dxa"/>
          </w:tcPr>
          <w:p w:rsidR="0066298E" w:rsidRPr="00EB0D6B" w:rsidRDefault="0066298E" w:rsidP="000E660B">
            <w:pPr>
              <w:rPr>
                <w:rFonts w:ascii="Arial Narrow" w:hAnsi="Arial Narrow" w:cs="Times New Roman"/>
                <w:bCs/>
                <w:sz w:val="24"/>
                <w:szCs w:val="24"/>
              </w:rPr>
            </w:pPr>
            <w:r w:rsidRPr="0066298E">
              <w:rPr>
                <w:rFonts w:ascii="Arial Narrow" w:hAnsi="Arial Narrow" w:cs="Times New Roman"/>
                <w:sz w:val="24"/>
                <w:szCs w:val="24"/>
                <w:lang w:val="en-ZA"/>
              </w:rPr>
              <w:t>Academic development including student support</w:t>
            </w:r>
          </w:p>
        </w:tc>
        <w:tc>
          <w:tcPr>
            <w:tcW w:w="1170" w:type="dxa"/>
          </w:tcPr>
          <w:p w:rsidR="0066298E" w:rsidRPr="00BB19F3" w:rsidRDefault="0066298E" w:rsidP="000E660B">
            <w:pPr>
              <w:rPr>
                <w:rFonts w:ascii="Arial Narrow" w:hAnsi="Arial Narrow" w:cs="Times New Roman"/>
                <w:sz w:val="24"/>
                <w:szCs w:val="24"/>
              </w:rPr>
            </w:pPr>
          </w:p>
        </w:tc>
        <w:tc>
          <w:tcPr>
            <w:tcW w:w="1236"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452" w:type="dxa"/>
          </w:tcPr>
          <w:p w:rsidR="0066298E" w:rsidRPr="00BB19F3" w:rsidRDefault="0066298E" w:rsidP="000E660B">
            <w:pPr>
              <w:rPr>
                <w:rFonts w:ascii="Arial Narrow" w:hAnsi="Arial Narrow" w:cs="Times New Roman"/>
                <w:sz w:val="24"/>
                <w:szCs w:val="24"/>
              </w:rPr>
            </w:pPr>
          </w:p>
        </w:tc>
        <w:tc>
          <w:tcPr>
            <w:tcW w:w="1170" w:type="dxa"/>
          </w:tcPr>
          <w:p w:rsidR="0066298E" w:rsidRPr="00BB19F3" w:rsidRDefault="0066298E" w:rsidP="000E660B">
            <w:pPr>
              <w:rPr>
                <w:rFonts w:ascii="Arial Narrow" w:hAnsi="Arial Narrow" w:cs="Times New Roman"/>
                <w:sz w:val="24"/>
                <w:szCs w:val="24"/>
              </w:rPr>
            </w:pPr>
          </w:p>
        </w:tc>
      </w:tr>
    </w:tbl>
    <w:p w:rsidR="0066298E" w:rsidRDefault="0066298E"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tbl>
      <w:tblPr>
        <w:tblStyle w:val="TableGrid"/>
        <w:tblW w:w="15390" w:type="dxa"/>
        <w:tblInd w:w="-725" w:type="dxa"/>
        <w:tblLayout w:type="fixed"/>
        <w:tblLook w:val="04A0" w:firstRow="1" w:lastRow="0" w:firstColumn="1" w:lastColumn="0" w:noHBand="0" w:noVBand="1"/>
      </w:tblPr>
      <w:tblGrid>
        <w:gridCol w:w="15390"/>
      </w:tblGrid>
      <w:tr w:rsidR="0066298E" w:rsidTr="000E660B">
        <w:tc>
          <w:tcPr>
            <w:tcW w:w="15390" w:type="dxa"/>
            <w:shd w:val="clear" w:color="auto" w:fill="BFBFBF" w:themeFill="background1" w:themeFillShade="BF"/>
          </w:tcPr>
          <w:p w:rsidR="0066298E" w:rsidRDefault="0066298E"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66298E" w:rsidTr="000E660B">
        <w:tc>
          <w:tcPr>
            <w:tcW w:w="15390" w:type="dxa"/>
          </w:tcPr>
          <w:p w:rsidR="0066298E" w:rsidRDefault="0066298E" w:rsidP="000E660B"/>
          <w:p w:rsidR="0066298E" w:rsidRDefault="0066298E" w:rsidP="000E660B"/>
          <w:p w:rsidR="0066298E" w:rsidRDefault="0066298E" w:rsidP="000E660B"/>
        </w:tc>
      </w:tr>
      <w:tr w:rsidR="0066298E" w:rsidTr="000E660B">
        <w:tc>
          <w:tcPr>
            <w:tcW w:w="15390" w:type="dxa"/>
            <w:shd w:val="clear" w:color="auto" w:fill="BFBFBF" w:themeFill="background1" w:themeFillShade="BF"/>
          </w:tcPr>
          <w:p w:rsidR="0066298E" w:rsidRDefault="0066298E"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66298E" w:rsidTr="000E660B">
        <w:tc>
          <w:tcPr>
            <w:tcW w:w="15390" w:type="dxa"/>
          </w:tcPr>
          <w:p w:rsidR="0066298E" w:rsidRDefault="0066298E" w:rsidP="000E660B"/>
          <w:p w:rsidR="0066298E" w:rsidRDefault="0066298E" w:rsidP="000E660B"/>
          <w:p w:rsidR="0066298E" w:rsidRDefault="0066298E" w:rsidP="000E660B"/>
        </w:tc>
      </w:tr>
      <w:tr w:rsidR="0066298E" w:rsidTr="000E660B">
        <w:tc>
          <w:tcPr>
            <w:tcW w:w="15390" w:type="dxa"/>
            <w:shd w:val="clear" w:color="auto" w:fill="BFBFBF" w:themeFill="background1" w:themeFillShade="BF"/>
          </w:tcPr>
          <w:p w:rsidR="0066298E" w:rsidRDefault="0066298E"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66298E" w:rsidTr="000E660B">
        <w:tc>
          <w:tcPr>
            <w:tcW w:w="15390" w:type="dxa"/>
          </w:tcPr>
          <w:p w:rsidR="0066298E" w:rsidRDefault="0066298E" w:rsidP="000E660B"/>
          <w:p w:rsidR="0066298E" w:rsidRDefault="0066298E" w:rsidP="000E660B"/>
          <w:p w:rsidR="0066298E" w:rsidRDefault="0066298E" w:rsidP="000E660B"/>
        </w:tc>
      </w:tr>
    </w:tbl>
    <w:p w:rsidR="00023F62" w:rsidRDefault="00023F62" w:rsidP="0066298E"/>
    <w:p w:rsidR="00023F62" w:rsidRDefault="00023F62">
      <w:r>
        <w:br w:type="page"/>
      </w:r>
    </w:p>
    <w:p w:rsidR="0066298E" w:rsidRDefault="0066298E" w:rsidP="0066298E">
      <w:pPr>
        <w:spacing w:after="0"/>
        <w:jc w:val="both"/>
        <w:rPr>
          <w:rFonts w:ascii="Arial Narrow" w:hAnsi="Arial Narrow"/>
          <w:b/>
          <w:sz w:val="24"/>
          <w:szCs w:val="24"/>
        </w:rPr>
      </w:pPr>
      <w:r>
        <w:rPr>
          <w:rFonts w:ascii="Arial Narrow" w:hAnsi="Arial Narrow"/>
          <w:b/>
          <w:sz w:val="24"/>
          <w:szCs w:val="24"/>
        </w:rPr>
        <w:t>5.2</w:t>
      </w:r>
    </w:p>
    <w:p w:rsidR="0066298E" w:rsidRDefault="0066298E"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66298E" w:rsidTr="000E660B">
        <w:tc>
          <w:tcPr>
            <w:tcW w:w="15390" w:type="dxa"/>
          </w:tcPr>
          <w:p w:rsidR="0066298E" w:rsidRDefault="0066298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66298E" w:rsidRDefault="0066298E" w:rsidP="0066298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w:t>
            </w:r>
            <w:r w:rsidR="00023F62">
              <w:rPr>
                <w:rFonts w:ascii="Arial Narrow" w:hAnsi="Arial Narrow" w:cs="Times New Roman"/>
                <w:sz w:val="24"/>
                <w:szCs w:val="24"/>
              </w:rPr>
              <w:t>space provided</w:t>
            </w:r>
          </w:p>
          <w:p w:rsidR="0066298E" w:rsidRDefault="0066298E" w:rsidP="0066298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66298E" w:rsidRDefault="0066298E" w:rsidP="000E660B">
            <w:pPr>
              <w:jc w:val="center"/>
              <w:rPr>
                <w:rFonts w:ascii="Arial Narrow" w:hAnsi="Arial Narrow"/>
                <w:b/>
                <w:sz w:val="28"/>
                <w:szCs w:val="28"/>
              </w:rPr>
            </w:pPr>
          </w:p>
        </w:tc>
      </w:tr>
    </w:tbl>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66298E" w:rsidRPr="004A7255" w:rsidTr="000E660B">
        <w:tc>
          <w:tcPr>
            <w:tcW w:w="15390" w:type="dxa"/>
            <w:shd w:val="clear" w:color="auto" w:fill="BFBFBF" w:themeFill="background1" w:themeFillShade="BF"/>
          </w:tcPr>
          <w:p w:rsidR="0066298E" w:rsidRPr="004A7255" w:rsidRDefault="0066298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66298E"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Reflect upon the academic development of students and staff in the programme and comment on the adequacy and effectiveness of the </w:t>
            </w:r>
            <w:r w:rsidRPr="004A7255">
              <w:rPr>
                <w:rFonts w:ascii="Arial Narrow" w:hAnsi="Arial Narrow"/>
                <w:b/>
                <w:sz w:val="24"/>
                <w:szCs w:val="24"/>
                <w:lang w:val="en-ZA"/>
              </w:rPr>
              <w:t>current academic development strategy</w:t>
            </w:r>
            <w:r w:rsidRPr="004A7255">
              <w:rPr>
                <w:rFonts w:ascii="Arial Narrow" w:hAnsi="Arial Narrow"/>
                <w:sz w:val="24"/>
                <w:szCs w:val="24"/>
                <w:lang w:val="en-ZA"/>
              </w:rPr>
              <w:t xml:space="preserve"> and set of practices for the programme in relation to the module/course/subject outcomes, the exit-level outcomes of the programme, the target graduate attributes of the programme, student enrolments in the programme and staff participation in the programme. </w:t>
            </w:r>
          </w:p>
          <w:p w:rsidR="0066298E" w:rsidRPr="004A7255" w:rsidRDefault="0066298E" w:rsidP="000E660B">
            <w:pPr>
              <w:jc w:val="both"/>
              <w:rPr>
                <w:rFonts w:ascii="Arial Narrow" w:hAnsi="Arial Narrow"/>
                <w:b/>
                <w:sz w:val="24"/>
                <w:szCs w:val="24"/>
                <w:lang w:val="en-ZA"/>
              </w:rPr>
            </w:pPr>
          </w:p>
        </w:tc>
      </w:tr>
      <w:tr w:rsidR="0066298E" w:rsidRPr="004A7255" w:rsidTr="000E660B">
        <w:tc>
          <w:tcPr>
            <w:tcW w:w="15390" w:type="dxa"/>
          </w:tcPr>
          <w:p w:rsidR="0066298E" w:rsidRDefault="0066298E" w:rsidP="000E660B">
            <w:pPr>
              <w:jc w:val="both"/>
              <w:rPr>
                <w:rFonts w:ascii="Arial Narrow" w:hAnsi="Arial Narrow"/>
                <w:sz w:val="24"/>
                <w:szCs w:val="24"/>
              </w:rPr>
            </w:pPr>
          </w:p>
          <w:p w:rsidR="0066298E" w:rsidRDefault="0066298E" w:rsidP="000E660B">
            <w:pPr>
              <w:jc w:val="both"/>
              <w:rPr>
                <w:rFonts w:ascii="Arial Narrow" w:hAnsi="Arial Narrow"/>
                <w:sz w:val="24"/>
                <w:szCs w:val="24"/>
              </w:rPr>
            </w:pPr>
          </w:p>
          <w:p w:rsidR="0066298E" w:rsidRPr="004A7255" w:rsidRDefault="0066298E"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66298E" w:rsidRDefault="0066298E"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23F62" w:rsidRPr="004A7255" w:rsidTr="000E660B">
        <w:tc>
          <w:tcPr>
            <w:tcW w:w="15390" w:type="dxa"/>
            <w:shd w:val="clear" w:color="auto" w:fill="BFBFBF" w:themeFill="background1" w:themeFillShade="BF"/>
          </w:tcPr>
          <w:p w:rsidR="00023F62" w:rsidRPr="004A7255" w:rsidRDefault="00023F62"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023F62"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 Reflect upon the student support and development arrangements for the programme and comment on the adequacy and effectiveness of the </w:t>
            </w:r>
            <w:r w:rsidRPr="004A7255">
              <w:rPr>
                <w:rFonts w:ascii="Arial Narrow" w:hAnsi="Arial Narrow"/>
                <w:b/>
                <w:sz w:val="24"/>
                <w:szCs w:val="24"/>
                <w:lang w:val="en-ZA"/>
              </w:rPr>
              <w:t>current student support services and practices</w:t>
            </w:r>
            <w:r w:rsidRPr="004A7255">
              <w:rPr>
                <w:rFonts w:ascii="Arial Narrow" w:hAnsi="Arial Narrow"/>
                <w:sz w:val="24"/>
                <w:szCs w:val="24"/>
                <w:lang w:val="en-ZA"/>
              </w:rPr>
              <w:t xml:space="preserve"> for the programme in relation to the management and coordination of the programme, the exit-level outcomes of the programme, the target graduate attributes of the programme and the student enrolments in the programme. </w:t>
            </w:r>
          </w:p>
          <w:p w:rsidR="00023F62" w:rsidRPr="004A7255" w:rsidRDefault="00023F62" w:rsidP="000E660B">
            <w:pPr>
              <w:jc w:val="both"/>
              <w:rPr>
                <w:rFonts w:ascii="Arial Narrow" w:hAnsi="Arial Narrow"/>
                <w:b/>
                <w:sz w:val="24"/>
                <w:szCs w:val="24"/>
                <w:lang w:val="en-ZA"/>
              </w:rPr>
            </w:pPr>
          </w:p>
        </w:tc>
      </w:tr>
      <w:tr w:rsidR="00023F62" w:rsidRPr="004A7255" w:rsidTr="000E660B">
        <w:tc>
          <w:tcPr>
            <w:tcW w:w="15390" w:type="dxa"/>
          </w:tcPr>
          <w:p w:rsidR="00023F62" w:rsidRDefault="00023F62" w:rsidP="000E660B">
            <w:pPr>
              <w:jc w:val="both"/>
              <w:rPr>
                <w:rFonts w:ascii="Arial Narrow" w:hAnsi="Arial Narrow"/>
                <w:sz w:val="24"/>
                <w:szCs w:val="24"/>
              </w:rPr>
            </w:pPr>
          </w:p>
          <w:p w:rsidR="00023F62" w:rsidRDefault="00023F62" w:rsidP="000E660B">
            <w:pPr>
              <w:jc w:val="both"/>
              <w:rPr>
                <w:rFonts w:ascii="Arial Narrow" w:hAnsi="Arial Narrow"/>
                <w:sz w:val="24"/>
                <w:szCs w:val="24"/>
              </w:rPr>
            </w:pPr>
          </w:p>
          <w:p w:rsidR="00FC2C8A" w:rsidRDefault="00FC2C8A" w:rsidP="000E660B">
            <w:pPr>
              <w:jc w:val="both"/>
              <w:rPr>
                <w:rFonts w:ascii="Arial Narrow" w:hAnsi="Arial Narrow"/>
                <w:sz w:val="24"/>
                <w:szCs w:val="24"/>
              </w:rPr>
            </w:pPr>
          </w:p>
          <w:p w:rsidR="00023F62" w:rsidRPr="004A7255" w:rsidRDefault="00023F62"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66298E" w:rsidRDefault="0066298E"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23F62" w:rsidRPr="004A7255" w:rsidTr="000E660B">
        <w:tc>
          <w:tcPr>
            <w:tcW w:w="15390" w:type="dxa"/>
            <w:shd w:val="clear" w:color="auto" w:fill="BFBFBF" w:themeFill="background1" w:themeFillShade="BF"/>
          </w:tcPr>
          <w:p w:rsidR="00023F62" w:rsidRPr="004A7255" w:rsidRDefault="00023F62"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023F62"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023F62" w:rsidRPr="004A7255" w:rsidRDefault="00023F62" w:rsidP="000E660B">
            <w:pPr>
              <w:jc w:val="both"/>
              <w:rPr>
                <w:rFonts w:ascii="Arial Narrow" w:hAnsi="Arial Narrow"/>
                <w:b/>
                <w:sz w:val="24"/>
                <w:szCs w:val="24"/>
                <w:lang w:val="en-ZA"/>
              </w:rPr>
            </w:pPr>
          </w:p>
        </w:tc>
      </w:tr>
      <w:tr w:rsidR="00023F62" w:rsidRPr="004A7255" w:rsidTr="000E660B">
        <w:tc>
          <w:tcPr>
            <w:tcW w:w="15390" w:type="dxa"/>
          </w:tcPr>
          <w:p w:rsidR="00023F62" w:rsidRDefault="00023F62" w:rsidP="000E660B">
            <w:pPr>
              <w:jc w:val="both"/>
              <w:rPr>
                <w:rFonts w:ascii="Arial Narrow" w:hAnsi="Arial Narrow"/>
                <w:sz w:val="24"/>
                <w:szCs w:val="24"/>
              </w:rPr>
            </w:pPr>
          </w:p>
          <w:p w:rsidR="00023F62" w:rsidRDefault="00023F62" w:rsidP="000E660B">
            <w:pPr>
              <w:jc w:val="both"/>
              <w:rPr>
                <w:rFonts w:ascii="Arial Narrow" w:hAnsi="Arial Narrow"/>
                <w:sz w:val="24"/>
                <w:szCs w:val="24"/>
              </w:rPr>
            </w:pPr>
          </w:p>
          <w:p w:rsidR="00023F62" w:rsidRPr="004A7255" w:rsidRDefault="00023F62"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023F62" w:rsidRDefault="00023F62"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p w:rsidR="00F079FA" w:rsidRDefault="002129EC"/>
    <w:sectPr w:rsidR="00F079FA" w:rsidSect="00255DF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9EC" w:rsidRDefault="002129EC" w:rsidP="00023F62">
      <w:pPr>
        <w:spacing w:after="0" w:line="240" w:lineRule="auto"/>
      </w:pPr>
      <w:r>
        <w:separator/>
      </w:r>
    </w:p>
  </w:endnote>
  <w:endnote w:type="continuationSeparator" w:id="0">
    <w:p w:rsidR="002129EC" w:rsidRDefault="002129EC" w:rsidP="0002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323858513"/>
      <w:docPartObj>
        <w:docPartGallery w:val="Page Numbers (Bottom of Page)"/>
        <w:docPartUnique/>
      </w:docPartObj>
    </w:sdtPr>
    <w:sdtEndPr>
      <w:rPr>
        <w:noProof/>
      </w:rPr>
    </w:sdtEndPr>
    <w:sdtContent>
      <w:p w:rsidR="00023F62" w:rsidRPr="00023F62" w:rsidRDefault="00023F62">
        <w:pPr>
          <w:pStyle w:val="Footer"/>
          <w:jc w:val="right"/>
          <w:rPr>
            <w:rFonts w:ascii="Arial Narrow" w:hAnsi="Arial Narrow"/>
          </w:rPr>
        </w:pPr>
        <w:r w:rsidRPr="00023F62">
          <w:rPr>
            <w:rFonts w:ascii="Arial Narrow" w:hAnsi="Arial Narrow"/>
          </w:rPr>
          <w:fldChar w:fldCharType="begin"/>
        </w:r>
        <w:r w:rsidRPr="00023F62">
          <w:rPr>
            <w:rFonts w:ascii="Arial Narrow" w:hAnsi="Arial Narrow"/>
          </w:rPr>
          <w:instrText xml:space="preserve"> PAGE   \* MERGEFORMAT </w:instrText>
        </w:r>
        <w:r w:rsidRPr="00023F62">
          <w:rPr>
            <w:rFonts w:ascii="Arial Narrow" w:hAnsi="Arial Narrow"/>
          </w:rPr>
          <w:fldChar w:fldCharType="separate"/>
        </w:r>
        <w:r w:rsidR="00DB219A">
          <w:rPr>
            <w:rFonts w:ascii="Arial Narrow" w:hAnsi="Arial Narrow"/>
            <w:noProof/>
          </w:rPr>
          <w:t>1</w:t>
        </w:r>
        <w:r w:rsidRPr="00023F62">
          <w:rPr>
            <w:rFonts w:ascii="Arial Narrow" w:hAnsi="Arial Narrow"/>
            <w:noProof/>
          </w:rPr>
          <w:fldChar w:fldCharType="end"/>
        </w:r>
      </w:p>
    </w:sdtContent>
  </w:sdt>
  <w:p w:rsidR="00023F62" w:rsidRPr="00023F62" w:rsidRDefault="00023F62">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9EC" w:rsidRDefault="002129EC" w:rsidP="00023F62">
      <w:pPr>
        <w:spacing w:after="0" w:line="240" w:lineRule="auto"/>
      </w:pPr>
      <w:r>
        <w:separator/>
      </w:r>
    </w:p>
  </w:footnote>
  <w:footnote w:type="continuationSeparator" w:id="0">
    <w:p w:rsidR="002129EC" w:rsidRDefault="002129EC" w:rsidP="0002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C420737C"/>
    <w:lvl w:ilvl="0" w:tplc="0D9A1F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F7"/>
    <w:rsid w:val="000101D3"/>
    <w:rsid w:val="00023F62"/>
    <w:rsid w:val="001655D6"/>
    <w:rsid w:val="002129EC"/>
    <w:rsid w:val="00255DF7"/>
    <w:rsid w:val="00395309"/>
    <w:rsid w:val="003E60B3"/>
    <w:rsid w:val="005B132D"/>
    <w:rsid w:val="0066298E"/>
    <w:rsid w:val="009162D8"/>
    <w:rsid w:val="00A43991"/>
    <w:rsid w:val="00DB219A"/>
    <w:rsid w:val="00FC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9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8E"/>
    <w:pPr>
      <w:ind w:left="720"/>
      <w:contextualSpacing/>
    </w:pPr>
  </w:style>
  <w:style w:type="paragraph" w:styleId="Header">
    <w:name w:val="header"/>
    <w:basedOn w:val="Normal"/>
    <w:link w:val="HeaderChar"/>
    <w:uiPriority w:val="99"/>
    <w:unhideWhenUsed/>
    <w:rsid w:val="00023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62"/>
  </w:style>
  <w:style w:type="paragraph" w:styleId="Footer">
    <w:name w:val="footer"/>
    <w:basedOn w:val="Normal"/>
    <w:link w:val="FooterChar"/>
    <w:uiPriority w:val="99"/>
    <w:unhideWhenUsed/>
    <w:rsid w:val="00023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9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8E"/>
    <w:pPr>
      <w:ind w:left="720"/>
      <w:contextualSpacing/>
    </w:pPr>
  </w:style>
  <w:style w:type="paragraph" w:styleId="Header">
    <w:name w:val="header"/>
    <w:basedOn w:val="Normal"/>
    <w:link w:val="HeaderChar"/>
    <w:uiPriority w:val="99"/>
    <w:unhideWhenUsed/>
    <w:rsid w:val="00023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62"/>
  </w:style>
  <w:style w:type="paragraph" w:styleId="Footer">
    <w:name w:val="footer"/>
    <w:basedOn w:val="Normal"/>
    <w:link w:val="FooterChar"/>
    <w:uiPriority w:val="99"/>
    <w:unhideWhenUsed/>
    <w:rsid w:val="00023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2018-07-09T11:41:00Z</dcterms:created>
  <dcterms:modified xsi:type="dcterms:W3CDTF">2018-07-09T11:41:00Z</dcterms:modified>
</cp:coreProperties>
</file>