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142" w:rsidRDefault="000D2142" w:rsidP="00150B65">
      <w:pPr>
        <w:pStyle w:val="ListParagraph"/>
        <w:numPr>
          <w:ilvl w:val="0"/>
          <w:numId w:val="2"/>
        </w:numPr>
        <w:spacing w:after="0"/>
        <w:jc w:val="center"/>
        <w:rPr>
          <w:rFonts w:ascii="Arial Narrow" w:hAnsi="Arial Narrow"/>
          <w:b/>
          <w:sz w:val="28"/>
          <w:szCs w:val="28"/>
        </w:rPr>
      </w:pPr>
      <w:r w:rsidRPr="000D1E20">
        <w:rPr>
          <w:rFonts w:ascii="Arial Narrow" w:hAnsi="Arial Narrow"/>
          <w:b/>
          <w:sz w:val="28"/>
          <w:szCs w:val="28"/>
        </w:rPr>
        <w:t>ASSESSMENT PRACTICES</w:t>
      </w:r>
    </w:p>
    <w:p w:rsidR="000D2142" w:rsidRDefault="000D2142" w:rsidP="000D2142">
      <w:pPr>
        <w:spacing w:after="0"/>
        <w:ind w:left="360"/>
        <w:rPr>
          <w:rFonts w:ascii="Arial Narrow" w:hAnsi="Arial Narrow"/>
          <w:b/>
          <w:sz w:val="28"/>
          <w:szCs w:val="28"/>
        </w:rPr>
      </w:pPr>
    </w:p>
    <w:p w:rsidR="000D2142" w:rsidRPr="000D1E20" w:rsidRDefault="000D2142" w:rsidP="000D2142">
      <w:pPr>
        <w:spacing w:after="0"/>
        <w:ind w:left="360"/>
        <w:rPr>
          <w:rFonts w:ascii="Arial Narrow" w:hAnsi="Arial Narrow"/>
          <w:b/>
          <w:sz w:val="28"/>
          <w:szCs w:val="28"/>
        </w:rPr>
      </w:pPr>
      <w:r>
        <w:rPr>
          <w:rFonts w:ascii="Arial Narrow" w:hAnsi="Arial Narrow"/>
          <w:b/>
          <w:sz w:val="28"/>
          <w:szCs w:val="28"/>
        </w:rPr>
        <w:t>4.1</w:t>
      </w:r>
    </w:p>
    <w:p w:rsidR="000D2142" w:rsidRDefault="000D2142" w:rsidP="000D2142">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D2142" w:rsidTr="000E660B">
        <w:tc>
          <w:tcPr>
            <w:tcW w:w="15390" w:type="dxa"/>
          </w:tcPr>
          <w:p w:rsidR="000D2142" w:rsidRDefault="000D2142" w:rsidP="000D2142">
            <w:pPr>
              <w:rPr>
                <w:rFonts w:ascii="Arial Narrow" w:hAnsi="Arial Narrow" w:cs="Times New Roman"/>
                <w:b/>
                <w:sz w:val="24"/>
                <w:szCs w:val="24"/>
              </w:rPr>
            </w:pPr>
            <w:r>
              <w:rPr>
                <w:rFonts w:ascii="Arial Narrow" w:hAnsi="Arial Narrow" w:cs="Times New Roman"/>
                <w:b/>
                <w:sz w:val="24"/>
                <w:szCs w:val="24"/>
              </w:rPr>
              <w:t xml:space="preserve">Instructions: </w:t>
            </w: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AA17D6" w:rsidRDefault="00AA17D6"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AA17D6" w:rsidRDefault="00AA17D6"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AA17D6" w:rsidRDefault="00AA17D6"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AA17D6" w:rsidRDefault="00AA17D6"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AA17D6" w:rsidRDefault="00AA17D6" w:rsidP="00AA17D6">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AA17D6" w:rsidRDefault="00AA17D6" w:rsidP="00AA17D6">
            <w:pPr>
              <w:pStyle w:val="ListParagraph"/>
              <w:ind w:left="1440"/>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AA17D6" w:rsidRDefault="00AA17D6" w:rsidP="00AA17D6">
            <w:pPr>
              <w:pStyle w:val="ListParagraph"/>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AA17D6" w:rsidRPr="00B1388F" w:rsidRDefault="00AA17D6" w:rsidP="00AA17D6">
            <w:pPr>
              <w:pStyle w:val="ListParagraph"/>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Compile supporting evidence to substantiate the institution’s response and list it systematically in the space provided. The actual supporting evidence should be uploaded on HEQC Online system at the time of submission and should correspond to the list of evidence below.</w:t>
            </w:r>
          </w:p>
          <w:p w:rsidR="000D2142" w:rsidRDefault="000D2142" w:rsidP="000E660B">
            <w:pPr>
              <w:jc w:val="center"/>
              <w:rPr>
                <w:rFonts w:ascii="Arial Narrow" w:hAnsi="Arial Narrow"/>
                <w:b/>
                <w:sz w:val="28"/>
                <w:szCs w:val="28"/>
              </w:rPr>
            </w:pPr>
          </w:p>
        </w:tc>
      </w:tr>
    </w:tbl>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0D2142" w:rsidRPr="007A53FA" w:rsidTr="000E660B">
        <w:tc>
          <w:tcPr>
            <w:tcW w:w="8820" w:type="dxa"/>
            <w:shd w:val="clear" w:color="auto" w:fill="BFBFBF" w:themeFill="background1" w:themeFillShade="BF"/>
          </w:tcPr>
          <w:p w:rsidR="000D2142" w:rsidRDefault="000D2142" w:rsidP="000E660B">
            <w:pPr>
              <w:jc w:val="center"/>
              <w:rPr>
                <w:rFonts w:ascii="Arial Narrow" w:hAnsi="Arial Narrow" w:cs="Times New Roman"/>
                <w:b/>
                <w:bCs/>
                <w:sz w:val="24"/>
                <w:szCs w:val="24"/>
                <w:lang w:val="en-ZA"/>
              </w:rPr>
            </w:pPr>
          </w:p>
          <w:p w:rsidR="000D2142" w:rsidRPr="007A53FA" w:rsidRDefault="000D2142"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rPr>
              <w:t>Does not meet the majority of the minimum standards</w:t>
            </w:r>
          </w:p>
        </w:tc>
      </w:tr>
      <w:tr w:rsidR="000D2142" w:rsidRPr="00BB19F3" w:rsidTr="000E660B">
        <w:tc>
          <w:tcPr>
            <w:tcW w:w="8820" w:type="dxa"/>
          </w:tcPr>
          <w:p w:rsidR="000D2142" w:rsidRDefault="000D2142"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Assessment strategy is aligned with the Teaching and Learning Strategy of the Programme</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Default="000D2142"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assessment strategy is commensurate with the NQF level and exit level outcomes of the programme</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Default="000D2142"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Different forms of assessment (example, formative, continuous, integrated and summative assessment) are available and implemented</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Default="000D2142"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provide timeous feedback to students on assessments tasks.</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Default="000D2142"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Assessment is transparent, fair and appropriate to the outcomes and the mode of delivery.</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Institution provides staff development opportunities in relation to assessment.</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 xml:space="preserve">Provision is be made for the internal and external moderation of assessment.  </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External moderators are appointed for all exit level modules of the programme</w:t>
            </w:r>
            <w:r>
              <w:rPr>
                <w:rFonts w:ascii="Arial Narrow" w:eastAsia="Times New Roman" w:hAnsi="Arial Narrow" w:cs="Times New Roman"/>
                <w:sz w:val="24"/>
                <w:szCs w:val="24"/>
                <w:lang w:val="en-ZA"/>
              </w:rPr>
              <w:t>.</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Assessment practices and capturing of marks are secure.</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Formal and informal opportunities exist for the settling of student disputes regarding assessment results.</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r w:rsidR="000D2142" w:rsidRPr="00BB19F3" w:rsidTr="000E660B">
        <w:tc>
          <w:tcPr>
            <w:tcW w:w="8820" w:type="dxa"/>
          </w:tcPr>
          <w:p w:rsidR="000D2142" w:rsidRPr="004A7255" w:rsidRDefault="000D2142"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Assessment instruments for this programme are designed for RPL in accordance with the Institution’s policies on fair and transparent assessment.</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bl>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150B65" w:rsidRDefault="00150B65" w:rsidP="000D2142">
      <w:pPr>
        <w:spacing w:after="0"/>
        <w:jc w:val="both"/>
        <w:rPr>
          <w:rFonts w:ascii="Arial Narrow" w:hAnsi="Arial Narrow"/>
          <w:b/>
          <w:sz w:val="24"/>
          <w:szCs w:val="24"/>
        </w:rPr>
      </w:pPr>
    </w:p>
    <w:p w:rsidR="00150B65" w:rsidRDefault="00150B65" w:rsidP="000D2142">
      <w:pPr>
        <w:spacing w:after="0"/>
        <w:jc w:val="both"/>
        <w:rPr>
          <w:rFonts w:ascii="Arial Narrow" w:hAnsi="Arial Narrow"/>
          <w:b/>
          <w:sz w:val="24"/>
          <w:szCs w:val="24"/>
        </w:rPr>
      </w:pPr>
    </w:p>
    <w:p w:rsidR="00150B65" w:rsidRDefault="00150B65" w:rsidP="000D2142">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0D2142" w:rsidRPr="007A53FA" w:rsidTr="000E660B">
        <w:tc>
          <w:tcPr>
            <w:tcW w:w="8820" w:type="dxa"/>
            <w:shd w:val="clear" w:color="auto" w:fill="BFBFBF" w:themeFill="background1" w:themeFillShade="BF"/>
          </w:tcPr>
          <w:p w:rsidR="000D2142" w:rsidRDefault="000D2142" w:rsidP="000E660B">
            <w:pPr>
              <w:jc w:val="center"/>
              <w:rPr>
                <w:rFonts w:ascii="Arial Narrow" w:hAnsi="Arial Narrow" w:cs="Times New Roman"/>
                <w:b/>
                <w:bCs/>
                <w:sz w:val="24"/>
                <w:szCs w:val="24"/>
                <w:lang w:val="en-ZA"/>
              </w:rPr>
            </w:pPr>
          </w:p>
          <w:p w:rsidR="000D2142" w:rsidRDefault="000D2142"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011FF0" w:rsidRDefault="00011FF0" w:rsidP="00011FF0">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011FF0" w:rsidRDefault="00011FF0" w:rsidP="000E660B">
            <w:pPr>
              <w:jc w:val="center"/>
              <w:rPr>
                <w:rFonts w:ascii="Arial Narrow" w:hAnsi="Arial Narrow" w:cs="Times New Roman"/>
                <w:b/>
                <w:sz w:val="24"/>
                <w:szCs w:val="24"/>
                <w:lang w:val="en-ZA"/>
              </w:rPr>
            </w:pPr>
          </w:p>
          <w:p w:rsidR="000D2142" w:rsidRPr="007A53FA" w:rsidRDefault="000D2142" w:rsidP="000E660B">
            <w:pPr>
              <w:jc w:val="center"/>
              <w:rPr>
                <w:b/>
              </w:rPr>
            </w:pPr>
          </w:p>
        </w:tc>
        <w:tc>
          <w:tcPr>
            <w:tcW w:w="1170"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0D2142" w:rsidRPr="007A53FA" w:rsidRDefault="000D2142" w:rsidP="000E660B">
            <w:pPr>
              <w:rPr>
                <w:b/>
              </w:rPr>
            </w:pPr>
            <w:r w:rsidRPr="007A53FA">
              <w:rPr>
                <w:rFonts w:ascii="Arial Narrow" w:hAnsi="Arial Narrow" w:cs="Times New Roman"/>
                <w:b/>
                <w:sz w:val="24"/>
                <w:szCs w:val="24"/>
              </w:rPr>
              <w:t>Does not meet the majority of the minimum standards</w:t>
            </w:r>
          </w:p>
        </w:tc>
      </w:tr>
      <w:tr w:rsidR="000D2142" w:rsidRPr="00BB19F3" w:rsidTr="000E660B">
        <w:tc>
          <w:tcPr>
            <w:tcW w:w="8820" w:type="dxa"/>
          </w:tcPr>
          <w:p w:rsidR="000D2142" w:rsidRPr="00EB0D6B" w:rsidRDefault="000D2142" w:rsidP="000E660B">
            <w:pPr>
              <w:rPr>
                <w:rFonts w:ascii="Arial Narrow" w:hAnsi="Arial Narrow" w:cs="Times New Roman"/>
                <w:bCs/>
                <w:sz w:val="24"/>
                <w:szCs w:val="24"/>
              </w:rPr>
            </w:pPr>
            <w:r>
              <w:rPr>
                <w:rFonts w:ascii="Arial Narrow" w:hAnsi="Arial Narrow" w:cs="Times New Roman"/>
                <w:sz w:val="24"/>
                <w:szCs w:val="24"/>
                <w:lang w:val="en-ZA"/>
              </w:rPr>
              <w:t>Assessment practices</w:t>
            </w:r>
          </w:p>
        </w:tc>
        <w:tc>
          <w:tcPr>
            <w:tcW w:w="1170" w:type="dxa"/>
          </w:tcPr>
          <w:p w:rsidR="000D2142" w:rsidRPr="00BB19F3" w:rsidRDefault="000D2142" w:rsidP="000E660B">
            <w:pPr>
              <w:rPr>
                <w:rFonts w:ascii="Arial Narrow" w:hAnsi="Arial Narrow" w:cs="Times New Roman"/>
                <w:sz w:val="24"/>
                <w:szCs w:val="24"/>
              </w:rPr>
            </w:pPr>
          </w:p>
        </w:tc>
        <w:tc>
          <w:tcPr>
            <w:tcW w:w="1236"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452" w:type="dxa"/>
          </w:tcPr>
          <w:p w:rsidR="000D2142" w:rsidRPr="00BB19F3" w:rsidRDefault="000D2142" w:rsidP="000E660B">
            <w:pPr>
              <w:rPr>
                <w:rFonts w:ascii="Arial Narrow" w:hAnsi="Arial Narrow" w:cs="Times New Roman"/>
                <w:sz w:val="24"/>
                <w:szCs w:val="24"/>
              </w:rPr>
            </w:pPr>
          </w:p>
        </w:tc>
        <w:tc>
          <w:tcPr>
            <w:tcW w:w="1170" w:type="dxa"/>
          </w:tcPr>
          <w:p w:rsidR="000D2142" w:rsidRPr="00BB19F3" w:rsidRDefault="000D2142" w:rsidP="000E660B">
            <w:pPr>
              <w:rPr>
                <w:rFonts w:ascii="Arial Narrow" w:hAnsi="Arial Narrow" w:cs="Times New Roman"/>
                <w:sz w:val="24"/>
                <w:szCs w:val="24"/>
              </w:rPr>
            </w:pPr>
          </w:p>
        </w:tc>
      </w:tr>
    </w:tbl>
    <w:p w:rsidR="000D2142" w:rsidRDefault="000D2142" w:rsidP="000D2142"/>
    <w:tbl>
      <w:tblPr>
        <w:tblStyle w:val="TableGrid"/>
        <w:tblW w:w="15390" w:type="dxa"/>
        <w:tblInd w:w="-725" w:type="dxa"/>
        <w:tblLayout w:type="fixed"/>
        <w:tblLook w:val="04A0" w:firstRow="1" w:lastRow="0" w:firstColumn="1" w:lastColumn="0" w:noHBand="0" w:noVBand="1"/>
      </w:tblPr>
      <w:tblGrid>
        <w:gridCol w:w="15390"/>
      </w:tblGrid>
      <w:tr w:rsidR="000D2142" w:rsidTr="000E660B">
        <w:tc>
          <w:tcPr>
            <w:tcW w:w="15390" w:type="dxa"/>
            <w:shd w:val="clear" w:color="auto" w:fill="BFBFBF" w:themeFill="background1" w:themeFillShade="BF"/>
          </w:tcPr>
          <w:p w:rsidR="000D2142" w:rsidRDefault="000D2142"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0D2142" w:rsidTr="000E660B">
        <w:tc>
          <w:tcPr>
            <w:tcW w:w="15390" w:type="dxa"/>
          </w:tcPr>
          <w:p w:rsidR="000D2142" w:rsidRDefault="000D2142" w:rsidP="000E660B"/>
          <w:p w:rsidR="000D2142" w:rsidRDefault="000D2142" w:rsidP="000E660B"/>
          <w:p w:rsidR="000D2142" w:rsidRDefault="000D2142" w:rsidP="000E660B"/>
        </w:tc>
      </w:tr>
      <w:tr w:rsidR="000D2142" w:rsidTr="000E660B">
        <w:tc>
          <w:tcPr>
            <w:tcW w:w="15390" w:type="dxa"/>
            <w:shd w:val="clear" w:color="auto" w:fill="BFBFBF" w:themeFill="background1" w:themeFillShade="BF"/>
          </w:tcPr>
          <w:p w:rsidR="000D2142" w:rsidRDefault="000D2142"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0D2142" w:rsidTr="000E660B">
        <w:tc>
          <w:tcPr>
            <w:tcW w:w="15390" w:type="dxa"/>
          </w:tcPr>
          <w:p w:rsidR="000D2142" w:rsidRDefault="000D2142" w:rsidP="000E660B"/>
          <w:p w:rsidR="000D2142" w:rsidRDefault="000D2142" w:rsidP="000E660B"/>
          <w:p w:rsidR="000D2142" w:rsidRDefault="000D2142" w:rsidP="000E660B"/>
        </w:tc>
      </w:tr>
      <w:tr w:rsidR="000D2142" w:rsidTr="000E660B">
        <w:tc>
          <w:tcPr>
            <w:tcW w:w="15390" w:type="dxa"/>
            <w:shd w:val="clear" w:color="auto" w:fill="BFBFBF" w:themeFill="background1" w:themeFillShade="BF"/>
          </w:tcPr>
          <w:p w:rsidR="000D2142" w:rsidRDefault="000D2142"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0D2142" w:rsidTr="000E660B">
        <w:tc>
          <w:tcPr>
            <w:tcW w:w="15390" w:type="dxa"/>
          </w:tcPr>
          <w:p w:rsidR="000D2142" w:rsidRDefault="000D2142" w:rsidP="000E660B"/>
          <w:p w:rsidR="000D2142" w:rsidRDefault="000D2142" w:rsidP="000E660B"/>
          <w:p w:rsidR="000D2142" w:rsidRDefault="000D2142" w:rsidP="000E660B"/>
        </w:tc>
      </w:tr>
    </w:tbl>
    <w:p w:rsidR="000D2142" w:rsidRDefault="000D2142" w:rsidP="000D2142">
      <w:pPr>
        <w:spacing w:after="0"/>
        <w:jc w:val="both"/>
        <w:rPr>
          <w:rFonts w:ascii="Arial Narrow" w:hAnsi="Arial Narrow"/>
          <w:b/>
          <w:sz w:val="24"/>
          <w:szCs w:val="24"/>
        </w:rPr>
      </w:pPr>
    </w:p>
    <w:p w:rsidR="00150B65" w:rsidRDefault="00150B65">
      <w:pPr>
        <w:rPr>
          <w:rFonts w:ascii="Arial Narrow" w:hAnsi="Arial Narrow"/>
          <w:b/>
          <w:sz w:val="24"/>
          <w:szCs w:val="24"/>
        </w:rPr>
      </w:pPr>
      <w:r>
        <w:rPr>
          <w:rFonts w:ascii="Arial Narrow" w:hAnsi="Arial Narrow"/>
          <w:b/>
          <w:sz w:val="24"/>
          <w:szCs w:val="24"/>
        </w:rPr>
        <w:br w:type="page"/>
      </w:r>
    </w:p>
    <w:p w:rsidR="000D2142" w:rsidRDefault="000D2142" w:rsidP="000D2142">
      <w:pPr>
        <w:spacing w:after="0"/>
        <w:jc w:val="both"/>
        <w:rPr>
          <w:rFonts w:ascii="Arial Narrow" w:hAnsi="Arial Narrow"/>
          <w:sz w:val="24"/>
          <w:szCs w:val="24"/>
        </w:rPr>
      </w:pPr>
    </w:p>
    <w:p w:rsidR="000D2142" w:rsidRPr="000D1E20" w:rsidRDefault="000D2142" w:rsidP="000D2142">
      <w:pPr>
        <w:spacing w:after="0"/>
        <w:jc w:val="both"/>
        <w:rPr>
          <w:rFonts w:ascii="Arial Narrow" w:hAnsi="Arial Narrow"/>
          <w:b/>
          <w:sz w:val="24"/>
          <w:szCs w:val="24"/>
        </w:rPr>
      </w:pPr>
      <w:r>
        <w:rPr>
          <w:rFonts w:ascii="Arial Narrow" w:hAnsi="Arial Narrow"/>
          <w:b/>
          <w:sz w:val="24"/>
          <w:szCs w:val="24"/>
        </w:rPr>
        <w:t>4.2</w:t>
      </w:r>
    </w:p>
    <w:p w:rsidR="000D2142" w:rsidRDefault="000D2142"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0D2142" w:rsidTr="000E660B">
        <w:tc>
          <w:tcPr>
            <w:tcW w:w="15390" w:type="dxa"/>
          </w:tcPr>
          <w:p w:rsidR="000D2142" w:rsidRDefault="000D2142"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0D2142" w:rsidRDefault="000D2142" w:rsidP="000D214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011FF0">
              <w:rPr>
                <w:rFonts w:ascii="Arial Narrow" w:hAnsi="Arial Narrow" w:cs="Times New Roman"/>
                <w:sz w:val="24"/>
                <w:szCs w:val="24"/>
              </w:rPr>
              <w:t>he space provided</w:t>
            </w:r>
          </w:p>
          <w:p w:rsidR="000D2142" w:rsidRDefault="000D2142" w:rsidP="000D214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0D2142" w:rsidRDefault="000D2142" w:rsidP="000E660B">
            <w:pPr>
              <w:jc w:val="center"/>
              <w:rPr>
                <w:rFonts w:ascii="Arial Narrow" w:hAnsi="Arial Narrow"/>
                <w:b/>
                <w:sz w:val="28"/>
                <w:szCs w:val="28"/>
              </w:rPr>
            </w:pPr>
          </w:p>
        </w:tc>
      </w:tr>
    </w:tbl>
    <w:p w:rsidR="000D2142" w:rsidRDefault="000D2142" w:rsidP="000D2142">
      <w:pPr>
        <w:spacing w:after="0"/>
        <w:jc w:val="both"/>
        <w:rPr>
          <w:rFonts w:ascii="Arial Narrow" w:hAnsi="Arial Narrow"/>
          <w:sz w:val="24"/>
          <w:szCs w:val="24"/>
        </w:rPr>
      </w:pPr>
    </w:p>
    <w:p w:rsidR="00150B65" w:rsidRDefault="00150B65"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150B65" w:rsidRPr="004A7255" w:rsidTr="000E660B">
        <w:tc>
          <w:tcPr>
            <w:tcW w:w="15390" w:type="dxa"/>
            <w:shd w:val="clear" w:color="auto" w:fill="BFBFBF" w:themeFill="background1" w:themeFillShade="BF"/>
          </w:tcPr>
          <w:p w:rsidR="00150B65" w:rsidRPr="004A7255" w:rsidRDefault="00150B6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150B65" w:rsidRPr="004A7255" w:rsidTr="000E660B">
        <w:tc>
          <w:tcPr>
            <w:tcW w:w="15390" w:type="dxa"/>
          </w:tcPr>
          <w:p w:rsidR="00150B65" w:rsidRPr="004A7255" w:rsidRDefault="00150B65" w:rsidP="00150B65">
            <w:pPr>
              <w:jc w:val="both"/>
              <w:rPr>
                <w:rFonts w:ascii="Arial Narrow" w:hAnsi="Arial Narrow"/>
                <w:sz w:val="24"/>
                <w:szCs w:val="24"/>
                <w:lang w:val="en-ZA"/>
              </w:rPr>
            </w:pPr>
            <w:r w:rsidRPr="004A7255">
              <w:rPr>
                <w:rFonts w:ascii="Arial Narrow" w:hAnsi="Arial Narrow"/>
                <w:sz w:val="24"/>
                <w:szCs w:val="24"/>
                <w:lang w:val="en-ZA"/>
              </w:rPr>
              <w:t xml:space="preserve">Reflect upon the assessment and moderation strategy and practices for the programme and critique its adequacy and effectiveness in relation to the mode/s of provision of the programme. </w:t>
            </w:r>
          </w:p>
          <w:p w:rsidR="00150B65" w:rsidRPr="004A7255" w:rsidRDefault="00150B65" w:rsidP="000E660B">
            <w:pPr>
              <w:jc w:val="both"/>
              <w:rPr>
                <w:rFonts w:ascii="Arial Narrow" w:hAnsi="Arial Narrow"/>
                <w:b/>
                <w:sz w:val="24"/>
                <w:szCs w:val="24"/>
                <w:lang w:val="en-ZA"/>
              </w:rPr>
            </w:pPr>
          </w:p>
        </w:tc>
      </w:tr>
      <w:tr w:rsidR="00150B65" w:rsidRPr="004A7255" w:rsidTr="000E660B">
        <w:tc>
          <w:tcPr>
            <w:tcW w:w="15390" w:type="dxa"/>
          </w:tcPr>
          <w:p w:rsidR="00150B65" w:rsidRDefault="00150B65" w:rsidP="000E660B">
            <w:pPr>
              <w:jc w:val="both"/>
              <w:rPr>
                <w:rFonts w:ascii="Arial Narrow" w:hAnsi="Arial Narrow"/>
                <w:sz w:val="24"/>
                <w:szCs w:val="24"/>
              </w:rPr>
            </w:pPr>
          </w:p>
          <w:p w:rsidR="00150B65" w:rsidRDefault="00150B65" w:rsidP="000E660B">
            <w:pPr>
              <w:jc w:val="both"/>
              <w:rPr>
                <w:rFonts w:ascii="Arial Narrow" w:hAnsi="Arial Narrow"/>
                <w:sz w:val="24"/>
                <w:szCs w:val="24"/>
              </w:rPr>
            </w:pPr>
          </w:p>
          <w:p w:rsidR="00150B65" w:rsidRPr="004A7255" w:rsidRDefault="00150B65" w:rsidP="000E660B">
            <w:pPr>
              <w:jc w:val="both"/>
              <w:rPr>
                <w:rFonts w:ascii="Arial Narrow" w:hAnsi="Arial Narrow"/>
                <w:sz w:val="24"/>
                <w:szCs w:val="24"/>
              </w:rPr>
            </w:pPr>
          </w:p>
        </w:tc>
      </w:tr>
      <w:tr w:rsidR="00B47A21" w:rsidTr="00E218B0">
        <w:tc>
          <w:tcPr>
            <w:tcW w:w="15390" w:type="dxa"/>
            <w:shd w:val="clear" w:color="auto" w:fill="BFBFBF" w:themeFill="background1" w:themeFillShade="BF"/>
          </w:tcPr>
          <w:p w:rsidR="00B47A21" w:rsidRDefault="00B47A2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47A21" w:rsidRPr="004A7255" w:rsidTr="00E218B0">
        <w:trPr>
          <w:trHeight w:val="872"/>
        </w:trPr>
        <w:tc>
          <w:tcPr>
            <w:tcW w:w="15390" w:type="dxa"/>
          </w:tcPr>
          <w:p w:rsidR="00B47A21" w:rsidRPr="004A7255" w:rsidRDefault="00B47A21" w:rsidP="00E218B0">
            <w:pPr>
              <w:rPr>
                <w:rFonts w:ascii="Arial Narrow" w:hAnsi="Arial Narrow" w:cs="Times New Roman"/>
                <w:b/>
                <w:sz w:val="24"/>
                <w:szCs w:val="24"/>
              </w:rPr>
            </w:pPr>
          </w:p>
        </w:tc>
      </w:tr>
    </w:tbl>
    <w:p w:rsidR="00150B65" w:rsidRDefault="00150B65" w:rsidP="000D2142">
      <w:pPr>
        <w:spacing w:after="0"/>
        <w:jc w:val="both"/>
        <w:rPr>
          <w:rFonts w:ascii="Arial Narrow" w:hAnsi="Arial Narrow"/>
          <w:sz w:val="24"/>
          <w:szCs w:val="24"/>
        </w:rPr>
      </w:pPr>
    </w:p>
    <w:p w:rsidR="00150B65" w:rsidRDefault="00150B65"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150B65" w:rsidRPr="004A7255" w:rsidTr="000E660B">
        <w:tc>
          <w:tcPr>
            <w:tcW w:w="15390" w:type="dxa"/>
            <w:shd w:val="clear" w:color="auto" w:fill="BFBFBF" w:themeFill="background1" w:themeFillShade="BF"/>
          </w:tcPr>
          <w:p w:rsidR="00150B65" w:rsidRPr="004A7255" w:rsidRDefault="00150B6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150B65" w:rsidRPr="004A7255" w:rsidTr="000E660B">
        <w:tc>
          <w:tcPr>
            <w:tcW w:w="15390" w:type="dxa"/>
          </w:tcPr>
          <w:p w:rsidR="00150B65" w:rsidRPr="004A7255" w:rsidRDefault="00150B65" w:rsidP="00150B65">
            <w:pPr>
              <w:jc w:val="both"/>
              <w:rPr>
                <w:rFonts w:ascii="Arial Narrow" w:hAnsi="Arial Narrow"/>
                <w:sz w:val="24"/>
                <w:szCs w:val="24"/>
                <w:lang w:val="en-ZA"/>
              </w:rPr>
            </w:pPr>
            <w:r w:rsidRPr="004A7255">
              <w:rPr>
                <w:rFonts w:ascii="Arial Narrow" w:hAnsi="Arial Narrow"/>
                <w:sz w:val="24"/>
                <w:szCs w:val="24"/>
                <w:lang w:val="en-ZA"/>
              </w:rPr>
              <w:t xml:space="preserve">Discuss any planned changes to this strategy and practices in relation to identified needs. Explain the mechanisms and procedures to bring about these changes (e.g. policy adjustments) including arrangements for the approval thereof and a proposed timeframe for doing so. </w:t>
            </w:r>
          </w:p>
          <w:p w:rsidR="00150B65" w:rsidRPr="004A7255" w:rsidRDefault="00150B65" w:rsidP="000E660B">
            <w:pPr>
              <w:jc w:val="both"/>
              <w:rPr>
                <w:rFonts w:ascii="Arial Narrow" w:hAnsi="Arial Narrow"/>
                <w:b/>
                <w:sz w:val="24"/>
                <w:szCs w:val="24"/>
                <w:lang w:val="en-ZA"/>
              </w:rPr>
            </w:pPr>
          </w:p>
        </w:tc>
      </w:tr>
      <w:tr w:rsidR="00150B65" w:rsidRPr="004A7255" w:rsidTr="000E660B">
        <w:tc>
          <w:tcPr>
            <w:tcW w:w="15390" w:type="dxa"/>
          </w:tcPr>
          <w:p w:rsidR="00150B65" w:rsidRDefault="00150B65" w:rsidP="000E660B">
            <w:pPr>
              <w:jc w:val="both"/>
              <w:rPr>
                <w:rFonts w:ascii="Arial Narrow" w:hAnsi="Arial Narrow"/>
                <w:sz w:val="24"/>
                <w:szCs w:val="24"/>
              </w:rPr>
            </w:pPr>
          </w:p>
          <w:p w:rsidR="00150B65" w:rsidRDefault="00150B65" w:rsidP="000E660B">
            <w:pPr>
              <w:jc w:val="both"/>
              <w:rPr>
                <w:rFonts w:ascii="Arial Narrow" w:hAnsi="Arial Narrow"/>
                <w:sz w:val="24"/>
                <w:szCs w:val="24"/>
              </w:rPr>
            </w:pPr>
          </w:p>
          <w:p w:rsidR="00011FF0" w:rsidRDefault="00011FF0" w:rsidP="000E660B">
            <w:pPr>
              <w:jc w:val="both"/>
              <w:rPr>
                <w:rFonts w:ascii="Arial Narrow" w:hAnsi="Arial Narrow"/>
                <w:sz w:val="24"/>
                <w:szCs w:val="24"/>
              </w:rPr>
            </w:pPr>
          </w:p>
          <w:p w:rsidR="00011FF0" w:rsidRDefault="00011FF0" w:rsidP="000E660B">
            <w:pPr>
              <w:jc w:val="both"/>
              <w:rPr>
                <w:rFonts w:ascii="Arial Narrow" w:hAnsi="Arial Narrow"/>
                <w:sz w:val="24"/>
                <w:szCs w:val="24"/>
              </w:rPr>
            </w:pPr>
          </w:p>
          <w:p w:rsidR="00150B65" w:rsidRPr="004A7255" w:rsidRDefault="00150B65" w:rsidP="000E660B">
            <w:pPr>
              <w:jc w:val="both"/>
              <w:rPr>
                <w:rFonts w:ascii="Arial Narrow" w:hAnsi="Arial Narrow"/>
                <w:sz w:val="24"/>
                <w:szCs w:val="24"/>
              </w:rPr>
            </w:pPr>
          </w:p>
        </w:tc>
      </w:tr>
      <w:tr w:rsidR="00B47A21" w:rsidTr="00E218B0">
        <w:tc>
          <w:tcPr>
            <w:tcW w:w="15390" w:type="dxa"/>
            <w:shd w:val="clear" w:color="auto" w:fill="BFBFBF" w:themeFill="background1" w:themeFillShade="BF"/>
          </w:tcPr>
          <w:p w:rsidR="00B47A21" w:rsidRDefault="00B47A2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47A21" w:rsidRPr="004A7255" w:rsidTr="00E218B0">
        <w:trPr>
          <w:trHeight w:val="872"/>
        </w:trPr>
        <w:tc>
          <w:tcPr>
            <w:tcW w:w="15390" w:type="dxa"/>
          </w:tcPr>
          <w:p w:rsidR="00B47A21" w:rsidRPr="004A7255" w:rsidRDefault="00B47A21" w:rsidP="00E218B0">
            <w:pPr>
              <w:rPr>
                <w:rFonts w:ascii="Arial Narrow" w:hAnsi="Arial Narrow" w:cs="Times New Roman"/>
                <w:b/>
                <w:sz w:val="24"/>
                <w:szCs w:val="24"/>
              </w:rPr>
            </w:pPr>
          </w:p>
        </w:tc>
      </w:tr>
    </w:tbl>
    <w:p w:rsidR="00150B65" w:rsidRDefault="00150B65" w:rsidP="000D2142">
      <w:pPr>
        <w:spacing w:after="0"/>
        <w:jc w:val="both"/>
        <w:rPr>
          <w:rFonts w:ascii="Arial Narrow" w:hAnsi="Arial Narrow"/>
          <w:sz w:val="24"/>
          <w:szCs w:val="24"/>
        </w:rPr>
      </w:pPr>
    </w:p>
    <w:p w:rsidR="00150B65" w:rsidRPr="004A7255" w:rsidRDefault="00150B65" w:rsidP="000D2142">
      <w:pPr>
        <w:spacing w:after="0"/>
        <w:jc w:val="both"/>
        <w:rPr>
          <w:rFonts w:ascii="Arial Narrow" w:hAnsi="Arial Narrow"/>
          <w:sz w:val="24"/>
          <w:szCs w:val="24"/>
        </w:rPr>
      </w:pPr>
    </w:p>
    <w:p w:rsidR="000D2142" w:rsidRDefault="000D2142" w:rsidP="000D2142">
      <w:pPr>
        <w:pStyle w:val="ListParagraph"/>
        <w:spacing w:after="0"/>
        <w:rPr>
          <w:rFonts w:ascii="Arial Narrow" w:hAnsi="Arial Narrow"/>
          <w:b/>
          <w:sz w:val="28"/>
          <w:szCs w:val="28"/>
        </w:rPr>
      </w:pPr>
    </w:p>
    <w:p w:rsidR="00F079FA" w:rsidRDefault="007D160F"/>
    <w:sectPr w:rsidR="00F079FA" w:rsidSect="00295B83">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60F" w:rsidRDefault="007D160F" w:rsidP="00150B65">
      <w:pPr>
        <w:spacing w:after="0" w:line="240" w:lineRule="auto"/>
      </w:pPr>
      <w:r>
        <w:separator/>
      </w:r>
    </w:p>
  </w:endnote>
  <w:endnote w:type="continuationSeparator" w:id="0">
    <w:p w:rsidR="007D160F" w:rsidRDefault="007D160F" w:rsidP="0015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813513"/>
      <w:docPartObj>
        <w:docPartGallery w:val="Page Numbers (Bottom of Page)"/>
        <w:docPartUnique/>
      </w:docPartObj>
    </w:sdtPr>
    <w:sdtEndPr>
      <w:rPr>
        <w:noProof/>
      </w:rPr>
    </w:sdtEndPr>
    <w:sdtContent>
      <w:p w:rsidR="00150B65" w:rsidRDefault="00150B65">
        <w:pPr>
          <w:pStyle w:val="Footer"/>
          <w:jc w:val="right"/>
        </w:pPr>
        <w:r w:rsidRPr="00150B65">
          <w:rPr>
            <w:rFonts w:ascii="Arial Narrow" w:hAnsi="Arial Narrow"/>
          </w:rPr>
          <w:fldChar w:fldCharType="begin"/>
        </w:r>
        <w:r w:rsidRPr="00150B65">
          <w:rPr>
            <w:rFonts w:ascii="Arial Narrow" w:hAnsi="Arial Narrow"/>
          </w:rPr>
          <w:instrText xml:space="preserve"> PAGE   \* MERGEFORMAT </w:instrText>
        </w:r>
        <w:r w:rsidRPr="00150B65">
          <w:rPr>
            <w:rFonts w:ascii="Arial Narrow" w:hAnsi="Arial Narrow"/>
          </w:rPr>
          <w:fldChar w:fldCharType="separate"/>
        </w:r>
        <w:r w:rsidR="00E21E49">
          <w:rPr>
            <w:rFonts w:ascii="Arial Narrow" w:hAnsi="Arial Narrow"/>
            <w:noProof/>
          </w:rPr>
          <w:t>1</w:t>
        </w:r>
        <w:r w:rsidRPr="00150B65">
          <w:rPr>
            <w:rFonts w:ascii="Arial Narrow" w:hAnsi="Arial Narrow"/>
            <w:noProof/>
          </w:rPr>
          <w:fldChar w:fldCharType="end"/>
        </w:r>
      </w:p>
    </w:sdtContent>
  </w:sdt>
  <w:p w:rsidR="00150B65" w:rsidRDefault="00150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60F" w:rsidRDefault="007D160F" w:rsidP="00150B65">
      <w:pPr>
        <w:spacing w:after="0" w:line="240" w:lineRule="auto"/>
      </w:pPr>
      <w:r>
        <w:separator/>
      </w:r>
    </w:p>
  </w:footnote>
  <w:footnote w:type="continuationSeparator" w:id="0">
    <w:p w:rsidR="007D160F" w:rsidRDefault="007D160F" w:rsidP="00150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D3F8719A"/>
    <w:lvl w:ilvl="0" w:tplc="7F402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83"/>
    <w:rsid w:val="00011FF0"/>
    <w:rsid w:val="000D2142"/>
    <w:rsid w:val="000E3E24"/>
    <w:rsid w:val="00150B65"/>
    <w:rsid w:val="00295B83"/>
    <w:rsid w:val="0030754B"/>
    <w:rsid w:val="003E60B3"/>
    <w:rsid w:val="00572C5D"/>
    <w:rsid w:val="007D160F"/>
    <w:rsid w:val="009162D8"/>
    <w:rsid w:val="00AA17D6"/>
    <w:rsid w:val="00B47A21"/>
    <w:rsid w:val="00E21E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42"/>
    <w:pPr>
      <w:ind w:left="720"/>
      <w:contextualSpacing/>
    </w:pPr>
  </w:style>
  <w:style w:type="paragraph" w:styleId="Header">
    <w:name w:val="header"/>
    <w:basedOn w:val="Normal"/>
    <w:link w:val="HeaderChar"/>
    <w:uiPriority w:val="99"/>
    <w:unhideWhenUsed/>
    <w:rsid w:val="0015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65"/>
  </w:style>
  <w:style w:type="paragraph" w:styleId="Footer">
    <w:name w:val="footer"/>
    <w:basedOn w:val="Normal"/>
    <w:link w:val="FooterChar"/>
    <w:uiPriority w:val="99"/>
    <w:unhideWhenUsed/>
    <w:rsid w:val="0015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42"/>
    <w:pPr>
      <w:ind w:left="720"/>
      <w:contextualSpacing/>
    </w:pPr>
  </w:style>
  <w:style w:type="paragraph" w:styleId="Header">
    <w:name w:val="header"/>
    <w:basedOn w:val="Normal"/>
    <w:link w:val="HeaderChar"/>
    <w:uiPriority w:val="99"/>
    <w:unhideWhenUsed/>
    <w:rsid w:val="0015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65"/>
  </w:style>
  <w:style w:type="paragraph" w:styleId="Footer">
    <w:name w:val="footer"/>
    <w:basedOn w:val="Normal"/>
    <w:link w:val="FooterChar"/>
    <w:uiPriority w:val="99"/>
    <w:unhideWhenUsed/>
    <w:rsid w:val="0015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2018-07-09T11:40:00Z</dcterms:created>
  <dcterms:modified xsi:type="dcterms:W3CDTF">2018-07-09T11:40:00Z</dcterms:modified>
</cp:coreProperties>
</file>