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D3BA" w14:textId="77777777" w:rsidR="006F47DB" w:rsidRPr="006F47DB" w:rsidRDefault="006F47DB" w:rsidP="006F47DB">
      <w:pPr>
        <w:spacing w:after="0"/>
        <w:rPr>
          <w:rFonts w:asciiTheme="minorBidi" w:hAnsiTheme="minorBidi"/>
          <w:b/>
          <w:bCs/>
        </w:rPr>
      </w:pPr>
      <w:r w:rsidRPr="006F47DB">
        <w:rPr>
          <w:rFonts w:asciiTheme="minorBidi" w:hAnsiTheme="minorBidi"/>
          <w:b/>
          <w:bCs/>
        </w:rPr>
        <w:t>INTERNAL QUALITY ASSURANCE</w:t>
      </w:r>
    </w:p>
    <w:p w14:paraId="15004986" w14:textId="77777777" w:rsidR="006F47DB" w:rsidRPr="006F47DB" w:rsidRDefault="006F47DB" w:rsidP="006F47DB">
      <w:pPr>
        <w:spacing w:after="0" w:line="276" w:lineRule="auto"/>
        <w:jc w:val="both"/>
        <w:rPr>
          <w:rFonts w:asciiTheme="minorBidi" w:hAnsiTheme="minorBidi"/>
          <w:b/>
          <w:bCs/>
        </w:rPr>
      </w:pPr>
      <w:r w:rsidRPr="006F47DB">
        <w:rPr>
          <w:rFonts w:asciiTheme="minorBidi" w:hAnsiTheme="minorBidi"/>
          <w:b/>
          <w:bCs/>
        </w:rPr>
        <w:t>Ensure that all responses relate to the relevant mode(s) of provisioning.</w:t>
      </w:r>
    </w:p>
    <w:p w14:paraId="47114553" w14:textId="77777777" w:rsidR="006F47DB" w:rsidRPr="006F47DB" w:rsidRDefault="006F47DB" w:rsidP="006F47DB">
      <w:pPr>
        <w:rPr>
          <w:rFonts w:asciiTheme="minorBidi" w:hAnsiTheme="minorBidi"/>
          <w:b/>
          <w:bCs/>
        </w:rPr>
      </w:pPr>
    </w:p>
    <w:p w14:paraId="7C9D66B7" w14:textId="77777777" w:rsidR="006F47DB" w:rsidRPr="006F47DB" w:rsidRDefault="006F47DB" w:rsidP="006F47DB">
      <w:pPr>
        <w:numPr>
          <w:ilvl w:val="0"/>
          <w:numId w:val="16"/>
        </w:numPr>
        <w:spacing w:after="0" w:line="276" w:lineRule="auto"/>
        <w:jc w:val="both"/>
        <w:rPr>
          <w:rFonts w:asciiTheme="minorBidi" w:hAnsiTheme="minorBidi"/>
        </w:rPr>
      </w:pPr>
      <w:r w:rsidRPr="006F47DB">
        <w:rPr>
          <w:rFonts w:asciiTheme="minorBidi" w:hAnsiTheme="minorBidi"/>
        </w:rPr>
        <w:t>Briefly describe the internal quality management system in place to assure and ensure the quality of the programme / qualification and its delivery:</w:t>
      </w:r>
    </w:p>
    <w:p w14:paraId="3D7A6FAB" w14:textId="77777777" w:rsidR="006F47DB" w:rsidRPr="006F47DB" w:rsidRDefault="006F47DB" w:rsidP="006F47DB">
      <w:pPr>
        <w:numPr>
          <w:ilvl w:val="0"/>
          <w:numId w:val="17"/>
        </w:numPr>
        <w:spacing w:after="0" w:line="276" w:lineRule="auto"/>
        <w:jc w:val="both"/>
        <w:rPr>
          <w:rFonts w:asciiTheme="minorBidi" w:hAnsiTheme="minorBidi"/>
        </w:rPr>
      </w:pPr>
      <w:r w:rsidRPr="006F47DB">
        <w:rPr>
          <w:rFonts w:asciiTheme="minorBidi" w:hAnsiTheme="minorBidi"/>
        </w:rPr>
        <w:t>What are the procedures for the monitoring and evaluation of learning and teaching, and assessment?</w:t>
      </w:r>
    </w:p>
    <w:p w14:paraId="1D1AD042" w14:textId="77777777" w:rsidR="006F47DB" w:rsidRPr="006F47DB" w:rsidRDefault="006F47DB" w:rsidP="006F47DB">
      <w:pPr>
        <w:numPr>
          <w:ilvl w:val="0"/>
          <w:numId w:val="17"/>
        </w:numPr>
        <w:spacing w:after="0" w:line="276" w:lineRule="auto"/>
        <w:jc w:val="both"/>
        <w:rPr>
          <w:rFonts w:asciiTheme="minorBidi" w:hAnsiTheme="minorBidi"/>
        </w:rPr>
      </w:pPr>
      <w:r w:rsidRPr="006F47DB">
        <w:rPr>
          <w:rFonts w:asciiTheme="minorBidi" w:hAnsiTheme="minorBidi"/>
        </w:rPr>
        <w:t xml:space="preserve">Indicate how staff will be included in, and capacitated by, the quality assurance system and processes. </w:t>
      </w:r>
    </w:p>
    <w:p w14:paraId="28B4455A" w14:textId="77777777" w:rsidR="006F47DB" w:rsidRPr="006F47DB" w:rsidRDefault="006F47DB" w:rsidP="006F47DB">
      <w:pPr>
        <w:numPr>
          <w:ilvl w:val="0"/>
          <w:numId w:val="17"/>
        </w:numPr>
        <w:spacing w:after="0" w:line="276" w:lineRule="auto"/>
        <w:jc w:val="both"/>
        <w:rPr>
          <w:rFonts w:asciiTheme="minorBidi" w:hAnsiTheme="minorBidi"/>
        </w:rPr>
      </w:pPr>
      <w:r w:rsidRPr="006F47DB">
        <w:rPr>
          <w:rFonts w:asciiTheme="minorBidi" w:hAnsiTheme="minorBidi"/>
        </w:rPr>
        <w:t xml:space="preserve">How are programme reviews to be conducted? How is feedback on the programme (from moderation, student surveys, etc.) incorporated into the programme review process? </w:t>
      </w:r>
    </w:p>
    <w:p w14:paraId="26D54B37" w14:textId="77777777" w:rsidR="006F47DB" w:rsidRPr="006F47DB" w:rsidRDefault="006F47DB" w:rsidP="006F47DB">
      <w:pPr>
        <w:numPr>
          <w:ilvl w:val="0"/>
          <w:numId w:val="17"/>
        </w:numPr>
        <w:spacing w:after="0" w:line="276" w:lineRule="auto"/>
        <w:jc w:val="both"/>
        <w:rPr>
          <w:rFonts w:asciiTheme="minorBidi" w:hAnsiTheme="minorBidi"/>
        </w:rPr>
      </w:pPr>
      <w:r w:rsidRPr="006F47DB">
        <w:rPr>
          <w:rFonts w:asciiTheme="minorBidi" w:hAnsiTheme="minorBidi"/>
        </w:rPr>
        <w:t>What are the mechanisms in place to evaluate the programme’s / qualification’s impact and effect improvement?</w:t>
      </w:r>
    </w:p>
    <w:p w14:paraId="5FB33553" w14:textId="77777777" w:rsidR="006F47DB" w:rsidRPr="006F47DB" w:rsidRDefault="006F47DB" w:rsidP="006F47DB">
      <w:pPr>
        <w:spacing w:after="0" w:line="276" w:lineRule="auto"/>
        <w:ind w:left="1080"/>
        <w:jc w:val="both"/>
        <w:rPr>
          <w:rFonts w:asciiTheme="minorBidi" w:hAnsiTheme="minorBidi"/>
        </w:rPr>
      </w:pP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7DB" w:rsidRPr="006F47DB" w14:paraId="4A1A5FF1" w14:textId="77777777" w:rsidTr="008E1A53">
        <w:tc>
          <w:tcPr>
            <w:tcW w:w="9350" w:type="dxa"/>
          </w:tcPr>
          <w:p w14:paraId="7911A1C4" w14:textId="77777777" w:rsidR="006F47DB" w:rsidRPr="006F47DB" w:rsidRDefault="006F47DB" w:rsidP="006F47DB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14:paraId="3477DCA2" w14:textId="77777777" w:rsidR="006F47DB" w:rsidRPr="006F47DB" w:rsidRDefault="006F47DB" w:rsidP="006F47DB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14:paraId="7557F336" w14:textId="77777777" w:rsidR="006F47DB" w:rsidRPr="006F47DB" w:rsidRDefault="006F47DB" w:rsidP="006F47DB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</w:tc>
      </w:tr>
    </w:tbl>
    <w:p w14:paraId="70DF8E2B" w14:textId="77777777" w:rsidR="006F47DB" w:rsidRPr="006F47DB" w:rsidRDefault="006F47DB" w:rsidP="006F47DB">
      <w:pPr>
        <w:spacing w:line="276" w:lineRule="auto"/>
        <w:rPr>
          <w:rFonts w:asciiTheme="minorBidi" w:hAnsiTheme="minorBidi"/>
        </w:rPr>
      </w:pPr>
    </w:p>
    <w:p w14:paraId="4B5DFDDC" w14:textId="77777777" w:rsidR="006F47DB" w:rsidRPr="006F47DB" w:rsidRDefault="006F47DB" w:rsidP="006F47DB">
      <w:pPr>
        <w:spacing w:line="276" w:lineRule="auto"/>
        <w:rPr>
          <w:rFonts w:asciiTheme="minorBidi" w:hAnsiTheme="minorBidi"/>
        </w:rPr>
      </w:pPr>
      <w:r w:rsidRPr="006F47DB">
        <w:rPr>
          <w:rFonts w:asciiTheme="minorBidi" w:hAnsiTheme="minorBidi"/>
        </w:rPr>
        <w:t xml:space="preserve">2. How does the institution guide students through the processes associated with recruitment, admission, retention, progression, </w:t>
      </w:r>
      <w:proofErr w:type="gramStart"/>
      <w:r w:rsidRPr="006F47DB">
        <w:rPr>
          <w:rFonts w:asciiTheme="minorBidi" w:hAnsiTheme="minorBidi"/>
        </w:rPr>
        <w:t>graduation</w:t>
      </w:r>
      <w:proofErr w:type="gramEnd"/>
      <w:r w:rsidRPr="006F47DB">
        <w:rPr>
          <w:rFonts w:asciiTheme="minorBidi" w:hAnsiTheme="minorBidi"/>
        </w:rPr>
        <w:t xml:space="preserve"> and career planning? How are these monitored and evaluated, and quality assured?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F47DB" w:rsidRPr="006F47DB" w14:paraId="41F063AF" w14:textId="77777777" w:rsidTr="008E1A53">
        <w:tc>
          <w:tcPr>
            <w:tcW w:w="9736" w:type="dxa"/>
          </w:tcPr>
          <w:p w14:paraId="6FE0ACAC" w14:textId="77777777" w:rsidR="006F47DB" w:rsidRPr="006F47DB" w:rsidRDefault="006F47DB" w:rsidP="006F47DB">
            <w:pPr>
              <w:spacing w:line="276" w:lineRule="auto"/>
              <w:rPr>
                <w:rFonts w:asciiTheme="minorBidi" w:hAnsiTheme="minorBidi"/>
              </w:rPr>
            </w:pPr>
          </w:p>
          <w:p w14:paraId="194D34D4" w14:textId="77777777" w:rsidR="006F47DB" w:rsidRPr="006F47DB" w:rsidRDefault="006F47DB" w:rsidP="006F47DB">
            <w:pPr>
              <w:spacing w:line="276" w:lineRule="auto"/>
              <w:rPr>
                <w:rFonts w:asciiTheme="minorBidi" w:hAnsiTheme="minorBidi"/>
              </w:rPr>
            </w:pPr>
          </w:p>
        </w:tc>
      </w:tr>
    </w:tbl>
    <w:p w14:paraId="3E2D1308" w14:textId="77777777" w:rsidR="006F47DB" w:rsidRPr="006F47DB" w:rsidRDefault="006F47DB" w:rsidP="006F47DB">
      <w:pPr>
        <w:spacing w:line="276" w:lineRule="auto"/>
        <w:rPr>
          <w:rFonts w:asciiTheme="minorBidi" w:hAnsiTheme="minorBidi"/>
        </w:rPr>
      </w:pPr>
    </w:p>
    <w:p w14:paraId="623FE74E" w14:textId="77777777" w:rsidR="006F47DB" w:rsidRPr="006F47DB" w:rsidRDefault="006F47DB" w:rsidP="006F47DB">
      <w:pPr>
        <w:spacing w:line="276" w:lineRule="auto"/>
        <w:rPr>
          <w:rFonts w:asciiTheme="minorBidi" w:hAnsiTheme="minorBidi"/>
        </w:rPr>
      </w:pPr>
      <w:r w:rsidRPr="006F47DB">
        <w:rPr>
          <w:rFonts w:asciiTheme="minorBidi" w:hAnsiTheme="minorBidi"/>
        </w:rPr>
        <w:t>3. In relation to risk management, explain how the institution will implement and manage its emergency arrangements (e.g. COVID-19 disaster management restrictions):</w:t>
      </w:r>
    </w:p>
    <w:p w14:paraId="48998D87" w14:textId="77777777" w:rsidR="006F47DB" w:rsidRPr="006F47DB" w:rsidRDefault="006F47DB" w:rsidP="006F47DB">
      <w:pPr>
        <w:numPr>
          <w:ilvl w:val="0"/>
          <w:numId w:val="18"/>
        </w:numPr>
        <w:spacing w:line="276" w:lineRule="auto"/>
        <w:contextualSpacing/>
        <w:rPr>
          <w:rFonts w:asciiTheme="minorBidi" w:hAnsiTheme="minorBidi"/>
        </w:rPr>
      </w:pPr>
      <w:r w:rsidRPr="006F47DB">
        <w:rPr>
          <w:rFonts w:asciiTheme="minorBidi" w:hAnsiTheme="minorBidi"/>
        </w:rPr>
        <w:t>Risk assessment and mitigation</w:t>
      </w:r>
    </w:p>
    <w:p w14:paraId="45D746FD" w14:textId="77777777" w:rsidR="006F47DB" w:rsidRPr="006F47DB" w:rsidRDefault="006F47DB" w:rsidP="006F47DB">
      <w:pPr>
        <w:numPr>
          <w:ilvl w:val="0"/>
          <w:numId w:val="18"/>
        </w:numPr>
        <w:spacing w:line="276" w:lineRule="auto"/>
        <w:contextualSpacing/>
        <w:rPr>
          <w:rFonts w:asciiTheme="minorBidi" w:hAnsiTheme="minorBidi"/>
        </w:rPr>
      </w:pPr>
      <w:r w:rsidRPr="006F47DB">
        <w:rPr>
          <w:rFonts w:asciiTheme="minorBidi" w:hAnsiTheme="minorBidi"/>
        </w:rPr>
        <w:t>Learning and teaching</w:t>
      </w:r>
    </w:p>
    <w:p w14:paraId="6ECB34AB" w14:textId="77777777" w:rsidR="006F47DB" w:rsidRPr="006F47DB" w:rsidRDefault="006F47DB" w:rsidP="006F47DB">
      <w:pPr>
        <w:numPr>
          <w:ilvl w:val="0"/>
          <w:numId w:val="18"/>
        </w:numPr>
        <w:spacing w:line="276" w:lineRule="auto"/>
        <w:contextualSpacing/>
        <w:rPr>
          <w:rFonts w:asciiTheme="minorBidi" w:hAnsiTheme="minorBidi"/>
        </w:rPr>
      </w:pPr>
      <w:r w:rsidRPr="006F47DB">
        <w:rPr>
          <w:rFonts w:asciiTheme="minorBidi" w:hAnsiTheme="minorBidi"/>
        </w:rPr>
        <w:t>Assessment and moderation</w:t>
      </w:r>
    </w:p>
    <w:p w14:paraId="04B07F62" w14:textId="77777777" w:rsidR="006F47DB" w:rsidRPr="006F47DB" w:rsidRDefault="006F47DB" w:rsidP="006F47DB">
      <w:pPr>
        <w:numPr>
          <w:ilvl w:val="0"/>
          <w:numId w:val="18"/>
        </w:numPr>
        <w:spacing w:line="276" w:lineRule="auto"/>
        <w:contextualSpacing/>
        <w:rPr>
          <w:rFonts w:asciiTheme="minorBidi" w:hAnsiTheme="minorBidi"/>
        </w:rPr>
      </w:pPr>
      <w:r w:rsidRPr="006F47DB">
        <w:rPr>
          <w:rFonts w:asciiTheme="minorBidi" w:hAnsiTheme="minorBidi"/>
        </w:rPr>
        <w:t>Student support mechanisms (academic and other)</w:t>
      </w:r>
    </w:p>
    <w:p w14:paraId="02137E70" w14:textId="77777777" w:rsidR="006F47DB" w:rsidRPr="006F47DB" w:rsidRDefault="006F47DB" w:rsidP="006F47DB">
      <w:pPr>
        <w:numPr>
          <w:ilvl w:val="0"/>
          <w:numId w:val="18"/>
        </w:numPr>
        <w:spacing w:line="276" w:lineRule="auto"/>
        <w:contextualSpacing/>
        <w:rPr>
          <w:rFonts w:asciiTheme="minorBidi" w:hAnsiTheme="minorBidi"/>
        </w:rPr>
      </w:pPr>
      <w:r w:rsidRPr="006F47DB">
        <w:rPr>
          <w:rFonts w:asciiTheme="minorBidi" w:hAnsiTheme="minorBidi"/>
        </w:rPr>
        <w:t>Staff support and development</w:t>
      </w:r>
    </w:p>
    <w:p w14:paraId="40E64C21" w14:textId="77777777" w:rsidR="006F47DB" w:rsidRPr="006F47DB" w:rsidRDefault="006F47DB" w:rsidP="006F47DB">
      <w:pPr>
        <w:numPr>
          <w:ilvl w:val="0"/>
          <w:numId w:val="18"/>
        </w:numPr>
        <w:spacing w:line="276" w:lineRule="auto"/>
        <w:contextualSpacing/>
        <w:rPr>
          <w:rFonts w:asciiTheme="minorBidi" w:hAnsiTheme="minorBidi"/>
        </w:rPr>
      </w:pPr>
      <w:r w:rsidRPr="006F47DB">
        <w:rPr>
          <w:rFonts w:asciiTheme="minorBidi" w:hAnsiTheme="minorBidi"/>
        </w:rPr>
        <w:t>Resource provisioning (including library resources)</w:t>
      </w:r>
    </w:p>
    <w:p w14:paraId="5E0365BB" w14:textId="77777777" w:rsidR="006F47DB" w:rsidRPr="006F47DB" w:rsidRDefault="006F47DB" w:rsidP="006F47DB">
      <w:pPr>
        <w:numPr>
          <w:ilvl w:val="0"/>
          <w:numId w:val="18"/>
        </w:numPr>
        <w:spacing w:line="276" w:lineRule="auto"/>
        <w:contextualSpacing/>
        <w:rPr>
          <w:rFonts w:asciiTheme="minorBidi" w:hAnsiTheme="minorBidi"/>
        </w:rPr>
      </w:pPr>
      <w:r w:rsidRPr="006F47DB">
        <w:rPr>
          <w:rFonts w:asciiTheme="minorBidi" w:hAnsiTheme="minorBidi"/>
        </w:rPr>
        <w:t>Administration (including admission, issuing of results, certification)</w:t>
      </w:r>
    </w:p>
    <w:p w14:paraId="43629C50" w14:textId="463A7CD2" w:rsidR="006F47DB" w:rsidRDefault="006F47DB" w:rsidP="006F47DB">
      <w:pPr>
        <w:numPr>
          <w:ilvl w:val="0"/>
          <w:numId w:val="18"/>
        </w:numPr>
        <w:contextualSpacing/>
        <w:rPr>
          <w:rFonts w:asciiTheme="minorBidi" w:hAnsiTheme="minorBidi"/>
        </w:rPr>
      </w:pPr>
      <w:r w:rsidRPr="006F47DB">
        <w:rPr>
          <w:rFonts w:asciiTheme="minorBidi" w:hAnsiTheme="minorBidi"/>
        </w:rPr>
        <w:t>Quality management of the emergency processes.</w:t>
      </w:r>
    </w:p>
    <w:p w14:paraId="4CD3579C" w14:textId="77777777" w:rsidR="006F47DB" w:rsidRPr="006F47DB" w:rsidRDefault="006F47DB" w:rsidP="006F47DB">
      <w:pPr>
        <w:ind w:left="1080"/>
        <w:contextualSpacing/>
        <w:rPr>
          <w:rFonts w:asciiTheme="minorBidi" w:hAnsiTheme="minorBidi"/>
        </w:rPr>
      </w:pP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F47DB" w:rsidRPr="006F47DB" w14:paraId="3F4EFEB2" w14:textId="77777777" w:rsidTr="008E1A53">
        <w:tc>
          <w:tcPr>
            <w:tcW w:w="9736" w:type="dxa"/>
          </w:tcPr>
          <w:p w14:paraId="391379B0" w14:textId="77777777" w:rsidR="006F47DB" w:rsidRPr="006F47DB" w:rsidRDefault="006F47DB" w:rsidP="006F47DB">
            <w:pPr>
              <w:spacing w:line="276" w:lineRule="auto"/>
              <w:rPr>
                <w:rFonts w:asciiTheme="minorBidi" w:hAnsiTheme="minorBidi"/>
              </w:rPr>
            </w:pPr>
          </w:p>
          <w:p w14:paraId="3B30197F" w14:textId="77777777" w:rsidR="006F47DB" w:rsidRPr="006F47DB" w:rsidRDefault="006F47DB" w:rsidP="006F47DB">
            <w:pPr>
              <w:spacing w:line="276" w:lineRule="auto"/>
              <w:rPr>
                <w:rFonts w:asciiTheme="minorBidi" w:hAnsiTheme="minorBidi"/>
              </w:rPr>
            </w:pPr>
          </w:p>
        </w:tc>
      </w:tr>
    </w:tbl>
    <w:p w14:paraId="6EC8095E" w14:textId="77777777" w:rsidR="000A3E01" w:rsidRPr="006F47DB" w:rsidRDefault="000A3E01" w:rsidP="006F47DB"/>
    <w:sectPr w:rsidR="000A3E01" w:rsidRPr="006F47DB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D2D5" w14:textId="77777777" w:rsidR="00D64809" w:rsidRDefault="00D64809" w:rsidP="00FD2996">
      <w:pPr>
        <w:spacing w:after="0" w:line="240" w:lineRule="auto"/>
      </w:pPr>
      <w:r>
        <w:separator/>
      </w:r>
    </w:p>
  </w:endnote>
  <w:endnote w:type="continuationSeparator" w:id="0">
    <w:p w14:paraId="7EAC6191" w14:textId="77777777" w:rsidR="00D64809" w:rsidRDefault="00D64809" w:rsidP="00FD2996">
      <w:pPr>
        <w:spacing w:after="0" w:line="240" w:lineRule="auto"/>
      </w:pPr>
      <w:r>
        <w:continuationSeparator/>
      </w:r>
    </w:p>
  </w:endnote>
  <w:endnote w:type="continuationNotice" w:id="1">
    <w:p w14:paraId="37A7D5B0" w14:textId="77777777" w:rsidR="00D64809" w:rsidRDefault="00D648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559B" w14:textId="77777777"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0" w:name="_Hlk50381648"/>
    <w:bookmarkStart w:id="1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31ECD932" wp14:editId="66553132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ADF6CB" w14:textId="77777777"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67E1C1A1" w14:textId="77777777"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D4D49CA" wp14:editId="4914C989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9B6BF5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0"/>
  <w:bookmarkEnd w:id="1"/>
  <w:p w14:paraId="5ACE2F4E" w14:textId="77777777"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DFD4" w14:textId="77777777"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66245756" wp14:editId="1B376A11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BC106" w14:textId="77777777"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57A8EA81" w14:textId="77777777"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ECD043" wp14:editId="12FE7C20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D7AFA0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50F4" w14:textId="77777777" w:rsidR="00D64809" w:rsidRDefault="00D64809" w:rsidP="00FD2996">
      <w:pPr>
        <w:spacing w:after="0" w:line="240" w:lineRule="auto"/>
      </w:pPr>
      <w:r>
        <w:separator/>
      </w:r>
    </w:p>
  </w:footnote>
  <w:footnote w:type="continuationSeparator" w:id="0">
    <w:p w14:paraId="5B3C3935" w14:textId="77777777" w:rsidR="00D64809" w:rsidRDefault="00D64809" w:rsidP="00FD2996">
      <w:pPr>
        <w:spacing w:after="0" w:line="240" w:lineRule="auto"/>
      </w:pPr>
      <w:r>
        <w:continuationSeparator/>
      </w:r>
    </w:p>
  </w:footnote>
  <w:footnote w:type="continuationNotice" w:id="1">
    <w:p w14:paraId="2B091D42" w14:textId="77777777" w:rsidR="00D64809" w:rsidRDefault="00D648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3ED7" w14:textId="77777777"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84700D" wp14:editId="1CCB700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7EC8CAD" w14:textId="77777777"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14:paraId="58DD9366" w14:textId="77777777"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470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14:paraId="47EC8CAD" w14:textId="77777777"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14:paraId="58DD9366" w14:textId="77777777"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43966795" wp14:editId="7C109631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5ED88D" wp14:editId="08A671B7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745C4F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746540CF" wp14:editId="6B744267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D9120" w14:textId="77777777"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03B"/>
    <w:multiLevelType w:val="hybridMultilevel"/>
    <w:tmpl w:val="554CBBB8"/>
    <w:lvl w:ilvl="0" w:tplc="F61EA924">
      <w:start w:val="1"/>
      <w:numFmt w:val="decimal"/>
      <w:lvlText w:val="%1."/>
      <w:lvlJc w:val="left"/>
      <w:pPr>
        <w:ind w:left="360" w:hanging="360"/>
      </w:pPr>
      <w:rPr>
        <w:rFonts w:asciiTheme="minorBidi" w:eastAsia="Times New Roman" w:hAnsiTheme="minorBid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72918"/>
    <w:multiLevelType w:val="hybridMultilevel"/>
    <w:tmpl w:val="78F497F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0B3DA2"/>
    <w:multiLevelType w:val="hybridMultilevel"/>
    <w:tmpl w:val="5B146312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B691A"/>
    <w:multiLevelType w:val="hybridMultilevel"/>
    <w:tmpl w:val="EBBAC956"/>
    <w:lvl w:ilvl="0" w:tplc="07FCC4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7E4A6C"/>
    <w:multiLevelType w:val="hybridMultilevel"/>
    <w:tmpl w:val="C4047FD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816C16"/>
    <w:multiLevelType w:val="hybridMultilevel"/>
    <w:tmpl w:val="89AE76E0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ED60956"/>
    <w:multiLevelType w:val="hybridMultilevel"/>
    <w:tmpl w:val="D3145774"/>
    <w:lvl w:ilvl="0" w:tplc="957C5D0A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973086"/>
    <w:multiLevelType w:val="hybridMultilevel"/>
    <w:tmpl w:val="A62E9AC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DC6D4D"/>
    <w:multiLevelType w:val="hybridMultilevel"/>
    <w:tmpl w:val="F814DC1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671346"/>
    <w:multiLevelType w:val="hybridMultilevel"/>
    <w:tmpl w:val="0176845E"/>
    <w:lvl w:ilvl="0" w:tplc="9F32D69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456BF"/>
    <w:multiLevelType w:val="hybridMultilevel"/>
    <w:tmpl w:val="4A68035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15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2"/>
  </w:num>
  <w:num w:numId="11">
    <w:abstractNumId w:val="8"/>
  </w:num>
  <w:num w:numId="12">
    <w:abstractNumId w:val="11"/>
  </w:num>
  <w:num w:numId="13">
    <w:abstractNumId w:val="4"/>
  </w:num>
  <w:num w:numId="14">
    <w:abstractNumId w:val="14"/>
  </w:num>
  <w:num w:numId="15">
    <w:abstractNumId w:val="10"/>
  </w:num>
  <w:num w:numId="16">
    <w:abstractNumId w:val="2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B3975"/>
    <w:rsid w:val="000D531E"/>
    <w:rsid w:val="000F4D6E"/>
    <w:rsid w:val="001064DA"/>
    <w:rsid w:val="001127BD"/>
    <w:rsid w:val="00113883"/>
    <w:rsid w:val="0015388A"/>
    <w:rsid w:val="00161FDA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50B5B"/>
    <w:rsid w:val="00265C0F"/>
    <w:rsid w:val="0027733A"/>
    <w:rsid w:val="00280891"/>
    <w:rsid w:val="002E373B"/>
    <w:rsid w:val="002F0F2E"/>
    <w:rsid w:val="002F2DCE"/>
    <w:rsid w:val="00333C77"/>
    <w:rsid w:val="00355BF9"/>
    <w:rsid w:val="00376B6D"/>
    <w:rsid w:val="00400EAF"/>
    <w:rsid w:val="00430FE1"/>
    <w:rsid w:val="00481A8C"/>
    <w:rsid w:val="00486E82"/>
    <w:rsid w:val="004907A3"/>
    <w:rsid w:val="00492C00"/>
    <w:rsid w:val="004C3D9E"/>
    <w:rsid w:val="004D507A"/>
    <w:rsid w:val="004E40BC"/>
    <w:rsid w:val="004F796A"/>
    <w:rsid w:val="00507137"/>
    <w:rsid w:val="00514A95"/>
    <w:rsid w:val="00537A70"/>
    <w:rsid w:val="00582B83"/>
    <w:rsid w:val="00584EBB"/>
    <w:rsid w:val="00592B0D"/>
    <w:rsid w:val="00592DB3"/>
    <w:rsid w:val="005C401A"/>
    <w:rsid w:val="005D5DB8"/>
    <w:rsid w:val="005E7B73"/>
    <w:rsid w:val="00605C87"/>
    <w:rsid w:val="0061459B"/>
    <w:rsid w:val="00650C72"/>
    <w:rsid w:val="00651795"/>
    <w:rsid w:val="0065497F"/>
    <w:rsid w:val="00657209"/>
    <w:rsid w:val="006625CE"/>
    <w:rsid w:val="006A1A89"/>
    <w:rsid w:val="006B0EC1"/>
    <w:rsid w:val="006C0005"/>
    <w:rsid w:val="006F47DB"/>
    <w:rsid w:val="0070641F"/>
    <w:rsid w:val="00726DDA"/>
    <w:rsid w:val="00772E0B"/>
    <w:rsid w:val="007B2948"/>
    <w:rsid w:val="007B3D97"/>
    <w:rsid w:val="007C4D4F"/>
    <w:rsid w:val="007E51F3"/>
    <w:rsid w:val="00802187"/>
    <w:rsid w:val="0081439E"/>
    <w:rsid w:val="008316A2"/>
    <w:rsid w:val="0083222D"/>
    <w:rsid w:val="00834316"/>
    <w:rsid w:val="00847CE7"/>
    <w:rsid w:val="008635EF"/>
    <w:rsid w:val="00867340"/>
    <w:rsid w:val="0087351B"/>
    <w:rsid w:val="00881192"/>
    <w:rsid w:val="008B51F6"/>
    <w:rsid w:val="00914C32"/>
    <w:rsid w:val="00970379"/>
    <w:rsid w:val="00973BC3"/>
    <w:rsid w:val="00986BDF"/>
    <w:rsid w:val="0099739A"/>
    <w:rsid w:val="00A52ADE"/>
    <w:rsid w:val="00A54A1B"/>
    <w:rsid w:val="00A729DF"/>
    <w:rsid w:val="00AB2279"/>
    <w:rsid w:val="00AE7291"/>
    <w:rsid w:val="00B05623"/>
    <w:rsid w:val="00B51ED1"/>
    <w:rsid w:val="00BA6C7C"/>
    <w:rsid w:val="00BC03E8"/>
    <w:rsid w:val="00BE672F"/>
    <w:rsid w:val="00C22473"/>
    <w:rsid w:val="00C27C9D"/>
    <w:rsid w:val="00C328FB"/>
    <w:rsid w:val="00C70B9A"/>
    <w:rsid w:val="00CA5020"/>
    <w:rsid w:val="00CB5C8A"/>
    <w:rsid w:val="00CD7A10"/>
    <w:rsid w:val="00D0378B"/>
    <w:rsid w:val="00D139A2"/>
    <w:rsid w:val="00D16221"/>
    <w:rsid w:val="00D3669C"/>
    <w:rsid w:val="00D44B33"/>
    <w:rsid w:val="00D56F51"/>
    <w:rsid w:val="00D64809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11DE"/>
    <w:rsid w:val="00E87852"/>
    <w:rsid w:val="00ED69D5"/>
    <w:rsid w:val="00F0689E"/>
    <w:rsid w:val="00F21241"/>
    <w:rsid w:val="00F26508"/>
    <w:rsid w:val="00F47FC3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8F511C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8C"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  <w:style w:type="table" w:customStyle="1" w:styleId="TableGrid1">
    <w:name w:val="Table Grid1"/>
    <w:basedOn w:val="TableNormal"/>
    <w:next w:val="TableGrid"/>
    <w:uiPriority w:val="59"/>
    <w:rsid w:val="0080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14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CD7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6F4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Zahida Myburgh</cp:lastModifiedBy>
  <cp:revision>2</cp:revision>
  <dcterms:created xsi:type="dcterms:W3CDTF">2021-08-27T10:48:00Z</dcterms:created>
  <dcterms:modified xsi:type="dcterms:W3CDTF">2021-08-27T10:48:00Z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