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1C" w:rsidRDefault="00855EF0" w:rsidP="00855EF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ANNEXURE A</w:t>
      </w:r>
    </w:p>
    <w:p w:rsidR="00855EF0" w:rsidRDefault="00855EF0" w:rsidP="00855EF0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51C63" w:rsidRDefault="00C15AF4" w:rsidP="00855EF0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C15AF4">
        <w:rPr>
          <w:rFonts w:ascii="Arial" w:hAnsi="Arial" w:cs="Arial"/>
          <w:b/>
          <w:sz w:val="28"/>
          <w:szCs w:val="28"/>
        </w:rPr>
        <w:t xml:space="preserve">CHE CHECKLIST FOR THE RECOMMENDATION OF QUALIFICATIONS TO SAQA </w:t>
      </w:r>
      <w:r>
        <w:rPr>
          <w:rFonts w:ascii="Arial" w:hAnsi="Arial" w:cs="Arial"/>
          <w:b/>
          <w:sz w:val="28"/>
          <w:szCs w:val="28"/>
        </w:rPr>
        <w:t>FOR REGISTRATION ON THE NQF</w:t>
      </w:r>
    </w:p>
    <w:p w:rsidR="00855EF0" w:rsidRDefault="00855EF0" w:rsidP="00855EF0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4065FC" w:rsidRDefault="00450812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232F">
        <w:rPr>
          <w:rFonts w:ascii="Arial" w:hAnsi="Arial" w:cs="Arial"/>
          <w:sz w:val="28"/>
          <w:szCs w:val="28"/>
        </w:rPr>
        <w:t xml:space="preserve">In terms of </w:t>
      </w:r>
      <w:r w:rsidR="00712C22" w:rsidRPr="00FD232F">
        <w:rPr>
          <w:rFonts w:ascii="Arial" w:hAnsi="Arial" w:cs="Arial"/>
          <w:sz w:val="28"/>
          <w:szCs w:val="28"/>
        </w:rPr>
        <w:t xml:space="preserve">Chapter 4, </w:t>
      </w:r>
      <w:r w:rsidRPr="00FD232F">
        <w:rPr>
          <w:rFonts w:ascii="Arial" w:hAnsi="Arial" w:cs="Arial"/>
          <w:sz w:val="28"/>
          <w:szCs w:val="28"/>
        </w:rPr>
        <w:t>Section</w:t>
      </w:r>
      <w:r w:rsidR="00712C22" w:rsidRPr="00FD232F">
        <w:rPr>
          <w:rFonts w:ascii="Arial" w:hAnsi="Arial" w:cs="Arial"/>
          <w:sz w:val="28"/>
          <w:szCs w:val="28"/>
        </w:rPr>
        <w:t xml:space="preserve"> 13 of the </w:t>
      </w:r>
      <w:r w:rsidR="00712C22" w:rsidRPr="00855EF0">
        <w:rPr>
          <w:rFonts w:ascii="Arial" w:hAnsi="Arial" w:cs="Arial"/>
          <w:i/>
          <w:sz w:val="28"/>
          <w:szCs w:val="28"/>
        </w:rPr>
        <w:t>N</w:t>
      </w:r>
      <w:r w:rsidR="00855EF0" w:rsidRPr="00855EF0">
        <w:rPr>
          <w:rFonts w:ascii="Arial" w:hAnsi="Arial" w:cs="Arial"/>
          <w:i/>
          <w:sz w:val="28"/>
          <w:szCs w:val="28"/>
        </w:rPr>
        <w:t xml:space="preserve">ational </w:t>
      </w:r>
      <w:r w:rsidR="00712C22" w:rsidRPr="00855EF0">
        <w:rPr>
          <w:rFonts w:ascii="Arial" w:hAnsi="Arial" w:cs="Arial"/>
          <w:i/>
          <w:sz w:val="28"/>
          <w:szCs w:val="28"/>
        </w:rPr>
        <w:t>Q</w:t>
      </w:r>
      <w:r w:rsidR="00855EF0" w:rsidRPr="00855EF0">
        <w:rPr>
          <w:rFonts w:ascii="Arial" w:hAnsi="Arial" w:cs="Arial"/>
          <w:i/>
          <w:sz w:val="28"/>
          <w:szCs w:val="28"/>
        </w:rPr>
        <w:t xml:space="preserve">ualifications </w:t>
      </w:r>
      <w:r w:rsidR="00712C22" w:rsidRPr="00855EF0">
        <w:rPr>
          <w:rFonts w:ascii="Arial" w:hAnsi="Arial" w:cs="Arial"/>
          <w:i/>
          <w:sz w:val="28"/>
          <w:szCs w:val="28"/>
        </w:rPr>
        <w:t>F</w:t>
      </w:r>
      <w:r w:rsidR="00855EF0" w:rsidRPr="00855EF0">
        <w:rPr>
          <w:rFonts w:ascii="Arial" w:hAnsi="Arial" w:cs="Arial"/>
          <w:i/>
          <w:sz w:val="28"/>
          <w:szCs w:val="28"/>
        </w:rPr>
        <w:t xml:space="preserve">ramework </w:t>
      </w:r>
      <w:r w:rsidR="004065FC" w:rsidRPr="00855EF0">
        <w:rPr>
          <w:rFonts w:ascii="Arial" w:hAnsi="Arial" w:cs="Arial"/>
          <w:i/>
          <w:sz w:val="28"/>
          <w:szCs w:val="28"/>
        </w:rPr>
        <w:t>Act</w:t>
      </w:r>
      <w:r w:rsidR="00855EF0" w:rsidRPr="00855EF0">
        <w:rPr>
          <w:rFonts w:ascii="Arial" w:hAnsi="Arial" w:cs="Arial"/>
          <w:i/>
          <w:sz w:val="28"/>
          <w:szCs w:val="28"/>
        </w:rPr>
        <w:t>, 2008</w:t>
      </w:r>
      <w:r w:rsidR="00855EF0">
        <w:rPr>
          <w:rFonts w:ascii="Arial" w:hAnsi="Arial" w:cs="Arial"/>
          <w:sz w:val="28"/>
          <w:szCs w:val="28"/>
        </w:rPr>
        <w:t xml:space="preserve"> (Act No. </w:t>
      </w:r>
      <w:r w:rsidR="004065FC" w:rsidRPr="00FD232F">
        <w:rPr>
          <w:rFonts w:ascii="Arial" w:hAnsi="Arial" w:cs="Arial"/>
          <w:sz w:val="28"/>
          <w:szCs w:val="28"/>
        </w:rPr>
        <w:t xml:space="preserve">67 </w:t>
      </w:r>
      <w:r w:rsidR="00FD232F" w:rsidRPr="00FD232F">
        <w:rPr>
          <w:rFonts w:ascii="Arial" w:hAnsi="Arial" w:cs="Arial"/>
          <w:sz w:val="28"/>
          <w:szCs w:val="28"/>
        </w:rPr>
        <w:t xml:space="preserve">of </w:t>
      </w:r>
      <w:r w:rsidR="00FD232F">
        <w:rPr>
          <w:rFonts w:ascii="Arial" w:hAnsi="Arial" w:cs="Arial"/>
          <w:sz w:val="28"/>
          <w:szCs w:val="28"/>
        </w:rPr>
        <w:t>2008</w:t>
      </w:r>
      <w:r w:rsidR="00855EF0">
        <w:rPr>
          <w:rFonts w:ascii="Arial" w:hAnsi="Arial" w:cs="Arial"/>
          <w:sz w:val="28"/>
          <w:szCs w:val="28"/>
        </w:rPr>
        <w:t>)</w:t>
      </w:r>
      <w:r w:rsidR="00712C22" w:rsidRPr="00FD232F">
        <w:rPr>
          <w:rFonts w:ascii="Arial" w:hAnsi="Arial" w:cs="Arial"/>
          <w:sz w:val="28"/>
          <w:szCs w:val="28"/>
        </w:rPr>
        <w:t xml:space="preserve"> </w:t>
      </w:r>
      <w:r w:rsidR="00D1501F">
        <w:rPr>
          <w:rFonts w:ascii="Arial" w:hAnsi="Arial" w:cs="Arial"/>
          <w:sz w:val="28"/>
          <w:szCs w:val="28"/>
        </w:rPr>
        <w:t>t</w:t>
      </w:r>
      <w:r w:rsidR="004065FC" w:rsidRPr="00FD232F">
        <w:rPr>
          <w:rFonts w:ascii="Arial" w:hAnsi="Arial" w:cs="Arial"/>
          <w:sz w:val="28"/>
          <w:szCs w:val="28"/>
        </w:rPr>
        <w:t xml:space="preserve">he South African Qualifications Authority </w:t>
      </w:r>
      <w:r w:rsidR="00855EF0">
        <w:rPr>
          <w:rFonts w:ascii="Arial" w:hAnsi="Arial" w:cs="Arial"/>
          <w:sz w:val="28"/>
          <w:szCs w:val="28"/>
        </w:rPr>
        <w:t xml:space="preserve">(SAQA) </w:t>
      </w:r>
      <w:r w:rsidR="004065FC" w:rsidRPr="00FD232F">
        <w:rPr>
          <w:rFonts w:ascii="Arial" w:hAnsi="Arial" w:cs="Arial"/>
          <w:sz w:val="28"/>
          <w:szCs w:val="28"/>
        </w:rPr>
        <w:t>must, in order to advance the objectives of the N</w:t>
      </w:r>
      <w:r w:rsidR="00855EF0">
        <w:rPr>
          <w:rFonts w:ascii="Arial" w:hAnsi="Arial" w:cs="Arial"/>
          <w:sz w:val="28"/>
          <w:szCs w:val="28"/>
        </w:rPr>
        <w:t xml:space="preserve">ational </w:t>
      </w:r>
      <w:r w:rsidR="004065FC" w:rsidRPr="00FD232F">
        <w:rPr>
          <w:rFonts w:ascii="Arial" w:hAnsi="Arial" w:cs="Arial"/>
          <w:sz w:val="28"/>
          <w:szCs w:val="28"/>
        </w:rPr>
        <w:t>Q</w:t>
      </w:r>
      <w:r w:rsidR="00855EF0">
        <w:rPr>
          <w:rFonts w:ascii="Arial" w:hAnsi="Arial" w:cs="Arial"/>
          <w:sz w:val="28"/>
          <w:szCs w:val="28"/>
        </w:rPr>
        <w:t xml:space="preserve">ualifications </w:t>
      </w:r>
      <w:r w:rsidR="004065FC" w:rsidRPr="00FD232F">
        <w:rPr>
          <w:rFonts w:ascii="Arial" w:hAnsi="Arial" w:cs="Arial"/>
          <w:sz w:val="28"/>
          <w:szCs w:val="28"/>
        </w:rPr>
        <w:t>F</w:t>
      </w:r>
      <w:r w:rsidR="00855EF0">
        <w:rPr>
          <w:rFonts w:ascii="Arial" w:hAnsi="Arial" w:cs="Arial"/>
          <w:sz w:val="28"/>
          <w:szCs w:val="28"/>
        </w:rPr>
        <w:t>ramework</w:t>
      </w:r>
      <w:r w:rsidR="004065FC" w:rsidRPr="00FD232F">
        <w:rPr>
          <w:rFonts w:ascii="Arial" w:hAnsi="Arial" w:cs="Arial"/>
          <w:sz w:val="28"/>
          <w:szCs w:val="28"/>
        </w:rPr>
        <w:t>-</w:t>
      </w:r>
    </w:p>
    <w:p w:rsidR="00855EF0" w:rsidRPr="00FD232F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065FC" w:rsidRDefault="004065FC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232F">
        <w:rPr>
          <w:rFonts w:ascii="Arial" w:hAnsi="Arial" w:cs="Arial"/>
          <w:sz w:val="28"/>
          <w:szCs w:val="28"/>
        </w:rPr>
        <w:t xml:space="preserve">(h) </w:t>
      </w:r>
      <w:r w:rsidR="001F579E" w:rsidRPr="00FD232F">
        <w:rPr>
          <w:rFonts w:ascii="Arial" w:hAnsi="Arial" w:cs="Arial"/>
          <w:sz w:val="28"/>
          <w:szCs w:val="28"/>
        </w:rPr>
        <w:t>With</w:t>
      </w:r>
      <w:r w:rsidRPr="00FD232F">
        <w:rPr>
          <w:rFonts w:ascii="Arial" w:hAnsi="Arial" w:cs="Arial"/>
          <w:sz w:val="28"/>
          <w:szCs w:val="28"/>
        </w:rPr>
        <w:t xml:space="preserve"> respect to qualifications-</w:t>
      </w:r>
    </w:p>
    <w:p w:rsidR="00855EF0" w:rsidRPr="00FD232F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065FC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>(</w:t>
      </w:r>
      <w:proofErr w:type="spellStart"/>
      <w:r w:rsidR="004065FC" w:rsidRPr="00FD232F">
        <w:rPr>
          <w:rFonts w:ascii="Arial" w:hAnsi="Arial" w:cs="Arial"/>
          <w:sz w:val="28"/>
          <w:szCs w:val="28"/>
        </w:rPr>
        <w:t>i</w:t>
      </w:r>
      <w:proofErr w:type="spellEnd"/>
      <w:r w:rsidR="004065FC" w:rsidRPr="00FD232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ab/>
      </w:r>
      <w:r w:rsidR="001F579E" w:rsidRPr="00FD232F">
        <w:rPr>
          <w:rFonts w:ascii="Arial" w:hAnsi="Arial" w:cs="Arial"/>
          <w:sz w:val="28"/>
          <w:szCs w:val="28"/>
        </w:rPr>
        <w:t>Develop</w:t>
      </w:r>
      <w:r w:rsidR="004065FC" w:rsidRPr="00FD232F">
        <w:rPr>
          <w:rFonts w:ascii="Arial" w:hAnsi="Arial" w:cs="Arial"/>
          <w:sz w:val="28"/>
          <w:szCs w:val="28"/>
        </w:rPr>
        <w:t xml:space="preserve"> and implement policy and criteria, after consultation with the Q</w:t>
      </w:r>
      <w:r>
        <w:rPr>
          <w:rFonts w:ascii="Arial" w:hAnsi="Arial" w:cs="Arial"/>
          <w:sz w:val="28"/>
          <w:szCs w:val="28"/>
        </w:rPr>
        <w:t>uality Councils</w:t>
      </w:r>
      <w:r w:rsidR="004065FC" w:rsidRPr="00FD232F">
        <w:rPr>
          <w:rFonts w:ascii="Arial" w:hAnsi="Arial" w:cs="Arial"/>
          <w:sz w:val="28"/>
          <w:szCs w:val="28"/>
        </w:rPr>
        <w:t xml:space="preserve">, for the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 xml:space="preserve">development, </w:t>
      </w:r>
      <w:r w:rsidR="001F579E" w:rsidRPr="00FD232F">
        <w:rPr>
          <w:rFonts w:ascii="Arial" w:hAnsi="Arial" w:cs="Arial"/>
          <w:sz w:val="28"/>
          <w:szCs w:val="28"/>
        </w:rPr>
        <w:t>registration, and</w:t>
      </w:r>
      <w:r w:rsidR="004065FC" w:rsidRPr="00FD232F">
        <w:rPr>
          <w:rFonts w:ascii="Arial" w:hAnsi="Arial" w:cs="Arial"/>
          <w:sz w:val="28"/>
          <w:szCs w:val="28"/>
        </w:rPr>
        <w:t xml:space="preserve"> publication of qualifications and part qualifications which must include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>the following requirements:</w:t>
      </w:r>
    </w:p>
    <w:p w:rsidR="00855EF0" w:rsidRPr="00FD232F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065FC" w:rsidRPr="00FD232F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="004065FC" w:rsidRPr="00FD232F">
        <w:rPr>
          <w:rFonts w:ascii="Arial" w:hAnsi="Arial" w:cs="Arial"/>
          <w:sz w:val="28"/>
          <w:szCs w:val="28"/>
        </w:rPr>
        <w:t>aa</w:t>
      </w:r>
      <w:proofErr w:type="spellEnd"/>
      <w:proofErr w:type="gramEnd"/>
      <w:r w:rsidR="004065FC" w:rsidRPr="00FD232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 xml:space="preserve">The relevant </w:t>
      </w:r>
      <w:r w:rsidR="001F579E" w:rsidRPr="00FD232F">
        <w:rPr>
          <w:rFonts w:ascii="Arial" w:hAnsi="Arial" w:cs="Arial"/>
          <w:sz w:val="28"/>
          <w:szCs w:val="28"/>
        </w:rPr>
        <w:t>sub- framework</w:t>
      </w:r>
      <w:r w:rsidR="004065FC" w:rsidRPr="00FD232F">
        <w:rPr>
          <w:rFonts w:ascii="Arial" w:hAnsi="Arial" w:cs="Arial"/>
          <w:sz w:val="28"/>
          <w:szCs w:val="28"/>
        </w:rPr>
        <w:t xml:space="preserve"> must be identified on any document relating to the registration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>and publication of a qualification or part qualification; and</w:t>
      </w:r>
    </w:p>
    <w:p w:rsidR="00855EF0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065FC" w:rsidRPr="00FD232F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>bb</w:t>
      </w:r>
      <w:r w:rsidR="001F579E" w:rsidRPr="00FD232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ab/>
      </w:r>
      <w:r w:rsidR="001F579E" w:rsidRPr="00FD232F">
        <w:rPr>
          <w:rFonts w:ascii="Arial" w:hAnsi="Arial" w:cs="Arial"/>
          <w:sz w:val="28"/>
          <w:szCs w:val="28"/>
        </w:rPr>
        <w:t>E</w:t>
      </w:r>
      <w:r w:rsidR="004065FC" w:rsidRPr="00FD232F">
        <w:rPr>
          <w:rFonts w:ascii="Arial" w:hAnsi="Arial" w:cs="Arial"/>
          <w:sz w:val="28"/>
          <w:szCs w:val="28"/>
        </w:rPr>
        <w:t>ach sub-framework must have a distinct nomenclature for its qualification type</w:t>
      </w:r>
      <w:r w:rsidR="001F579E" w:rsidRPr="00FD232F">
        <w:rPr>
          <w:rFonts w:ascii="Arial" w:hAnsi="Arial" w:cs="Arial"/>
          <w:sz w:val="28"/>
          <w:szCs w:val="28"/>
        </w:rPr>
        <w:t>s</w:t>
      </w:r>
      <w:r w:rsidR="004065FC" w:rsidRPr="00FD232F">
        <w:rPr>
          <w:rFonts w:ascii="Arial" w:hAnsi="Arial" w:cs="Arial"/>
          <w:sz w:val="28"/>
          <w:szCs w:val="28"/>
        </w:rPr>
        <w:t xml:space="preserve"> which is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>appropriate to the relevant sub-framework and consistent with international practice.</w:t>
      </w:r>
    </w:p>
    <w:p w:rsidR="00855EF0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F579E" w:rsidRPr="00FD232F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 xml:space="preserve">(ii) </w:t>
      </w: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>Register</w:t>
      </w:r>
      <w:r w:rsidR="00D1501F">
        <w:rPr>
          <w:rFonts w:ascii="Arial" w:hAnsi="Arial" w:cs="Arial"/>
          <w:sz w:val="28"/>
          <w:szCs w:val="28"/>
        </w:rPr>
        <w:t xml:space="preserve"> a</w:t>
      </w:r>
      <w:r w:rsidR="004065FC" w:rsidRPr="00FD232F">
        <w:rPr>
          <w:rFonts w:ascii="Arial" w:hAnsi="Arial" w:cs="Arial"/>
          <w:sz w:val="28"/>
          <w:szCs w:val="28"/>
        </w:rPr>
        <w:t xml:space="preserve"> </w:t>
      </w:r>
      <w:r w:rsidR="00D1501F" w:rsidRPr="00D1501F">
        <w:rPr>
          <w:rFonts w:ascii="Arial" w:hAnsi="Arial" w:cs="Arial"/>
          <w:sz w:val="28"/>
          <w:szCs w:val="28"/>
        </w:rPr>
        <w:t>qualification or part qualification</w:t>
      </w:r>
      <w:r w:rsidR="00D1501F">
        <w:rPr>
          <w:rFonts w:ascii="Arial" w:hAnsi="Arial" w:cs="Arial"/>
          <w:sz w:val="28"/>
          <w:szCs w:val="28"/>
        </w:rPr>
        <w:t xml:space="preserve"> </w:t>
      </w:r>
      <w:r w:rsidR="001F579E" w:rsidRPr="00FD232F">
        <w:rPr>
          <w:rFonts w:ascii="Arial" w:hAnsi="Arial" w:cs="Arial"/>
          <w:sz w:val="28"/>
          <w:szCs w:val="28"/>
        </w:rPr>
        <w:t>recommended</w:t>
      </w:r>
      <w:r w:rsidR="004065FC" w:rsidRPr="00FD232F">
        <w:rPr>
          <w:rFonts w:ascii="Arial" w:hAnsi="Arial" w:cs="Arial"/>
          <w:sz w:val="28"/>
          <w:szCs w:val="28"/>
        </w:rPr>
        <w:t xml:space="preserve"> by a Q</w:t>
      </w:r>
      <w:r>
        <w:rPr>
          <w:rFonts w:ascii="Arial" w:hAnsi="Arial" w:cs="Arial"/>
          <w:sz w:val="28"/>
          <w:szCs w:val="28"/>
        </w:rPr>
        <w:t xml:space="preserve">uality </w:t>
      </w:r>
      <w:r w:rsidR="004065FC" w:rsidRPr="00FD232F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ouncil</w:t>
      </w:r>
      <w:r w:rsidR="004065FC" w:rsidRPr="00FD232F">
        <w:rPr>
          <w:rFonts w:ascii="Arial" w:hAnsi="Arial" w:cs="Arial"/>
          <w:sz w:val="28"/>
          <w:szCs w:val="28"/>
        </w:rPr>
        <w:t xml:space="preserve"> if it meets the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065FC" w:rsidRPr="00FD232F">
        <w:rPr>
          <w:rFonts w:ascii="Arial" w:hAnsi="Arial" w:cs="Arial"/>
          <w:sz w:val="28"/>
          <w:szCs w:val="28"/>
        </w:rPr>
        <w:t xml:space="preserve">relevant </w:t>
      </w:r>
      <w:r w:rsidR="001F579E" w:rsidRPr="00FD232F">
        <w:rPr>
          <w:rFonts w:ascii="Arial" w:hAnsi="Arial" w:cs="Arial"/>
          <w:sz w:val="28"/>
          <w:szCs w:val="28"/>
        </w:rPr>
        <w:t xml:space="preserve">criteria. </w:t>
      </w:r>
      <w:r w:rsidR="004065FC" w:rsidRPr="00FD232F">
        <w:rPr>
          <w:rFonts w:ascii="Arial" w:hAnsi="Arial" w:cs="Arial"/>
          <w:sz w:val="28"/>
          <w:szCs w:val="28"/>
        </w:rPr>
        <w:t xml:space="preserve">  </w:t>
      </w:r>
      <w:r w:rsidR="00450812" w:rsidRPr="00FD232F">
        <w:rPr>
          <w:rFonts w:ascii="Arial" w:hAnsi="Arial" w:cs="Arial"/>
          <w:sz w:val="28"/>
          <w:szCs w:val="28"/>
        </w:rPr>
        <w:t xml:space="preserve"> </w:t>
      </w:r>
      <w:r w:rsidR="001F579E" w:rsidRPr="00FD232F">
        <w:rPr>
          <w:rFonts w:ascii="Arial" w:hAnsi="Arial" w:cs="Arial"/>
          <w:sz w:val="28"/>
          <w:szCs w:val="28"/>
        </w:rPr>
        <w:t xml:space="preserve">  </w:t>
      </w:r>
    </w:p>
    <w:p w:rsidR="00855EF0" w:rsidRDefault="00855EF0" w:rsidP="00855EF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450812" w:rsidRDefault="001F579E" w:rsidP="00855EF0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D232F">
        <w:rPr>
          <w:rFonts w:ascii="Arial" w:hAnsi="Arial" w:cs="Arial"/>
          <w:sz w:val="28"/>
          <w:szCs w:val="28"/>
        </w:rPr>
        <w:t>As promulgated in Section 13 (</w:t>
      </w:r>
      <w:proofErr w:type="spellStart"/>
      <w:r w:rsidRPr="00FD232F">
        <w:rPr>
          <w:rFonts w:ascii="Arial" w:hAnsi="Arial" w:cs="Arial"/>
          <w:sz w:val="28"/>
          <w:szCs w:val="28"/>
        </w:rPr>
        <w:t>i</w:t>
      </w:r>
      <w:proofErr w:type="spellEnd"/>
      <w:r w:rsidRPr="00FD232F">
        <w:rPr>
          <w:rFonts w:ascii="Arial" w:hAnsi="Arial" w:cs="Arial"/>
          <w:sz w:val="28"/>
          <w:szCs w:val="28"/>
        </w:rPr>
        <w:t xml:space="preserve">) of the </w:t>
      </w:r>
      <w:r w:rsidRPr="00855EF0">
        <w:rPr>
          <w:rFonts w:ascii="Arial" w:hAnsi="Arial" w:cs="Arial"/>
          <w:i/>
          <w:sz w:val="28"/>
          <w:szCs w:val="28"/>
        </w:rPr>
        <w:t>NQF Act</w:t>
      </w:r>
      <w:r w:rsidRPr="00FD232F">
        <w:rPr>
          <w:rFonts w:ascii="Arial" w:hAnsi="Arial" w:cs="Arial"/>
          <w:sz w:val="28"/>
          <w:szCs w:val="28"/>
        </w:rPr>
        <w:t xml:space="preserve">, SAQA developed a </w:t>
      </w:r>
      <w:r w:rsidRPr="00855EF0">
        <w:rPr>
          <w:rFonts w:ascii="Arial" w:hAnsi="Arial" w:cs="Arial"/>
          <w:i/>
          <w:sz w:val="28"/>
          <w:szCs w:val="28"/>
        </w:rPr>
        <w:t xml:space="preserve">Policy and Criteria for </w:t>
      </w:r>
      <w:r w:rsidR="00D1501F" w:rsidRPr="00855EF0">
        <w:rPr>
          <w:rFonts w:ascii="Arial" w:hAnsi="Arial" w:cs="Arial"/>
          <w:i/>
          <w:sz w:val="28"/>
          <w:szCs w:val="28"/>
        </w:rPr>
        <w:t>Registering Qualifications</w:t>
      </w:r>
      <w:r w:rsidRPr="00855EF0">
        <w:rPr>
          <w:rFonts w:ascii="Arial" w:hAnsi="Arial" w:cs="Arial"/>
          <w:i/>
          <w:sz w:val="28"/>
          <w:szCs w:val="28"/>
        </w:rPr>
        <w:t xml:space="preserve"> and Part-Qualifications on the National Qualifications Framework</w:t>
      </w:r>
      <w:r w:rsidRPr="00FD232F">
        <w:rPr>
          <w:rFonts w:ascii="Arial" w:hAnsi="Arial" w:cs="Arial"/>
          <w:sz w:val="28"/>
          <w:szCs w:val="28"/>
        </w:rPr>
        <w:t xml:space="preserve">. </w:t>
      </w:r>
      <w:r w:rsidR="00855EF0">
        <w:rPr>
          <w:rFonts w:ascii="Arial" w:hAnsi="Arial" w:cs="Arial"/>
          <w:sz w:val="28"/>
          <w:szCs w:val="28"/>
        </w:rPr>
        <w:t xml:space="preserve"> </w:t>
      </w:r>
      <w:r w:rsidRPr="00FD232F">
        <w:rPr>
          <w:rFonts w:ascii="Arial" w:hAnsi="Arial" w:cs="Arial"/>
          <w:sz w:val="28"/>
          <w:szCs w:val="28"/>
        </w:rPr>
        <w:t>Section</w:t>
      </w:r>
      <w:r w:rsidR="00855EF0">
        <w:rPr>
          <w:rFonts w:ascii="Arial" w:hAnsi="Arial" w:cs="Arial"/>
          <w:sz w:val="28"/>
          <w:szCs w:val="28"/>
        </w:rPr>
        <w:t>s</w:t>
      </w:r>
      <w:r w:rsidRPr="00FD232F">
        <w:rPr>
          <w:rFonts w:ascii="Arial" w:hAnsi="Arial" w:cs="Arial"/>
          <w:sz w:val="28"/>
          <w:szCs w:val="28"/>
        </w:rPr>
        <w:t xml:space="preserve"> 37 and 38</w:t>
      </w:r>
      <w:r w:rsidRPr="001F579E">
        <w:rPr>
          <w:rFonts w:ascii="Arial" w:hAnsi="Arial" w:cs="Arial"/>
          <w:sz w:val="28"/>
          <w:szCs w:val="28"/>
        </w:rPr>
        <w:t xml:space="preserve"> of</w:t>
      </w:r>
      <w:r w:rsidR="00855EF0">
        <w:rPr>
          <w:rFonts w:ascii="Arial" w:hAnsi="Arial" w:cs="Arial"/>
          <w:sz w:val="28"/>
          <w:szCs w:val="28"/>
        </w:rPr>
        <w:t xml:space="preserve"> this Policy </w:t>
      </w:r>
      <w:r w:rsidR="00D1501F" w:rsidRPr="00D1501F">
        <w:rPr>
          <w:rFonts w:ascii="Arial" w:hAnsi="Arial" w:cs="Arial"/>
          <w:sz w:val="28"/>
          <w:szCs w:val="28"/>
        </w:rPr>
        <w:t>set</w:t>
      </w:r>
      <w:r w:rsidR="00D1501F">
        <w:rPr>
          <w:rFonts w:ascii="Arial" w:hAnsi="Arial" w:cs="Arial"/>
          <w:sz w:val="28"/>
          <w:szCs w:val="28"/>
        </w:rPr>
        <w:t>s</w:t>
      </w:r>
      <w:r w:rsidR="00D1501F" w:rsidRPr="00D1501F">
        <w:rPr>
          <w:rFonts w:ascii="Arial" w:hAnsi="Arial" w:cs="Arial"/>
          <w:sz w:val="28"/>
          <w:szCs w:val="28"/>
        </w:rPr>
        <w:t xml:space="preserve"> </w:t>
      </w:r>
      <w:r w:rsidRPr="00FD232F">
        <w:rPr>
          <w:rFonts w:ascii="Arial" w:hAnsi="Arial" w:cs="Arial"/>
          <w:sz w:val="28"/>
          <w:szCs w:val="28"/>
        </w:rPr>
        <w:t xml:space="preserve">out the criteria that must be fulfilled by </w:t>
      </w:r>
      <w:r w:rsidR="00D1501F">
        <w:rPr>
          <w:rFonts w:ascii="Arial" w:hAnsi="Arial" w:cs="Arial"/>
          <w:sz w:val="28"/>
          <w:szCs w:val="28"/>
        </w:rPr>
        <w:t>t</w:t>
      </w:r>
      <w:r w:rsidRPr="00FD232F">
        <w:rPr>
          <w:rFonts w:ascii="Arial" w:hAnsi="Arial" w:cs="Arial"/>
          <w:sz w:val="28"/>
          <w:szCs w:val="28"/>
        </w:rPr>
        <w:t>he Q</w:t>
      </w:r>
      <w:r w:rsidR="00855EF0">
        <w:rPr>
          <w:rFonts w:ascii="Arial" w:hAnsi="Arial" w:cs="Arial"/>
          <w:sz w:val="28"/>
          <w:szCs w:val="28"/>
        </w:rPr>
        <w:t xml:space="preserve">uality </w:t>
      </w:r>
      <w:r w:rsidRPr="00FD232F">
        <w:rPr>
          <w:rFonts w:ascii="Arial" w:hAnsi="Arial" w:cs="Arial"/>
          <w:sz w:val="28"/>
          <w:szCs w:val="28"/>
        </w:rPr>
        <w:t>C</w:t>
      </w:r>
      <w:r w:rsidR="00855EF0">
        <w:rPr>
          <w:rFonts w:ascii="Arial" w:hAnsi="Arial" w:cs="Arial"/>
          <w:sz w:val="28"/>
          <w:szCs w:val="28"/>
        </w:rPr>
        <w:t>ouncils</w:t>
      </w:r>
      <w:r w:rsidRPr="00FD232F">
        <w:rPr>
          <w:rFonts w:ascii="Arial" w:hAnsi="Arial" w:cs="Arial"/>
          <w:sz w:val="28"/>
          <w:szCs w:val="28"/>
        </w:rPr>
        <w:t xml:space="preserve"> before a qualification can be registered on the NQF</w:t>
      </w:r>
      <w:r w:rsidR="00D1501F">
        <w:rPr>
          <w:rFonts w:ascii="Arial" w:hAnsi="Arial" w:cs="Arial"/>
          <w:sz w:val="28"/>
          <w:szCs w:val="28"/>
        </w:rPr>
        <w:t xml:space="preserve"> by SAQA</w:t>
      </w:r>
      <w:r w:rsidRPr="00FD232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943"/>
        <w:gridCol w:w="5387"/>
        <w:gridCol w:w="992"/>
        <w:gridCol w:w="992"/>
        <w:gridCol w:w="2977"/>
      </w:tblGrid>
      <w:tr w:rsidR="00975B34" w:rsidTr="00975B34">
        <w:tc>
          <w:tcPr>
            <w:tcW w:w="2943" w:type="dxa"/>
          </w:tcPr>
          <w:p w:rsidR="00975B34" w:rsidRPr="00975B34" w:rsidRDefault="00975B34" w:rsidP="00293A28">
            <w:pPr>
              <w:rPr>
                <w:b/>
              </w:rPr>
            </w:pPr>
            <w:r w:rsidRPr="00975B34">
              <w:rPr>
                <w:b/>
              </w:rPr>
              <w:lastRenderedPageBreak/>
              <w:t xml:space="preserve">CRITERIA FOR EVALUATION </w:t>
            </w:r>
          </w:p>
        </w:tc>
        <w:tc>
          <w:tcPr>
            <w:tcW w:w="5387" w:type="dxa"/>
          </w:tcPr>
          <w:p w:rsidR="00975B34" w:rsidRPr="00975B34" w:rsidRDefault="00975B34" w:rsidP="00E22E1C">
            <w:pPr>
              <w:rPr>
                <w:b/>
              </w:rPr>
            </w:pPr>
            <w:r w:rsidRPr="00975B34">
              <w:rPr>
                <w:b/>
              </w:rPr>
              <w:t>AREA OF EVALUATION</w:t>
            </w:r>
          </w:p>
        </w:tc>
        <w:tc>
          <w:tcPr>
            <w:tcW w:w="992" w:type="dxa"/>
          </w:tcPr>
          <w:p w:rsidR="00975B34" w:rsidRPr="00975B34" w:rsidRDefault="00975B34" w:rsidP="00E22E1C">
            <w:pPr>
              <w:rPr>
                <w:b/>
              </w:rPr>
            </w:pPr>
            <w:r w:rsidRPr="00975B34">
              <w:rPr>
                <w:b/>
              </w:rPr>
              <w:t>YES</w:t>
            </w:r>
          </w:p>
        </w:tc>
        <w:tc>
          <w:tcPr>
            <w:tcW w:w="992" w:type="dxa"/>
          </w:tcPr>
          <w:p w:rsidR="00975B34" w:rsidRPr="00975B34" w:rsidRDefault="00975B34" w:rsidP="00E22E1C">
            <w:pPr>
              <w:rPr>
                <w:b/>
              </w:rPr>
            </w:pPr>
            <w:r w:rsidRPr="00975B34">
              <w:rPr>
                <w:b/>
              </w:rPr>
              <w:t>NO</w:t>
            </w:r>
          </w:p>
        </w:tc>
        <w:tc>
          <w:tcPr>
            <w:tcW w:w="2977" w:type="dxa"/>
          </w:tcPr>
          <w:p w:rsidR="00975B34" w:rsidRPr="00975B34" w:rsidRDefault="00975B34" w:rsidP="00E22E1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75B34" w:rsidTr="00975B34">
        <w:tc>
          <w:tcPr>
            <w:tcW w:w="2943" w:type="dxa"/>
          </w:tcPr>
          <w:p w:rsidR="00975B34" w:rsidRDefault="00975B34" w:rsidP="00293A28">
            <w:pPr>
              <w:pStyle w:val="ListParagraph"/>
              <w:numPr>
                <w:ilvl w:val="0"/>
                <w:numId w:val="1"/>
              </w:numPr>
            </w:pPr>
            <w:r>
              <w:t>Title</w:t>
            </w:r>
          </w:p>
          <w:p w:rsidR="00B33B2D" w:rsidRDefault="00B33B2D" w:rsidP="00B33B2D">
            <w:pPr>
              <w:pStyle w:val="ListParagraph"/>
              <w:spacing w:before="240"/>
              <w:ind w:left="0"/>
            </w:pPr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975B34" w:rsidP="00382D15">
            <w:r>
              <w:t xml:space="preserve">Does the qualification title comply with the qualification type description provided in the HEQSF? 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233645">
            <w:pPr>
              <w:pStyle w:val="ListParagraph"/>
              <w:numPr>
                <w:ilvl w:val="0"/>
                <w:numId w:val="1"/>
              </w:numPr>
            </w:pPr>
            <w:r>
              <w:t>Sub-Framework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751567" w:rsidP="00751567">
            <w:r>
              <w:t>Is t</w:t>
            </w:r>
            <w:r w:rsidR="00975B34">
              <w:t xml:space="preserve">he </w:t>
            </w:r>
            <w:r w:rsidR="00450812">
              <w:t>S</w:t>
            </w:r>
            <w:r w:rsidR="00975B34">
              <w:t xml:space="preserve">ub-framework </w:t>
            </w:r>
            <w:r>
              <w:t xml:space="preserve">in </w:t>
            </w:r>
            <w:r w:rsidR="00975B34">
              <w:t>which the qualification is to be registered provided?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233645">
            <w:pPr>
              <w:pStyle w:val="ListParagraph"/>
              <w:numPr>
                <w:ilvl w:val="0"/>
                <w:numId w:val="1"/>
              </w:numPr>
            </w:pPr>
            <w:r>
              <w:t>Field and sub-field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751567" w:rsidP="00450812">
            <w:r>
              <w:t xml:space="preserve">Is </w:t>
            </w:r>
            <w:r w:rsidR="00450812">
              <w:t>the Field</w:t>
            </w:r>
            <w:r>
              <w:t xml:space="preserve"> and sub-field in which the qualification falls given? </w:t>
            </w:r>
            <w:r w:rsidR="00262F62">
              <w:t xml:space="preserve"> </w:t>
            </w:r>
            <w:r>
              <w:t>The CESM category may be included</w:t>
            </w:r>
            <w:r w:rsidR="00820CF3">
              <w:t>.</w:t>
            </w:r>
            <w:r w:rsidR="00975B34">
              <w:t xml:space="preserve">  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233645">
            <w:pPr>
              <w:pStyle w:val="ListParagraph"/>
              <w:numPr>
                <w:ilvl w:val="0"/>
                <w:numId w:val="1"/>
              </w:numPr>
            </w:pPr>
            <w:r>
              <w:t xml:space="preserve">Level of the qualification 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975B34" w:rsidP="00975B34">
            <w:r>
              <w:t>Is the level of the qualification aligned to the published NQF Policy on Level Descriptors?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t>Credits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975B34">
            <w:r>
              <w:t>Does the minimum credit allocated to the qualification comply with the qualification type as prescribed in the HEQSF</w:t>
            </w:r>
            <w:r w:rsidR="00751567">
              <w:t>?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t>Rationale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975B34">
            <w:r>
              <w:t xml:space="preserve">Does the rationale </w:t>
            </w:r>
            <w:r w:rsidRPr="00CA07C6">
              <w:t>o</w:t>
            </w:r>
            <w:r w:rsidR="00CA07C6">
              <w:t>f</w:t>
            </w:r>
            <w:r w:rsidRPr="00CA07C6">
              <w:t xml:space="preserve"> t</w:t>
            </w:r>
            <w:r>
              <w:t>he qualification provide the following aspects:</w:t>
            </w:r>
          </w:p>
          <w:p w:rsidR="00975B34" w:rsidRDefault="00975B34" w:rsidP="00776824">
            <w:pPr>
              <w:pStyle w:val="ListParagraph"/>
              <w:numPr>
                <w:ilvl w:val="0"/>
                <w:numId w:val="2"/>
              </w:numPr>
            </w:pPr>
            <w:r>
              <w:t>Reasons that led to the identification of the need for the qualification</w:t>
            </w:r>
            <w:r w:rsidR="00820CF3">
              <w:t>;</w:t>
            </w:r>
          </w:p>
          <w:p w:rsidR="00975B34" w:rsidRDefault="00751567" w:rsidP="00776824">
            <w:pPr>
              <w:pStyle w:val="ListParagraph"/>
              <w:numPr>
                <w:ilvl w:val="0"/>
                <w:numId w:val="2"/>
              </w:numPr>
            </w:pPr>
            <w:r>
              <w:t>Statements as to how t</w:t>
            </w:r>
            <w:r w:rsidR="00975B34">
              <w:t>he qualification meets the needs of the sector</w:t>
            </w:r>
            <w:r w:rsidR="00820CF3">
              <w:t>;</w:t>
            </w:r>
          </w:p>
          <w:p w:rsidR="00975B34" w:rsidRDefault="00751567" w:rsidP="00776824">
            <w:pPr>
              <w:pStyle w:val="ListParagraph"/>
              <w:numPr>
                <w:ilvl w:val="0"/>
                <w:numId w:val="2"/>
              </w:numPr>
            </w:pPr>
            <w:r>
              <w:t>E</w:t>
            </w:r>
            <w:r w:rsidR="00975B34">
              <w:t>vidence of consultation with the recognised professional body or body of industry</w:t>
            </w:r>
            <w:r w:rsidR="00820CF3">
              <w:t>;</w:t>
            </w:r>
          </w:p>
          <w:p w:rsidR="00975B34" w:rsidRDefault="00751567" w:rsidP="00776824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975B34">
              <w:t xml:space="preserve">he range of typical learners </w:t>
            </w:r>
            <w:r>
              <w:t xml:space="preserve">is identified </w:t>
            </w:r>
            <w:r w:rsidR="00975B34">
              <w:t xml:space="preserve">and </w:t>
            </w:r>
            <w:r>
              <w:t xml:space="preserve">an </w:t>
            </w:r>
            <w:r w:rsidR="00975B34">
              <w:t>indicat</w:t>
            </w:r>
            <w:r>
              <w:t xml:space="preserve">ion given of the </w:t>
            </w:r>
            <w:r w:rsidR="00975B34">
              <w:t xml:space="preserve"> occupation in which the qualifying learner will operate</w:t>
            </w:r>
            <w:r w:rsidR="00820CF3">
              <w:t>;</w:t>
            </w:r>
          </w:p>
          <w:p w:rsidR="00975B34" w:rsidRDefault="00751567" w:rsidP="00776824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975B34">
              <w:t xml:space="preserve">he learning pathway where the qualification </w:t>
            </w:r>
            <w:r w:rsidR="00975B34">
              <w:lastRenderedPageBreak/>
              <w:t>resides</w:t>
            </w:r>
            <w:r w:rsidR="00820CF3">
              <w:t xml:space="preserve"> is provided; and</w:t>
            </w:r>
          </w:p>
          <w:p w:rsidR="00975B34" w:rsidRDefault="00751567" w:rsidP="00C15AF4">
            <w:pPr>
              <w:pStyle w:val="ListParagraph"/>
              <w:numPr>
                <w:ilvl w:val="0"/>
                <w:numId w:val="2"/>
              </w:numPr>
            </w:pPr>
            <w:r>
              <w:t>H</w:t>
            </w:r>
            <w:r w:rsidR="00975B34">
              <w:t xml:space="preserve">ow the qualification will </w:t>
            </w:r>
            <w:r w:rsidR="00C15AF4">
              <w:t>benefit</w:t>
            </w:r>
            <w:r>
              <w:t xml:space="preserve"> </w:t>
            </w:r>
            <w:r w:rsidR="00975B34">
              <w:t>the learner, society and the economy</w:t>
            </w:r>
            <w:r w:rsidR="00C15AF4">
              <w:t xml:space="preserve"> </w:t>
            </w:r>
            <w:r>
              <w:t>is indicated</w:t>
            </w:r>
            <w:r w:rsidR="00820CF3">
              <w:t>.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Purpose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975B34">
            <w:r>
              <w:t>Does the purpose statement provide the following aspects:</w:t>
            </w:r>
          </w:p>
          <w:p w:rsidR="00975B34" w:rsidRDefault="00751567" w:rsidP="003243DF">
            <w:pPr>
              <w:pStyle w:val="ListParagraph"/>
              <w:numPr>
                <w:ilvl w:val="0"/>
                <w:numId w:val="3"/>
              </w:numPr>
            </w:pPr>
            <w:r>
              <w:t xml:space="preserve">A </w:t>
            </w:r>
            <w:r w:rsidR="00C15AF4">
              <w:t>d</w:t>
            </w:r>
            <w:r w:rsidR="00975B34">
              <w:t>escri</w:t>
            </w:r>
            <w:r>
              <w:t xml:space="preserve">ption of </w:t>
            </w:r>
            <w:r w:rsidR="00975B34">
              <w:t xml:space="preserve"> the context of the qualification, what it is intended to achieve in the national, professional/career context</w:t>
            </w:r>
            <w:r>
              <w:t>;</w:t>
            </w:r>
          </w:p>
          <w:p w:rsidR="00975B34" w:rsidRDefault="00975B34" w:rsidP="003243DF">
            <w:pPr>
              <w:pStyle w:val="ListParagraph"/>
              <w:numPr>
                <w:ilvl w:val="0"/>
                <w:numId w:val="3"/>
              </w:numPr>
            </w:pPr>
            <w:r>
              <w:t>what the qualifying learner will know and be able to do on achievement of the qualification</w:t>
            </w:r>
            <w:r w:rsidR="00751567">
              <w:t xml:space="preserve"> is stated;</w:t>
            </w:r>
          </w:p>
          <w:p w:rsidR="00975B34" w:rsidRDefault="00975B34" w:rsidP="003243DF">
            <w:pPr>
              <w:pStyle w:val="ListParagraph"/>
              <w:numPr>
                <w:ilvl w:val="0"/>
                <w:numId w:val="3"/>
              </w:numPr>
            </w:pPr>
            <w:r>
              <w:t>Exit Level Outcomes are linked to the purpose of the qualification</w:t>
            </w:r>
            <w:r w:rsidR="00751567">
              <w:t>;</w:t>
            </w:r>
            <w:r w:rsidR="00820CF3">
              <w:t xml:space="preserve"> and</w:t>
            </w:r>
          </w:p>
          <w:p w:rsidR="00975B34" w:rsidRDefault="00975B34" w:rsidP="003243DF">
            <w:pPr>
              <w:pStyle w:val="ListParagraph"/>
              <w:numPr>
                <w:ilvl w:val="0"/>
                <w:numId w:val="3"/>
              </w:numPr>
            </w:pPr>
            <w:r>
              <w:t>Graduates attributes are used where appropriate</w:t>
            </w:r>
            <w:r w:rsidR="00751567" w:rsidRPr="00975537">
              <w:t>?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t>Rules of combinations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975B34">
            <w:r>
              <w:t xml:space="preserve">The rules of combination should show coherence between the constituent parts of the qualification. </w:t>
            </w:r>
          </w:p>
          <w:p w:rsidR="00975B34" w:rsidRDefault="00975B34"/>
          <w:p w:rsidR="00975B34" w:rsidRPr="008F453A" w:rsidRDefault="00975B34">
            <w:r>
              <w:t>The following aspects should be verified against the HEQSF</w:t>
            </w:r>
            <w:r w:rsidR="00820CF3">
              <w:t>:</w:t>
            </w:r>
          </w:p>
          <w:p w:rsidR="00975B34" w:rsidRPr="008F453A" w:rsidRDefault="00751567" w:rsidP="00751567">
            <w:pPr>
              <w:pStyle w:val="ListParagraph"/>
              <w:numPr>
                <w:ilvl w:val="0"/>
                <w:numId w:val="4"/>
              </w:numPr>
            </w:pPr>
            <w:r w:rsidRPr="008F453A">
              <w:t xml:space="preserve">Number </w:t>
            </w:r>
            <w:r w:rsidR="00450812" w:rsidRPr="008F453A">
              <w:t>of credits</w:t>
            </w:r>
            <w:r w:rsidR="00975B34" w:rsidRPr="008F453A">
              <w:t xml:space="preserve"> </w:t>
            </w:r>
            <w:r w:rsidRPr="008F453A">
              <w:t xml:space="preserve">at </w:t>
            </w:r>
            <w:r w:rsidR="00450812" w:rsidRPr="008F453A">
              <w:t>each level</w:t>
            </w:r>
            <w:r w:rsidR="00975B34" w:rsidRPr="008F453A">
              <w:t xml:space="preserve"> </w:t>
            </w:r>
            <w:r w:rsidR="00820CF3" w:rsidRPr="008F453A">
              <w:t>that the qualification</w:t>
            </w:r>
            <w:r w:rsidRPr="008F453A">
              <w:t xml:space="preserve"> spans across </w:t>
            </w:r>
            <w:r w:rsidR="00820CF3" w:rsidRPr="008F453A">
              <w:t>a</w:t>
            </w:r>
            <w:r w:rsidRPr="008F453A">
              <w:t xml:space="preserve"> </w:t>
            </w:r>
            <w:r w:rsidR="00C15AF4" w:rsidRPr="008F453A">
              <w:t>c</w:t>
            </w:r>
            <w:r w:rsidR="00975B34" w:rsidRPr="008F453A">
              <w:t>lear delineation of compulsory and elective modules and the number of credits per module.</w:t>
            </w:r>
          </w:p>
          <w:p w:rsidR="00975B34" w:rsidRDefault="00975B34" w:rsidP="00820CF3">
            <w:pPr>
              <w:pStyle w:val="ListParagraph"/>
              <w:numPr>
                <w:ilvl w:val="0"/>
                <w:numId w:val="4"/>
              </w:numPr>
            </w:pPr>
            <w:r>
              <w:t>The total credits</w:t>
            </w:r>
            <w:r w:rsidR="00820CF3">
              <w:t xml:space="preserve"> </w:t>
            </w:r>
            <w:r w:rsidR="00751567">
              <w:t>for all</w:t>
            </w:r>
            <w:r w:rsidR="00820CF3">
              <w:t xml:space="preserve"> </w:t>
            </w:r>
            <w:r w:rsidR="00751567">
              <w:t xml:space="preserve">modules </w:t>
            </w:r>
            <w:r>
              <w:t>should be aligned to the</w:t>
            </w:r>
            <w:r w:rsidR="00C15AF4">
              <w:t xml:space="preserve"> </w:t>
            </w:r>
            <w:r w:rsidR="00751567">
              <w:t xml:space="preserve">requirements for the qualification type </w:t>
            </w:r>
            <w:r>
              <w:t>on the HEQSF</w:t>
            </w:r>
            <w:r w:rsidR="00820CF3">
              <w:t>.</w:t>
            </w:r>
            <w:r>
              <w:t xml:space="preserve"> 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t>Entry Requirements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975B34" w:rsidP="00513D74">
            <w:pPr>
              <w:pStyle w:val="ListParagraph"/>
              <w:numPr>
                <w:ilvl w:val="0"/>
                <w:numId w:val="5"/>
              </w:numPr>
            </w:pPr>
            <w:r>
              <w:t>Minimum entry requirements are stated</w:t>
            </w:r>
            <w:r w:rsidR="00820CF3">
              <w:t>.</w:t>
            </w:r>
          </w:p>
          <w:p w:rsidR="00975B34" w:rsidRDefault="00975B34" w:rsidP="00820CF3">
            <w:pPr>
              <w:pStyle w:val="ListParagraph"/>
              <w:numPr>
                <w:ilvl w:val="0"/>
                <w:numId w:val="5"/>
              </w:numPr>
            </w:pPr>
            <w:r>
              <w:t>Entry requirements are aligned to the HEQSF</w:t>
            </w:r>
            <w:r w:rsidR="00751567">
              <w:t xml:space="preserve"> and </w:t>
            </w:r>
            <w:r w:rsidR="00C15AF4">
              <w:t>the Institutional</w:t>
            </w:r>
            <w:r>
              <w:t xml:space="preserve"> admission policies</w:t>
            </w:r>
            <w:r w:rsidR="00820CF3">
              <w:t>.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t xml:space="preserve">Exit Level Outcomes and Associated </w:t>
            </w:r>
            <w:r>
              <w:lastRenderedPageBreak/>
              <w:t>Assessment Criteria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&amp; Level Descriptors)</w:t>
            </w:r>
          </w:p>
        </w:tc>
        <w:tc>
          <w:tcPr>
            <w:tcW w:w="5387" w:type="dxa"/>
          </w:tcPr>
          <w:p w:rsidR="00975B34" w:rsidRDefault="00975B34" w:rsidP="00513D7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Are Exit Level Outcomes framed against the appropriate level descriptors which are relevant </w:t>
            </w:r>
            <w:r>
              <w:lastRenderedPageBreak/>
              <w:t>to the level of the qualification?</w:t>
            </w:r>
          </w:p>
          <w:p w:rsidR="00975B34" w:rsidRPr="008F453A" w:rsidRDefault="00975B34" w:rsidP="00513D74">
            <w:pPr>
              <w:pStyle w:val="ListParagraph"/>
              <w:numPr>
                <w:ilvl w:val="0"/>
                <w:numId w:val="6"/>
              </w:numPr>
            </w:pPr>
            <w:r>
              <w:t>Do the Exit Level Outcomes indicate what the qualifying learner will be able to do and know?</w:t>
            </w:r>
          </w:p>
          <w:p w:rsidR="00975B34" w:rsidRPr="008F453A" w:rsidRDefault="00975B34" w:rsidP="00917098">
            <w:pPr>
              <w:pStyle w:val="ListParagraph"/>
              <w:numPr>
                <w:ilvl w:val="0"/>
                <w:numId w:val="6"/>
              </w:numPr>
            </w:pPr>
            <w:r w:rsidRPr="008F453A">
              <w:t>Are the competencies specified relate</w:t>
            </w:r>
            <w:r w:rsidR="00421A35" w:rsidRPr="008F453A">
              <w:t>d</w:t>
            </w:r>
            <w:r w:rsidRPr="008F453A">
              <w:t xml:space="preserve"> directly to the competences required for further learning or work </w:t>
            </w:r>
            <w:r w:rsidR="00751567" w:rsidRPr="008F453A">
              <w:t xml:space="preserve">for </w:t>
            </w:r>
            <w:r w:rsidRPr="008F453A">
              <w:t>which the qualification is designed</w:t>
            </w:r>
            <w:r w:rsidR="00421A35" w:rsidRPr="008F453A">
              <w:t>.</w:t>
            </w:r>
            <w:r w:rsidRPr="008F453A">
              <w:t xml:space="preserve"> Do the Associated Assessment Criteria written for the qualification indicate the nature and the appropriate level of assessment associated with the qualification?</w:t>
            </w:r>
          </w:p>
          <w:p w:rsidR="00975B34" w:rsidRDefault="00975B34" w:rsidP="00975B34">
            <w:pPr>
              <w:pStyle w:val="ListParagraph"/>
              <w:numPr>
                <w:ilvl w:val="0"/>
                <w:numId w:val="6"/>
              </w:numPr>
            </w:pPr>
            <w:r>
              <w:t>Does the qualification indicate how the exit level outcomes will be assessed in an integrated way?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International comparability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2A3FAB">
            <w:r>
              <w:t xml:space="preserve">A </w:t>
            </w:r>
            <w:r w:rsidR="00C15AF4">
              <w:t>s</w:t>
            </w:r>
            <w:r w:rsidR="00975B34">
              <w:t>tatement on how the qualification compares or relates to similar best practices</w:t>
            </w:r>
            <w:r>
              <w:t xml:space="preserve">, </w:t>
            </w:r>
            <w:r w:rsidR="00C15AF4">
              <w:t>qualifications or</w:t>
            </w:r>
            <w:r w:rsidR="00975B34">
              <w:t xml:space="preserve"> standards offered in other parts of the world must be given.</w:t>
            </w:r>
          </w:p>
          <w:p w:rsidR="00975B34" w:rsidRDefault="00975B34"/>
          <w:p w:rsidR="00975B34" w:rsidRDefault="00975B34">
            <w:r>
              <w:t>Verify if the international comparability statement specif</w:t>
            </w:r>
            <w:r w:rsidR="002A3FAB">
              <w:t>ies</w:t>
            </w:r>
            <w:r>
              <w:t xml:space="preserve"> the following aspects:</w:t>
            </w:r>
          </w:p>
          <w:p w:rsidR="00975B34" w:rsidRDefault="00975B34" w:rsidP="00AE2648">
            <w:pPr>
              <w:pStyle w:val="ListParagraph"/>
              <w:numPr>
                <w:ilvl w:val="0"/>
                <w:numId w:val="9"/>
              </w:numPr>
            </w:pPr>
            <w:r>
              <w:t xml:space="preserve">Does the comparison indicate the correct </w:t>
            </w:r>
            <w:r w:rsidR="00C15AF4">
              <w:t>countries, institutions</w:t>
            </w:r>
            <w:r w:rsidR="002A3FAB">
              <w:t>,</w:t>
            </w:r>
            <w:r>
              <w:t xml:space="preserve"> qualification titles and level</w:t>
            </w:r>
            <w:r w:rsidR="002A3FAB">
              <w:t xml:space="preserve"> with which the qualification is compared</w:t>
            </w:r>
            <w:r w:rsidR="00450812">
              <w:t>?</w:t>
            </w:r>
          </w:p>
          <w:p w:rsidR="00975B34" w:rsidRDefault="00975B34" w:rsidP="00AE2648">
            <w:pPr>
              <w:pStyle w:val="ListParagraph"/>
              <w:numPr>
                <w:ilvl w:val="0"/>
                <w:numId w:val="9"/>
              </w:numPr>
            </w:pPr>
            <w:r>
              <w:t>Does the comparison clearly indicates the areas of comparison (differences and similarities in terms of Exit Level Outcomes, Associated Assessment</w:t>
            </w:r>
            <w:r w:rsidR="006B23F9">
              <w:t xml:space="preserve"> Criteria, Duration,</w:t>
            </w:r>
            <w:r w:rsidR="002A3FAB">
              <w:t xml:space="preserve"> Qualification type</w:t>
            </w:r>
            <w:r w:rsidR="006B23F9">
              <w:t xml:space="preserve"> </w:t>
            </w:r>
            <w:r>
              <w:t xml:space="preserve"> Content/Modules, Level of the qualification)</w:t>
            </w:r>
            <w:r w:rsidR="00820CF3">
              <w:t>.</w:t>
            </w:r>
          </w:p>
          <w:p w:rsidR="00975B34" w:rsidRDefault="00975B34" w:rsidP="00AE2648">
            <w:pPr>
              <w:pStyle w:val="ListParagraph"/>
              <w:numPr>
                <w:ilvl w:val="0"/>
                <w:numId w:val="10"/>
              </w:numPr>
            </w:pPr>
            <w:r>
              <w:t xml:space="preserve">Comparison must be done with a minimum </w:t>
            </w:r>
            <w:r w:rsidR="006B23F9">
              <w:t>of two</w:t>
            </w:r>
            <w:r>
              <w:t xml:space="preserve"> or more qualifications from different countries</w:t>
            </w:r>
            <w:r w:rsidR="006B23F9">
              <w:t>.</w:t>
            </w:r>
          </w:p>
          <w:p w:rsidR="006B23F9" w:rsidRDefault="006B23F9" w:rsidP="006B23F9">
            <w:r w:rsidRPr="006B23F9">
              <w:t>(Ensure that qualifications are compared with accredited qualifications and institutions in the country of origin)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t xml:space="preserve"> Integrated Assessment</w:t>
            </w:r>
          </w:p>
          <w:p w:rsidR="00B33B2D" w:rsidRDefault="00B33B2D" w:rsidP="00B33B2D">
            <w:r>
              <w:lastRenderedPageBreak/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Default="00975B34">
            <w:r>
              <w:lastRenderedPageBreak/>
              <w:t xml:space="preserve">State the types and forms of assessment undertaken to determine learners applied competencies and successful </w:t>
            </w:r>
            <w:r>
              <w:lastRenderedPageBreak/>
              <w:t>completion of learning.</w:t>
            </w:r>
          </w:p>
          <w:p w:rsidR="00CA6016" w:rsidRDefault="006B23F9" w:rsidP="00CA6016">
            <w:pPr>
              <w:pStyle w:val="ListParagraph"/>
              <w:numPr>
                <w:ilvl w:val="0"/>
                <w:numId w:val="8"/>
              </w:numPr>
            </w:pPr>
            <w:r>
              <w:t>I</w:t>
            </w:r>
            <w:r w:rsidR="00975B34">
              <w:t>nclude summative and formative assessment;</w:t>
            </w:r>
            <w:r w:rsidR="00820CF3">
              <w:t xml:space="preserve"> and</w:t>
            </w:r>
          </w:p>
          <w:p w:rsidR="00975B34" w:rsidRDefault="00CA6016" w:rsidP="00CA6016">
            <w:pPr>
              <w:pStyle w:val="ListParagraph"/>
              <w:numPr>
                <w:ilvl w:val="0"/>
                <w:numId w:val="8"/>
              </w:numPr>
            </w:pPr>
            <w:r>
              <w:t xml:space="preserve">Give the </w:t>
            </w:r>
            <w:r w:rsidR="00975B34">
              <w:t xml:space="preserve">ratio of assignments to </w:t>
            </w:r>
            <w:proofErr w:type="gramStart"/>
            <w:r w:rsidR="00975B34">
              <w:t>academic  examinations</w:t>
            </w:r>
            <w:proofErr w:type="gramEnd"/>
            <w:r>
              <w:t xml:space="preserve"> and </w:t>
            </w:r>
            <w:r w:rsidR="00975B34">
              <w:t>, of  Work Integrated  Learning (WIL), and other forms of learning</w:t>
            </w:r>
            <w:r w:rsidR="00820CF3">
              <w:t>.</w:t>
            </w:r>
            <w:r w:rsidR="00975B34">
              <w:t xml:space="preserve"> 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Recognition of Prior Learning</w:t>
            </w:r>
          </w:p>
          <w:p w:rsidR="00B33B2D" w:rsidRDefault="00B33B2D" w:rsidP="00B33B2D">
            <w:r>
              <w:t>(</w:t>
            </w:r>
            <w:r w:rsidRPr="00AF3157">
              <w:rPr>
                <w:rFonts w:ascii="Arial" w:hAnsi="Arial" w:cs="Arial"/>
                <w:i/>
                <w:sz w:val="20"/>
                <w:szCs w:val="20"/>
              </w:rPr>
              <w:t>Policy and Criteria for Registration of Qualifications on the NQF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975B34" w:rsidRPr="008F453A" w:rsidRDefault="00975B34">
            <w:r>
              <w:t>The institutional policy must clearly state how RPL will be applied to:</w:t>
            </w:r>
          </w:p>
          <w:p w:rsidR="002A3FAB" w:rsidRPr="008F453A" w:rsidRDefault="008F453A" w:rsidP="00AE2648">
            <w:pPr>
              <w:pStyle w:val="ListParagraph"/>
              <w:numPr>
                <w:ilvl w:val="0"/>
                <w:numId w:val="7"/>
              </w:numPr>
            </w:pPr>
            <w:r>
              <w:t>Gain entry.</w:t>
            </w:r>
            <w:r w:rsidR="00975B34" w:rsidRPr="008F453A">
              <w:t xml:space="preserve"> </w:t>
            </w:r>
          </w:p>
          <w:p w:rsidR="00C15AF4" w:rsidRDefault="002A3FAB" w:rsidP="00AE2648">
            <w:pPr>
              <w:pStyle w:val="ListParagraph"/>
              <w:numPr>
                <w:ilvl w:val="0"/>
                <w:numId w:val="7"/>
              </w:numPr>
            </w:pPr>
            <w:r>
              <w:t>A</w:t>
            </w:r>
            <w:r w:rsidR="00975B34">
              <w:t xml:space="preserve">chieve </w:t>
            </w:r>
            <w:r>
              <w:t>module exemptions or advanced standing</w:t>
            </w:r>
            <w:r w:rsidR="00C15AF4">
              <w:t>.</w:t>
            </w:r>
          </w:p>
          <w:p w:rsidR="00975B34" w:rsidRDefault="00C15AF4" w:rsidP="00820CF3">
            <w:pPr>
              <w:pStyle w:val="ListParagraph"/>
              <w:numPr>
                <w:ilvl w:val="0"/>
                <w:numId w:val="7"/>
              </w:numPr>
            </w:pPr>
            <w:r w:rsidRPr="00C15AF4">
              <w:t>Is there a statement that the Institutional RPL policy is aligned to the NQF RPL Policy?</w:t>
            </w:r>
          </w:p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  <w:tr w:rsidR="00975B34" w:rsidTr="00975B34">
        <w:tc>
          <w:tcPr>
            <w:tcW w:w="2943" w:type="dxa"/>
          </w:tcPr>
          <w:p w:rsidR="00975B34" w:rsidRDefault="00975B34" w:rsidP="00551C63">
            <w:pPr>
              <w:pStyle w:val="ListParagraph"/>
              <w:numPr>
                <w:ilvl w:val="0"/>
                <w:numId w:val="1"/>
              </w:numPr>
            </w:pPr>
            <w:r>
              <w:t>Articulation</w:t>
            </w:r>
          </w:p>
          <w:p w:rsidR="00B33B2D" w:rsidRPr="00B33B2D" w:rsidRDefault="00B33B2D" w:rsidP="00B33B2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33B2D">
              <w:rPr>
                <w:rFonts w:ascii="Arial" w:hAnsi="Arial" w:cs="Arial"/>
                <w:i/>
                <w:sz w:val="20"/>
                <w:szCs w:val="20"/>
              </w:rPr>
              <w:t>(Policy and Criteria for Registration of Qualifications on the NQF &amp;</w:t>
            </w:r>
            <w:r w:rsidRPr="00B33B2D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National Qualifications Framework Act (67/2008) » the Articulation Policy for the Post-School Education and Training System of South Africa</w:t>
            </w:r>
            <w:r w:rsidRPr="00B33B2D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6B23F9" w:rsidRDefault="00B33B2D" w:rsidP="006B23F9">
            <w:r>
              <w:t>S</w:t>
            </w:r>
            <w:r w:rsidR="00975B34">
              <w:t>tatement describing horizontal</w:t>
            </w:r>
            <w:r w:rsidR="002A3FAB">
              <w:t xml:space="preserve"> and  </w:t>
            </w:r>
            <w:r w:rsidR="00975B34">
              <w:t>vertical articulation possibilities within</w:t>
            </w:r>
            <w:r w:rsidR="002A3FAB">
              <w:t xml:space="preserve"> the HEQSF and the other NQF Sub-frameworks must be given as follow</w:t>
            </w:r>
            <w:r w:rsidR="00CA6016">
              <w:t>s</w:t>
            </w:r>
            <w:r w:rsidR="002A3FAB">
              <w:t>:</w:t>
            </w:r>
          </w:p>
          <w:p w:rsidR="006B23F9" w:rsidRDefault="006B23F9" w:rsidP="006B23F9"/>
          <w:p w:rsidR="00975B34" w:rsidRDefault="00975B34" w:rsidP="006B23F9">
            <w:r w:rsidRPr="006B23F9">
              <w:rPr>
                <w:b/>
              </w:rPr>
              <w:t>Systemic articulation</w:t>
            </w:r>
            <w:r w:rsidR="006B23F9" w:rsidRPr="006B23F9">
              <w:rPr>
                <w:b/>
              </w:rPr>
              <w:t xml:space="preserve">: </w:t>
            </w:r>
            <w:r>
              <w:t xml:space="preserve"> (articulation </w:t>
            </w:r>
            <w:r w:rsidR="002A3FAB">
              <w:t>by virtue of the qualification type as stated in the HEQSF</w:t>
            </w:r>
            <w:r w:rsidR="00450812">
              <w:t>)</w:t>
            </w:r>
          </w:p>
          <w:p w:rsidR="00975B34" w:rsidRDefault="00975B34" w:rsidP="00740F00">
            <w:pPr>
              <w:pStyle w:val="ListParagraph"/>
              <w:numPr>
                <w:ilvl w:val="0"/>
                <w:numId w:val="11"/>
              </w:numPr>
            </w:pPr>
            <w:r>
              <w:t>Vertical articulation</w:t>
            </w:r>
            <w:r w:rsidR="002A3FAB">
              <w:t xml:space="preserve"> with qualifications</w:t>
            </w:r>
            <w:r w:rsidR="00820CF3">
              <w:t xml:space="preserve"> </w:t>
            </w:r>
            <w:r w:rsidR="002A3FAB">
              <w:t>on the HEQSF and the OQSF</w:t>
            </w:r>
            <w:r w:rsidR="006B23F9">
              <w:t xml:space="preserve">: </w:t>
            </w:r>
            <w:r>
              <w:t xml:space="preserve"> </w:t>
            </w:r>
            <w:r w:rsidR="00450812">
              <w:t>(</w:t>
            </w:r>
            <w:r>
              <w:t xml:space="preserve">creates </w:t>
            </w:r>
            <w:r w:rsidR="006B23F9">
              <w:t xml:space="preserve">systemic </w:t>
            </w:r>
            <w:r>
              <w:t>possibilities for upward mobility)</w:t>
            </w:r>
            <w:r w:rsidR="00820CF3">
              <w:t>.</w:t>
            </w:r>
          </w:p>
          <w:p w:rsidR="00975B34" w:rsidRDefault="00975B34" w:rsidP="00740F00">
            <w:pPr>
              <w:pStyle w:val="ListParagraph"/>
              <w:numPr>
                <w:ilvl w:val="0"/>
                <w:numId w:val="11"/>
              </w:numPr>
            </w:pPr>
            <w:r>
              <w:t>Horizontal articulation</w:t>
            </w:r>
            <w:r w:rsidR="002A3FAB">
              <w:t xml:space="preserve"> with qualifications</w:t>
            </w:r>
            <w:r w:rsidR="00820CF3">
              <w:t xml:space="preserve"> </w:t>
            </w:r>
            <w:r w:rsidR="002A3FAB">
              <w:t>on the HEQSF and the OQSF</w:t>
            </w:r>
            <w:r>
              <w:t xml:space="preserve"> (allows</w:t>
            </w:r>
            <w:r w:rsidR="006B23F9">
              <w:t xml:space="preserve"> systemic mobility between qualifications </w:t>
            </w:r>
            <w:r w:rsidR="00CA6016">
              <w:t xml:space="preserve">on </w:t>
            </w:r>
            <w:r w:rsidR="006B23F9">
              <w:t xml:space="preserve">the same level in different institutions </w:t>
            </w:r>
            <w:r w:rsidR="002A3FAB">
              <w:t>an</w:t>
            </w:r>
            <w:r w:rsidR="00CA6016">
              <w:t>d</w:t>
            </w:r>
            <w:r w:rsidR="002A3FAB">
              <w:t xml:space="preserve">/or   </w:t>
            </w:r>
            <w:r w:rsidR="006B23F9">
              <w:t>accumulation</w:t>
            </w:r>
            <w:r w:rsidR="002A3FAB">
              <w:t xml:space="preserve"> and transfer</w:t>
            </w:r>
            <w:r w:rsidR="006B23F9">
              <w:t xml:space="preserve"> of credits</w:t>
            </w:r>
            <w:r w:rsidR="00450812">
              <w:t>)</w:t>
            </w:r>
            <w:r w:rsidR="00820CF3">
              <w:t>.</w:t>
            </w:r>
          </w:p>
          <w:p w:rsidR="00975B34" w:rsidRDefault="00975B34" w:rsidP="00740F00"/>
          <w:p w:rsidR="00975B34" w:rsidRDefault="00975B34" w:rsidP="006B23F9">
            <w:r w:rsidRPr="006B23F9">
              <w:rPr>
                <w:b/>
              </w:rPr>
              <w:t xml:space="preserve">Specific Articulation </w:t>
            </w:r>
            <w:r>
              <w:t>(formal and informal agreements</w:t>
            </w:r>
            <w:r w:rsidR="002A3FAB">
              <w:t xml:space="preserve"> of articulation </w:t>
            </w:r>
            <w:r>
              <w:t xml:space="preserve"> with</w:t>
            </w:r>
            <w:r w:rsidR="002A3FAB">
              <w:t xml:space="preserve"> other qualifications offered by the institution itself or with qualifications offered by other </w:t>
            </w:r>
            <w:r>
              <w:t>institutions</w:t>
            </w:r>
          </w:p>
          <w:p w:rsidR="00CA6016" w:rsidRDefault="00CA6016" w:rsidP="00CA6016">
            <w:pPr>
              <w:pStyle w:val="ListParagraph"/>
              <w:numPr>
                <w:ilvl w:val="0"/>
                <w:numId w:val="11"/>
              </w:numPr>
            </w:pPr>
            <w:r>
              <w:t xml:space="preserve">Vertical articulation with </w:t>
            </w:r>
            <w:proofErr w:type="gramStart"/>
            <w:r>
              <w:t>qualifications  on</w:t>
            </w:r>
            <w:proofErr w:type="gramEnd"/>
            <w:r>
              <w:t xml:space="preserve"> the </w:t>
            </w:r>
            <w:r>
              <w:lastRenderedPageBreak/>
              <w:t xml:space="preserve">HEQSF and the OQSF:  </w:t>
            </w:r>
            <w:r w:rsidR="00450812">
              <w:t>(</w:t>
            </w:r>
            <w:r>
              <w:t>creates possibilities for upward mobility)</w:t>
            </w:r>
            <w:r w:rsidR="00820CF3">
              <w:t>.</w:t>
            </w:r>
          </w:p>
          <w:p w:rsidR="00CA6016" w:rsidRDefault="00CA6016" w:rsidP="00CA6016">
            <w:pPr>
              <w:pStyle w:val="ListParagraph"/>
            </w:pPr>
          </w:p>
          <w:p w:rsidR="00CA6016" w:rsidRDefault="00CA6016" w:rsidP="00CA6016">
            <w:pPr>
              <w:pStyle w:val="ListParagraph"/>
              <w:numPr>
                <w:ilvl w:val="0"/>
                <w:numId w:val="11"/>
              </w:numPr>
            </w:pPr>
            <w:r>
              <w:t xml:space="preserve">Horizontal articulation with </w:t>
            </w:r>
            <w:proofErr w:type="gramStart"/>
            <w:r>
              <w:t>qualifications  on</w:t>
            </w:r>
            <w:proofErr w:type="gramEnd"/>
            <w:r>
              <w:t xml:space="preserve"> the HEQSF and the OQSF (allows  mobility between qualifications of the same level in different institutions an</w:t>
            </w:r>
            <w:r w:rsidR="00450812">
              <w:t>d</w:t>
            </w:r>
            <w:r w:rsidR="00C15AF4">
              <w:t xml:space="preserve"> </w:t>
            </w:r>
            <w:r>
              <w:t>/or   accumulation and transfer of credits</w:t>
            </w:r>
            <w:r w:rsidR="00450812">
              <w:t>)</w:t>
            </w:r>
            <w:r w:rsidR="00820CF3">
              <w:t>.</w:t>
            </w:r>
            <w:r>
              <w:t xml:space="preserve"> </w:t>
            </w:r>
          </w:p>
          <w:p w:rsidR="00975B34" w:rsidRDefault="00975B34" w:rsidP="00740F00"/>
          <w:p w:rsidR="00975B34" w:rsidRDefault="00975B34" w:rsidP="00C15AF4">
            <w:pPr>
              <w:pStyle w:val="ListParagraph"/>
            </w:pPr>
            <w:r w:rsidRPr="00C15AF4">
              <w:rPr>
                <w:b/>
              </w:rPr>
              <w:t xml:space="preserve">If there are no articulation possibilities for the qualification (systemic or </w:t>
            </w:r>
            <w:r w:rsidR="006B23F9" w:rsidRPr="00C15AF4">
              <w:rPr>
                <w:b/>
              </w:rPr>
              <w:t>specific</w:t>
            </w:r>
            <w:r w:rsidR="00CA6016" w:rsidRPr="00C15AF4">
              <w:rPr>
                <w:b/>
              </w:rPr>
              <w:t>)</w:t>
            </w:r>
            <w:r w:rsidR="006B23F9" w:rsidRPr="00C15AF4">
              <w:rPr>
                <w:b/>
              </w:rPr>
              <w:t>,</w:t>
            </w:r>
            <w:r w:rsidRPr="00C15AF4">
              <w:rPr>
                <w:b/>
              </w:rPr>
              <w:t xml:space="preserve"> reasons </w:t>
            </w:r>
            <w:r w:rsidR="00CA6016" w:rsidRPr="00C15AF4">
              <w:rPr>
                <w:b/>
              </w:rPr>
              <w:t>must be given</w:t>
            </w:r>
            <w:r w:rsidR="00820CF3">
              <w:rPr>
                <w:b/>
              </w:rPr>
              <w:t>.</w:t>
            </w:r>
          </w:p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992" w:type="dxa"/>
          </w:tcPr>
          <w:p w:rsidR="00975B34" w:rsidRDefault="00975B34"/>
        </w:tc>
        <w:tc>
          <w:tcPr>
            <w:tcW w:w="2977" w:type="dxa"/>
          </w:tcPr>
          <w:p w:rsidR="00975B34" w:rsidRDefault="00975B34"/>
        </w:tc>
      </w:tr>
    </w:tbl>
    <w:p w:rsidR="004D2F1A" w:rsidRDefault="004D2F1A"/>
    <w:p w:rsidR="00293A28" w:rsidRDefault="00293A28"/>
    <w:sectPr w:rsidR="00293A28" w:rsidSect="00293A2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887"/>
    <w:multiLevelType w:val="hybridMultilevel"/>
    <w:tmpl w:val="5EC087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80C8F"/>
    <w:multiLevelType w:val="hybridMultilevel"/>
    <w:tmpl w:val="29BA13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28E1"/>
    <w:multiLevelType w:val="hybridMultilevel"/>
    <w:tmpl w:val="D44627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860C3"/>
    <w:multiLevelType w:val="hybridMultilevel"/>
    <w:tmpl w:val="F4F4D2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F7184"/>
    <w:multiLevelType w:val="hybridMultilevel"/>
    <w:tmpl w:val="CF22E3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82078"/>
    <w:multiLevelType w:val="hybridMultilevel"/>
    <w:tmpl w:val="F592A8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A2019"/>
    <w:multiLevelType w:val="hybridMultilevel"/>
    <w:tmpl w:val="FBA0D8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46CCA"/>
    <w:multiLevelType w:val="hybridMultilevel"/>
    <w:tmpl w:val="97E0EE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C7CA2"/>
    <w:multiLevelType w:val="hybridMultilevel"/>
    <w:tmpl w:val="5C28E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9096D"/>
    <w:multiLevelType w:val="hybridMultilevel"/>
    <w:tmpl w:val="8E5E51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876CE"/>
    <w:multiLevelType w:val="hybridMultilevel"/>
    <w:tmpl w:val="71F68D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FD1"/>
    <w:rsid w:val="00087B67"/>
    <w:rsid w:val="0009384C"/>
    <w:rsid w:val="001F579E"/>
    <w:rsid w:val="00233645"/>
    <w:rsid w:val="00262F62"/>
    <w:rsid w:val="00293A28"/>
    <w:rsid w:val="002A3FAB"/>
    <w:rsid w:val="002B065F"/>
    <w:rsid w:val="003243DF"/>
    <w:rsid w:val="00382D15"/>
    <w:rsid w:val="003B4044"/>
    <w:rsid w:val="003D3F86"/>
    <w:rsid w:val="004065FC"/>
    <w:rsid w:val="00421A35"/>
    <w:rsid w:val="00450812"/>
    <w:rsid w:val="0049112F"/>
    <w:rsid w:val="004D2F1A"/>
    <w:rsid w:val="00513D74"/>
    <w:rsid w:val="00520DC1"/>
    <w:rsid w:val="00551C63"/>
    <w:rsid w:val="006B23F9"/>
    <w:rsid w:val="00712C22"/>
    <w:rsid w:val="00740F00"/>
    <w:rsid w:val="00751567"/>
    <w:rsid w:val="00776824"/>
    <w:rsid w:val="00820CF3"/>
    <w:rsid w:val="00855EF0"/>
    <w:rsid w:val="008F453A"/>
    <w:rsid w:val="00917098"/>
    <w:rsid w:val="00975537"/>
    <w:rsid w:val="00975B34"/>
    <w:rsid w:val="009A0C0A"/>
    <w:rsid w:val="00A11682"/>
    <w:rsid w:val="00AE2648"/>
    <w:rsid w:val="00AF13B7"/>
    <w:rsid w:val="00B26756"/>
    <w:rsid w:val="00B33B2D"/>
    <w:rsid w:val="00BE17A8"/>
    <w:rsid w:val="00C15AF4"/>
    <w:rsid w:val="00CA07C6"/>
    <w:rsid w:val="00CA6016"/>
    <w:rsid w:val="00CE2671"/>
    <w:rsid w:val="00D1501F"/>
    <w:rsid w:val="00E01EE6"/>
    <w:rsid w:val="00E22E1C"/>
    <w:rsid w:val="00E27FD1"/>
    <w:rsid w:val="00E37D4E"/>
    <w:rsid w:val="00E56628"/>
    <w:rsid w:val="00E67C01"/>
    <w:rsid w:val="00F02967"/>
    <w:rsid w:val="00FD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 Nyaka</dc:creator>
  <cp:lastModifiedBy>eduplooy</cp:lastModifiedBy>
  <cp:revision>10</cp:revision>
  <cp:lastPrinted>2017-08-15T10:46:00Z</cp:lastPrinted>
  <dcterms:created xsi:type="dcterms:W3CDTF">2017-08-15T07:29:00Z</dcterms:created>
  <dcterms:modified xsi:type="dcterms:W3CDTF">2017-08-16T15:12:00Z</dcterms:modified>
</cp:coreProperties>
</file>