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327" w:rsidRDefault="007D68AC" w:rsidP="003E1327">
      <w:pPr>
        <w:jc w:val="center"/>
        <w:rPr>
          <w:b/>
          <w:sz w:val="36"/>
        </w:rPr>
      </w:pPr>
      <w:r>
        <w:rPr>
          <w:b/>
          <w:noProof/>
          <w:sz w:val="36"/>
          <w:lang w:eastAsia="en-ZA"/>
        </w:rPr>
        <w:drawing>
          <wp:inline distT="0" distB="0" distL="0" distR="0" wp14:anchorId="68479419">
            <wp:extent cx="2057400" cy="889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9301" cy="889821"/>
                    </a:xfrm>
                    <a:prstGeom prst="rect">
                      <a:avLst/>
                    </a:prstGeom>
                    <a:noFill/>
                  </pic:spPr>
                </pic:pic>
              </a:graphicData>
            </a:graphic>
          </wp:inline>
        </w:drawing>
      </w:r>
      <w:bookmarkStart w:id="0" w:name="_GoBack"/>
      <w:bookmarkEnd w:id="0"/>
    </w:p>
    <w:p w:rsidR="003E1327" w:rsidRPr="003E1327" w:rsidRDefault="003E1327" w:rsidP="003E1327">
      <w:pPr>
        <w:pStyle w:val="Title"/>
        <w:jc w:val="center"/>
        <w:rPr>
          <w:color w:val="000000" w:themeColor="text1"/>
          <w:sz w:val="44"/>
        </w:rPr>
      </w:pPr>
      <w:r w:rsidRPr="003E1327">
        <w:rPr>
          <w:color w:val="000000" w:themeColor="text1"/>
          <w:sz w:val="44"/>
        </w:rPr>
        <w:t>Preliminary Analysis of Self-Evaluation Report</w:t>
      </w:r>
    </w:p>
    <w:p w:rsidR="003E1327" w:rsidRDefault="003E1327"/>
    <w:tbl>
      <w:tblPr>
        <w:tblStyle w:val="TableGrid"/>
        <w:tblW w:w="0" w:type="auto"/>
        <w:tblLook w:val="04A0" w:firstRow="1" w:lastRow="0" w:firstColumn="1" w:lastColumn="0" w:noHBand="0" w:noVBand="1"/>
      </w:tblPr>
      <w:tblGrid>
        <w:gridCol w:w="2235"/>
        <w:gridCol w:w="5811"/>
      </w:tblGrid>
      <w:tr w:rsidR="003E1327" w:rsidTr="003E1327">
        <w:trPr>
          <w:trHeight w:val="768"/>
        </w:trPr>
        <w:tc>
          <w:tcPr>
            <w:tcW w:w="2235" w:type="dxa"/>
            <w:vAlign w:val="center"/>
          </w:tcPr>
          <w:p w:rsidR="003E1327" w:rsidRPr="003E1327" w:rsidRDefault="003E1327" w:rsidP="003E1327">
            <w:pPr>
              <w:jc w:val="right"/>
              <w:rPr>
                <w:b/>
              </w:rPr>
            </w:pPr>
            <w:r w:rsidRPr="003E1327">
              <w:rPr>
                <w:b/>
              </w:rPr>
              <w:t>Name of Institution</w:t>
            </w:r>
          </w:p>
        </w:tc>
        <w:tc>
          <w:tcPr>
            <w:tcW w:w="5811" w:type="dxa"/>
          </w:tcPr>
          <w:p w:rsidR="003E1327" w:rsidRDefault="003E1327"/>
        </w:tc>
      </w:tr>
      <w:tr w:rsidR="003E1327" w:rsidTr="003E1327">
        <w:trPr>
          <w:trHeight w:val="694"/>
        </w:trPr>
        <w:tc>
          <w:tcPr>
            <w:tcW w:w="2235" w:type="dxa"/>
            <w:vAlign w:val="center"/>
          </w:tcPr>
          <w:p w:rsidR="003E1327" w:rsidRPr="003E1327" w:rsidRDefault="003E1327" w:rsidP="003E1327">
            <w:pPr>
              <w:jc w:val="right"/>
              <w:rPr>
                <w:b/>
              </w:rPr>
            </w:pPr>
            <w:r w:rsidRPr="003E1327">
              <w:rPr>
                <w:b/>
              </w:rPr>
              <w:t>Name of Programme</w:t>
            </w:r>
          </w:p>
        </w:tc>
        <w:tc>
          <w:tcPr>
            <w:tcW w:w="5811" w:type="dxa"/>
          </w:tcPr>
          <w:p w:rsidR="003E1327" w:rsidRDefault="003E1327"/>
        </w:tc>
      </w:tr>
    </w:tbl>
    <w:p w:rsidR="003E1327" w:rsidRDefault="003E1327"/>
    <w:p w:rsidR="003E1327" w:rsidRDefault="003E1327"/>
    <w:tbl>
      <w:tblPr>
        <w:tblStyle w:val="TableGrid"/>
        <w:tblW w:w="0" w:type="auto"/>
        <w:tblLook w:val="04A0" w:firstRow="1" w:lastRow="0" w:firstColumn="1" w:lastColumn="0" w:noHBand="0" w:noVBand="1"/>
      </w:tblPr>
      <w:tblGrid>
        <w:gridCol w:w="2929"/>
        <w:gridCol w:w="4716"/>
      </w:tblGrid>
      <w:tr w:rsidR="003E1327" w:rsidTr="005D4BED">
        <w:trPr>
          <w:trHeight w:val="517"/>
        </w:trPr>
        <w:tc>
          <w:tcPr>
            <w:tcW w:w="7645" w:type="dxa"/>
            <w:gridSpan w:val="2"/>
            <w:shd w:val="clear" w:color="auto" w:fill="C2D69B" w:themeFill="accent3" w:themeFillTint="99"/>
            <w:vAlign w:val="center"/>
          </w:tcPr>
          <w:p w:rsidR="003E1327" w:rsidRPr="005D4BED" w:rsidRDefault="00BE2A7A" w:rsidP="000757B9">
            <w:pPr>
              <w:jc w:val="center"/>
              <w:rPr>
                <w:b/>
              </w:rPr>
            </w:pPr>
            <w:r w:rsidRPr="005D4BED">
              <w:rPr>
                <w:b/>
              </w:rPr>
              <w:t>Criterion 1: Programme d</w:t>
            </w:r>
            <w:r w:rsidR="003E1327" w:rsidRPr="005D4BED">
              <w:rPr>
                <w:b/>
              </w:rPr>
              <w:t>esign</w:t>
            </w:r>
            <w:r w:rsidR="00AD7576" w:rsidRPr="005D4BED">
              <w:rPr>
                <w:b/>
              </w:rPr>
              <w:t>- Input</w:t>
            </w:r>
          </w:p>
          <w:p w:rsidR="000757B9" w:rsidRPr="005D4BED" w:rsidRDefault="000757B9" w:rsidP="000757B9">
            <w:pPr>
              <w:jc w:val="center"/>
              <w:rPr>
                <w:b/>
              </w:rPr>
            </w:pPr>
          </w:p>
          <w:p w:rsidR="000757B9" w:rsidRPr="005D4BED" w:rsidRDefault="000757B9" w:rsidP="000757B9">
            <w:pPr>
              <w:rPr>
                <w:sz w:val="18"/>
              </w:rPr>
            </w:pPr>
            <w:r w:rsidRPr="005D4BED">
              <w:rPr>
                <w:sz w:val="18"/>
              </w:rPr>
              <w:t>The programme is consonant with the institution’s mission, forms part of institutional planning and resource allocation, meets national requirements, the needs of students and other stakeholders, and is intellectually credible. It is designed coherently and articulates well with other relevant programmes, where possible.</w:t>
            </w:r>
          </w:p>
          <w:p w:rsidR="000757B9" w:rsidRPr="000757B9" w:rsidRDefault="000757B9" w:rsidP="000757B9">
            <w:pPr>
              <w:jc w:val="center"/>
              <w:rPr>
                <w:b/>
              </w:rPr>
            </w:pPr>
          </w:p>
        </w:tc>
      </w:tr>
      <w:tr w:rsidR="003E1327" w:rsidRPr="003E1327" w:rsidTr="000757B9">
        <w:trPr>
          <w:trHeight w:val="553"/>
        </w:trPr>
        <w:tc>
          <w:tcPr>
            <w:tcW w:w="0" w:type="auto"/>
            <w:vAlign w:val="center"/>
          </w:tcPr>
          <w:p w:rsidR="003E1327" w:rsidRPr="003E1327" w:rsidRDefault="003E1327" w:rsidP="000757B9">
            <w:pPr>
              <w:jc w:val="center"/>
              <w:rPr>
                <w:b/>
              </w:rPr>
            </w:pPr>
            <w:r>
              <w:rPr>
                <w:b/>
              </w:rPr>
              <w:t>Information Required:</w:t>
            </w:r>
          </w:p>
        </w:tc>
        <w:tc>
          <w:tcPr>
            <w:tcW w:w="4716" w:type="dxa"/>
          </w:tcPr>
          <w:p w:rsidR="003E1327" w:rsidRPr="003E1327" w:rsidRDefault="003E1327">
            <w:pPr>
              <w:rPr>
                <w:b/>
              </w:rPr>
            </w:pPr>
          </w:p>
        </w:tc>
      </w:tr>
      <w:tr w:rsidR="003E1327" w:rsidTr="000757B9">
        <w:tc>
          <w:tcPr>
            <w:tcW w:w="0" w:type="auto"/>
            <w:vAlign w:val="center"/>
          </w:tcPr>
          <w:p w:rsidR="000757B9" w:rsidRDefault="000757B9" w:rsidP="000757B9">
            <w:pPr>
              <w:jc w:val="center"/>
              <w:rPr>
                <w:b/>
              </w:rPr>
            </w:pPr>
          </w:p>
          <w:p w:rsidR="003E1327" w:rsidRPr="003E1327" w:rsidRDefault="003E1327" w:rsidP="000757B9">
            <w:pPr>
              <w:jc w:val="center"/>
              <w:rPr>
                <w:b/>
              </w:rPr>
            </w:pPr>
            <w:r w:rsidRPr="003E1327">
              <w:rPr>
                <w:b/>
              </w:rPr>
              <w:t>Preliminary Analysis</w:t>
            </w:r>
            <w:r w:rsidR="0035026E">
              <w:rPr>
                <w:b/>
              </w:rPr>
              <w:t>:</w:t>
            </w:r>
          </w:p>
          <w:p w:rsidR="003E1327" w:rsidRDefault="003E1327" w:rsidP="000757B9">
            <w:pPr>
              <w:jc w:val="center"/>
            </w:pPr>
          </w:p>
          <w:p w:rsidR="003E1327" w:rsidRDefault="003E1327" w:rsidP="000757B9">
            <w:pPr>
              <w:jc w:val="center"/>
            </w:pPr>
          </w:p>
        </w:tc>
        <w:tc>
          <w:tcPr>
            <w:tcW w:w="4716" w:type="dxa"/>
          </w:tcPr>
          <w:p w:rsidR="003E1327" w:rsidRDefault="003E1327"/>
        </w:tc>
      </w:tr>
      <w:tr w:rsidR="003E1327" w:rsidTr="000757B9">
        <w:tc>
          <w:tcPr>
            <w:tcW w:w="0" w:type="auto"/>
            <w:vAlign w:val="center"/>
          </w:tcPr>
          <w:p w:rsidR="003E1327" w:rsidRDefault="000757B9" w:rsidP="000757B9">
            <w:pPr>
              <w:jc w:val="center"/>
              <w:rPr>
                <w:b/>
              </w:rPr>
            </w:pPr>
            <w:r w:rsidRPr="000757B9">
              <w:rPr>
                <w:b/>
              </w:rPr>
              <w:t>INSTITUTION’S OWN RATING:</w:t>
            </w:r>
          </w:p>
          <w:p w:rsidR="000757B9" w:rsidRPr="000757B9" w:rsidRDefault="000757B9" w:rsidP="000757B9">
            <w:pPr>
              <w:jc w:val="center"/>
              <w:rPr>
                <w:b/>
              </w:rPr>
            </w:pPr>
          </w:p>
        </w:tc>
        <w:tc>
          <w:tcPr>
            <w:tcW w:w="4716" w:type="dxa"/>
          </w:tcPr>
          <w:p w:rsidR="003E1327" w:rsidRDefault="003E1327"/>
        </w:tc>
      </w:tr>
    </w:tbl>
    <w:p w:rsidR="00D02368" w:rsidRDefault="00D02368"/>
    <w:p w:rsidR="0051362A" w:rsidRDefault="0051362A"/>
    <w:p w:rsidR="00BE2A7A" w:rsidRDefault="00BE2A7A"/>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C2D69B" w:themeFill="accent3" w:themeFillTint="99"/>
            <w:vAlign w:val="center"/>
          </w:tcPr>
          <w:p w:rsidR="0051362A" w:rsidRPr="005D4BED" w:rsidRDefault="0051362A" w:rsidP="00324256">
            <w:pPr>
              <w:jc w:val="center"/>
              <w:rPr>
                <w:b/>
              </w:rPr>
            </w:pPr>
            <w:r w:rsidRPr="005D4BED">
              <w:rPr>
                <w:b/>
              </w:rPr>
              <w:t>Criterion 1</w:t>
            </w:r>
            <w:r w:rsidR="00BE2A7A" w:rsidRPr="005D4BED">
              <w:rPr>
                <w:b/>
              </w:rPr>
              <w:t>0: Programme c</w:t>
            </w:r>
            <w:r w:rsidRPr="005D4BED">
              <w:rPr>
                <w:b/>
              </w:rPr>
              <w:t>oordination</w:t>
            </w:r>
            <w:r w:rsidR="00AD7576" w:rsidRPr="005D4BED">
              <w:rPr>
                <w:b/>
              </w:rPr>
              <w:t>- Process</w:t>
            </w:r>
          </w:p>
          <w:p w:rsidR="0051362A" w:rsidRPr="005D4BED" w:rsidRDefault="0051362A" w:rsidP="00324256">
            <w:pPr>
              <w:jc w:val="center"/>
              <w:rPr>
                <w:b/>
              </w:rPr>
            </w:pPr>
          </w:p>
          <w:p w:rsidR="0051362A" w:rsidRPr="0051362A" w:rsidRDefault="0051362A" w:rsidP="0051362A">
            <w:pPr>
              <w:rPr>
                <w:rFonts w:cstheme="minorHAnsi"/>
                <w:sz w:val="18"/>
              </w:rPr>
            </w:pPr>
            <w:r w:rsidRPr="0051362A">
              <w:rPr>
                <w:rFonts w:cstheme="minorHAnsi"/>
                <w:sz w:val="18"/>
              </w:rPr>
              <w:t xml:space="preserve">The programme is effectively coordinated in order to facilitate the attainment of its intended purposes and outcomes. </w:t>
            </w:r>
          </w:p>
          <w:p w:rsidR="0051362A" w:rsidRDefault="0051362A" w:rsidP="00324256">
            <w:pPr>
              <w:jc w:val="center"/>
              <w:rPr>
                <w:b/>
              </w:rPr>
            </w:pPr>
          </w:p>
          <w:p w:rsidR="0051362A" w:rsidRPr="000757B9" w:rsidRDefault="0051362A" w:rsidP="0051362A">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lastRenderedPageBreak/>
              <w:t>INSTITUTION’S OWN RATING:</w:t>
            </w:r>
          </w:p>
          <w:p w:rsidR="0051362A" w:rsidRPr="000757B9" w:rsidRDefault="0051362A" w:rsidP="00324256">
            <w:pPr>
              <w:jc w:val="center"/>
              <w:rPr>
                <w:b/>
              </w:rPr>
            </w:pPr>
          </w:p>
        </w:tc>
        <w:tc>
          <w:tcPr>
            <w:tcW w:w="4716" w:type="dxa"/>
          </w:tcPr>
          <w:p w:rsidR="0051362A" w:rsidRDefault="0051362A" w:rsidP="00324256"/>
        </w:tc>
      </w:tr>
    </w:tbl>
    <w:p w:rsidR="00BE2A7A" w:rsidRDefault="00BE2A7A"/>
    <w:tbl>
      <w:tblPr>
        <w:tblStyle w:val="TableGrid"/>
        <w:tblW w:w="0" w:type="auto"/>
        <w:tblLook w:val="04A0" w:firstRow="1" w:lastRow="0" w:firstColumn="1" w:lastColumn="0" w:noHBand="0" w:noVBand="1"/>
      </w:tblPr>
      <w:tblGrid>
        <w:gridCol w:w="2929"/>
        <w:gridCol w:w="4716"/>
      </w:tblGrid>
      <w:tr w:rsidR="00BE2A7A" w:rsidTr="005D4BED">
        <w:trPr>
          <w:trHeight w:val="517"/>
        </w:trPr>
        <w:tc>
          <w:tcPr>
            <w:tcW w:w="7645" w:type="dxa"/>
            <w:gridSpan w:val="2"/>
            <w:shd w:val="clear" w:color="auto" w:fill="FABF8F" w:themeFill="accent6" w:themeFillTint="99"/>
            <w:vAlign w:val="center"/>
          </w:tcPr>
          <w:p w:rsidR="00BE2A7A" w:rsidRPr="005D4BED" w:rsidRDefault="00BE2A7A" w:rsidP="00BD109B">
            <w:pPr>
              <w:jc w:val="center"/>
              <w:rPr>
                <w:b/>
              </w:rPr>
            </w:pPr>
            <w:r w:rsidRPr="005D4BED">
              <w:rPr>
                <w:b/>
              </w:rPr>
              <w:t>Criterion 2: Student recruitment, admission and selection</w:t>
            </w:r>
            <w:r w:rsidR="00AD7576" w:rsidRPr="005D4BED">
              <w:rPr>
                <w:b/>
              </w:rPr>
              <w:t>- Input</w:t>
            </w:r>
          </w:p>
          <w:p w:rsidR="00BE2A7A" w:rsidRPr="005D4BED" w:rsidRDefault="00BE2A7A" w:rsidP="00BE2A7A">
            <w:pPr>
              <w:rPr>
                <w:b/>
              </w:rPr>
            </w:pPr>
          </w:p>
          <w:p w:rsidR="00BE2A7A" w:rsidRPr="00BE2A7A" w:rsidRDefault="00BE2A7A" w:rsidP="00BE2A7A">
            <w:pPr>
              <w:jc w:val="both"/>
              <w:rPr>
                <w:sz w:val="18"/>
              </w:rPr>
            </w:pPr>
            <w:r w:rsidRPr="00BE2A7A">
              <w:rPr>
                <w:sz w:val="18"/>
              </w:rPr>
              <w:t>Recruitment documentation informs potential students of the programme accurately and admission adheres to current legislation. Admission and selection of students are commensurate with the programme’s academic requirements, within a framework of widened access and equity. The number of students takes into account the programme’s intended learning outcomes, its capacity to offer good quality education and in the case of professional and vocational programmes, the needs of the particular profession.</w:t>
            </w:r>
          </w:p>
          <w:p w:rsidR="00BE2A7A" w:rsidRPr="000757B9" w:rsidRDefault="00BE2A7A" w:rsidP="00BE2A7A">
            <w:pPr>
              <w:rPr>
                <w:b/>
              </w:rPr>
            </w:pPr>
          </w:p>
        </w:tc>
      </w:tr>
      <w:tr w:rsidR="00BE2A7A" w:rsidRPr="003E1327" w:rsidTr="00324256">
        <w:trPr>
          <w:trHeight w:val="553"/>
        </w:trPr>
        <w:tc>
          <w:tcPr>
            <w:tcW w:w="0" w:type="auto"/>
            <w:vAlign w:val="center"/>
          </w:tcPr>
          <w:p w:rsidR="00BE2A7A" w:rsidRPr="003E1327" w:rsidRDefault="00BE2A7A" w:rsidP="00324256">
            <w:pPr>
              <w:jc w:val="center"/>
              <w:rPr>
                <w:b/>
              </w:rPr>
            </w:pPr>
            <w:r>
              <w:rPr>
                <w:b/>
              </w:rPr>
              <w:t>Information Required:</w:t>
            </w:r>
          </w:p>
        </w:tc>
        <w:tc>
          <w:tcPr>
            <w:tcW w:w="4716" w:type="dxa"/>
          </w:tcPr>
          <w:p w:rsidR="00BE2A7A" w:rsidRPr="003E1327" w:rsidRDefault="00BE2A7A" w:rsidP="00324256">
            <w:pPr>
              <w:rPr>
                <w:b/>
              </w:rPr>
            </w:pPr>
          </w:p>
        </w:tc>
      </w:tr>
      <w:tr w:rsidR="00BE2A7A" w:rsidTr="00324256">
        <w:tc>
          <w:tcPr>
            <w:tcW w:w="0" w:type="auto"/>
            <w:vAlign w:val="center"/>
          </w:tcPr>
          <w:p w:rsidR="00BE2A7A" w:rsidRDefault="00BE2A7A" w:rsidP="00324256">
            <w:pPr>
              <w:jc w:val="center"/>
              <w:rPr>
                <w:b/>
              </w:rPr>
            </w:pPr>
          </w:p>
          <w:p w:rsidR="00BE2A7A" w:rsidRPr="003E1327" w:rsidRDefault="00BE2A7A" w:rsidP="00324256">
            <w:pPr>
              <w:jc w:val="center"/>
              <w:rPr>
                <w:b/>
              </w:rPr>
            </w:pPr>
            <w:r w:rsidRPr="003E1327">
              <w:rPr>
                <w:b/>
              </w:rPr>
              <w:t>Preliminary Analysis</w:t>
            </w:r>
          </w:p>
          <w:p w:rsidR="00BE2A7A" w:rsidRDefault="00BE2A7A" w:rsidP="00324256">
            <w:pPr>
              <w:jc w:val="center"/>
            </w:pPr>
          </w:p>
          <w:p w:rsidR="00BE2A7A" w:rsidRDefault="00BE2A7A" w:rsidP="00324256">
            <w:pPr>
              <w:jc w:val="center"/>
            </w:pPr>
          </w:p>
        </w:tc>
        <w:tc>
          <w:tcPr>
            <w:tcW w:w="4716" w:type="dxa"/>
          </w:tcPr>
          <w:p w:rsidR="00BE2A7A" w:rsidRDefault="00BE2A7A" w:rsidP="00324256"/>
        </w:tc>
      </w:tr>
      <w:tr w:rsidR="00BE2A7A" w:rsidTr="00324256">
        <w:tc>
          <w:tcPr>
            <w:tcW w:w="0" w:type="auto"/>
            <w:vAlign w:val="center"/>
          </w:tcPr>
          <w:p w:rsidR="00BE2A7A" w:rsidRDefault="00BE2A7A" w:rsidP="00324256">
            <w:pPr>
              <w:jc w:val="center"/>
              <w:rPr>
                <w:b/>
              </w:rPr>
            </w:pPr>
            <w:r w:rsidRPr="000757B9">
              <w:rPr>
                <w:b/>
              </w:rPr>
              <w:t>INSTITUTION’S OWN RATING:</w:t>
            </w:r>
          </w:p>
          <w:p w:rsidR="00BE2A7A" w:rsidRPr="000757B9" w:rsidRDefault="00BE2A7A" w:rsidP="00324256">
            <w:pPr>
              <w:jc w:val="center"/>
              <w:rPr>
                <w:b/>
              </w:rPr>
            </w:pPr>
          </w:p>
        </w:tc>
        <w:tc>
          <w:tcPr>
            <w:tcW w:w="4716" w:type="dxa"/>
          </w:tcPr>
          <w:p w:rsidR="00BE2A7A" w:rsidRDefault="00BE2A7A" w:rsidP="00324256"/>
        </w:tc>
      </w:tr>
    </w:tbl>
    <w:p w:rsidR="0051362A" w:rsidRDefault="0051362A"/>
    <w:p w:rsidR="0051362A" w:rsidRDefault="0051362A"/>
    <w:p w:rsidR="00ED4326" w:rsidRDefault="00ED4326"/>
    <w:p w:rsidR="00ED4326" w:rsidRDefault="00ED4326"/>
    <w:p w:rsidR="00ED4326" w:rsidRDefault="00ED4326"/>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FABF8F" w:themeFill="accent6" w:themeFillTint="99"/>
            <w:vAlign w:val="center"/>
          </w:tcPr>
          <w:p w:rsidR="0051362A" w:rsidRPr="005D4BED" w:rsidRDefault="0051362A" w:rsidP="0051362A">
            <w:pPr>
              <w:jc w:val="center"/>
              <w:rPr>
                <w:b/>
              </w:rPr>
            </w:pPr>
            <w:r w:rsidRPr="005D4BED">
              <w:rPr>
                <w:b/>
              </w:rPr>
              <w:t xml:space="preserve">Criterion 17: </w:t>
            </w:r>
            <w:r w:rsidR="00D86ACE" w:rsidRPr="005D4BED">
              <w:rPr>
                <w:b/>
              </w:rPr>
              <w:t>Student retention and throughput rates</w:t>
            </w:r>
            <w:r w:rsidR="00AD7576" w:rsidRPr="005D4BED">
              <w:rPr>
                <w:b/>
              </w:rPr>
              <w:t xml:space="preserve"> – Output and Impact</w:t>
            </w:r>
          </w:p>
          <w:p w:rsidR="00D86ACE" w:rsidRPr="005D4BED" w:rsidRDefault="00D86ACE" w:rsidP="0051362A">
            <w:pPr>
              <w:jc w:val="center"/>
              <w:rPr>
                <w:b/>
              </w:rPr>
            </w:pPr>
          </w:p>
          <w:p w:rsidR="00D86ACE" w:rsidRPr="00D86ACE" w:rsidRDefault="00D86ACE" w:rsidP="00D86ACE">
            <w:pPr>
              <w:rPr>
                <w:rStyle w:val="Strong"/>
                <w:rFonts w:eastAsiaTheme="minorEastAsia" w:cstheme="minorHAnsi"/>
                <w:bCs w:val="0"/>
                <w:smallCaps/>
                <w:sz w:val="20"/>
                <w:szCs w:val="24"/>
              </w:rPr>
            </w:pPr>
            <w:r w:rsidRPr="00D86ACE">
              <w:rPr>
                <w:rFonts w:cstheme="minorHAnsi"/>
                <w:sz w:val="18"/>
              </w:rPr>
              <w:t>Student retention and throughput rates in the programme are monitored, especially in terms of race and gender equity, and remedial measures are taken, where necessary.</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ED4326" w:rsidRDefault="00ED4326"/>
    <w:p w:rsidR="00ED4326" w:rsidRDefault="00ED4326"/>
    <w:p w:rsidR="00ED4326" w:rsidRDefault="00ED4326"/>
    <w:p w:rsidR="00ED4326" w:rsidRDefault="00ED4326"/>
    <w:p w:rsidR="00ED4326" w:rsidRDefault="00ED4326"/>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8DB3E2" w:themeFill="text2" w:themeFillTint="66"/>
            <w:vAlign w:val="center"/>
          </w:tcPr>
          <w:p w:rsidR="00D86ACE" w:rsidRPr="005D4BED" w:rsidRDefault="0051362A" w:rsidP="00D86ACE">
            <w:pPr>
              <w:jc w:val="center"/>
              <w:rPr>
                <w:b/>
              </w:rPr>
            </w:pPr>
            <w:r w:rsidRPr="005D4BED">
              <w:rPr>
                <w:b/>
              </w:rPr>
              <w:t xml:space="preserve">Criterion 3: </w:t>
            </w:r>
            <w:r w:rsidR="00D86ACE" w:rsidRPr="005D4BED">
              <w:rPr>
                <w:b/>
              </w:rPr>
              <w:t>Staffing</w:t>
            </w:r>
            <w:r w:rsidR="00AD7576" w:rsidRPr="005D4BED">
              <w:rPr>
                <w:b/>
              </w:rPr>
              <w:t xml:space="preserve"> - Input</w:t>
            </w:r>
          </w:p>
          <w:p w:rsidR="0051362A" w:rsidRDefault="0051362A" w:rsidP="00324256">
            <w:pPr>
              <w:jc w:val="center"/>
              <w:rPr>
                <w:b/>
              </w:rPr>
            </w:pPr>
          </w:p>
          <w:p w:rsidR="00D86ACE" w:rsidRPr="00D86ACE" w:rsidRDefault="00D86ACE" w:rsidP="00D86ACE">
            <w:pPr>
              <w:rPr>
                <w:rFonts w:cstheme="minorHAnsi"/>
                <w:sz w:val="18"/>
              </w:rPr>
            </w:pPr>
            <w:r w:rsidRPr="00D86ACE">
              <w:rPr>
                <w:rFonts w:cstheme="minorHAnsi"/>
                <w:sz w:val="18"/>
              </w:rPr>
              <w:t xml:space="preserve">Academic staff responsible for the programme, are suitably qualified and have sufficient relevant experience and teaching competence, and their assessment competence and research profile are adequate for the nature and level of the programme. The institution and/or other recognised agencies contracted by the institution provide opportunities for academic staff to enhance their competences and to support their professional growth and development. </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8DB3E2" w:themeFill="text2" w:themeFillTint="66"/>
            <w:vAlign w:val="center"/>
          </w:tcPr>
          <w:p w:rsidR="0051362A" w:rsidRPr="005D4BED" w:rsidRDefault="0051362A" w:rsidP="00D86ACE">
            <w:pPr>
              <w:jc w:val="center"/>
              <w:rPr>
                <w:b/>
              </w:rPr>
            </w:pPr>
            <w:r w:rsidRPr="005D4BED">
              <w:rPr>
                <w:b/>
              </w:rPr>
              <w:t>Criterion 4:</w:t>
            </w:r>
            <w:r w:rsidR="00D86ACE" w:rsidRPr="005D4BED">
              <w:rPr>
                <w:b/>
              </w:rPr>
              <w:t xml:space="preserve"> Staffing</w:t>
            </w:r>
            <w:r w:rsidR="00AD7576" w:rsidRPr="005D4BED">
              <w:rPr>
                <w:b/>
              </w:rPr>
              <w:t>- Input</w:t>
            </w:r>
          </w:p>
          <w:p w:rsidR="00D86ACE" w:rsidRPr="005D4BED" w:rsidRDefault="00D86ACE" w:rsidP="00D86ACE">
            <w:pPr>
              <w:jc w:val="center"/>
              <w:rPr>
                <w:b/>
              </w:rPr>
            </w:pPr>
          </w:p>
          <w:p w:rsidR="00D86ACE" w:rsidRPr="00D86ACE" w:rsidRDefault="00D86ACE" w:rsidP="00D86ACE">
            <w:pPr>
              <w:rPr>
                <w:rFonts w:cstheme="minorHAnsi"/>
                <w:sz w:val="18"/>
                <w:szCs w:val="20"/>
              </w:rPr>
            </w:pPr>
            <w:r w:rsidRPr="00D86ACE">
              <w:rPr>
                <w:rFonts w:cstheme="minorHAnsi"/>
                <w:sz w:val="18"/>
                <w:szCs w:val="20"/>
              </w:rPr>
              <w:t xml:space="preserve">The academic and support staff complement is of sufficient size and seniority for the nature and field of the programme and the size of the student body to ensure that all activities related to the programme can be carried out effectively. The ratio of full-time to part-time staff is appropriate. The recruitment and employment of staff follows relevant legislation and appropriate administrative procedures, including redress and equity considerations. Support </w:t>
            </w:r>
            <w:proofErr w:type="gramStart"/>
            <w:r w:rsidRPr="00D86ACE">
              <w:rPr>
                <w:rFonts w:cstheme="minorHAnsi"/>
                <w:sz w:val="18"/>
                <w:szCs w:val="20"/>
              </w:rPr>
              <w:t>staff are</w:t>
            </w:r>
            <w:proofErr w:type="gramEnd"/>
            <w:r w:rsidRPr="00D86ACE">
              <w:rPr>
                <w:rFonts w:cstheme="minorHAnsi"/>
                <w:sz w:val="18"/>
                <w:szCs w:val="20"/>
              </w:rPr>
              <w:t xml:space="preserve"> adequately qualified and their knowledge and skills are regularly updated. </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51362A" w:rsidRDefault="0051362A"/>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8DB3E2" w:themeFill="text2" w:themeFillTint="66"/>
            <w:vAlign w:val="center"/>
          </w:tcPr>
          <w:p w:rsidR="0051362A" w:rsidRPr="005D4BED" w:rsidRDefault="0051362A" w:rsidP="00324256">
            <w:pPr>
              <w:jc w:val="center"/>
              <w:rPr>
                <w:b/>
              </w:rPr>
            </w:pPr>
            <w:r w:rsidRPr="005D4BED">
              <w:rPr>
                <w:b/>
              </w:rPr>
              <w:t xml:space="preserve">Criterion 11: </w:t>
            </w:r>
            <w:r w:rsidR="00AD7576" w:rsidRPr="005D4BED">
              <w:rPr>
                <w:b/>
              </w:rPr>
              <w:t>Academic development for student success - Process</w:t>
            </w:r>
          </w:p>
          <w:p w:rsidR="00D86ACE" w:rsidRPr="005D4BED" w:rsidRDefault="00D86ACE" w:rsidP="00324256">
            <w:pPr>
              <w:jc w:val="center"/>
              <w:rPr>
                <w:b/>
              </w:rPr>
            </w:pPr>
          </w:p>
          <w:p w:rsidR="0051362A" w:rsidRDefault="00D86ACE" w:rsidP="00D86ACE">
            <w:pPr>
              <w:rPr>
                <w:b/>
                <w:sz w:val="18"/>
              </w:rPr>
            </w:pPr>
            <w:r w:rsidRPr="00D86ACE">
              <w:rPr>
                <w:rFonts w:cstheme="minorHAnsi"/>
                <w:sz w:val="18"/>
              </w:rPr>
              <w:t>Academic development initiatives promote student, staff and curriculum development and offer academic support for students, where necessary.</w:t>
            </w:r>
          </w:p>
          <w:p w:rsidR="00D86ACE" w:rsidRPr="00D86ACE" w:rsidRDefault="00D86ACE" w:rsidP="00D86ACE">
            <w:pPr>
              <w:rPr>
                <w:b/>
                <w:sz w:val="18"/>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lastRenderedPageBreak/>
              <w:t>INSTITUTION’S OWN RATING:</w:t>
            </w:r>
          </w:p>
          <w:p w:rsidR="0051362A" w:rsidRPr="000757B9" w:rsidRDefault="0051362A" w:rsidP="00324256">
            <w:pPr>
              <w:jc w:val="center"/>
              <w:rPr>
                <w:b/>
              </w:rPr>
            </w:pPr>
          </w:p>
        </w:tc>
        <w:tc>
          <w:tcPr>
            <w:tcW w:w="4716" w:type="dxa"/>
          </w:tcPr>
          <w:p w:rsidR="0051362A" w:rsidRDefault="0051362A" w:rsidP="00324256"/>
        </w:tc>
      </w:tr>
    </w:tbl>
    <w:p w:rsidR="00BE2A7A" w:rsidRDefault="00BE2A7A"/>
    <w:p w:rsidR="00BE2A7A" w:rsidRDefault="00BE2A7A"/>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E5B8B7" w:themeFill="accent2" w:themeFillTint="66"/>
            <w:vAlign w:val="center"/>
          </w:tcPr>
          <w:p w:rsidR="0051362A" w:rsidRPr="005D4BED" w:rsidRDefault="0051362A" w:rsidP="00324256">
            <w:pPr>
              <w:jc w:val="center"/>
              <w:rPr>
                <w:b/>
              </w:rPr>
            </w:pPr>
            <w:r w:rsidRPr="005D4BED">
              <w:rPr>
                <w:b/>
              </w:rPr>
              <w:t>Criterion 5:</w:t>
            </w:r>
            <w:r w:rsidR="00D86ACE" w:rsidRPr="005D4BED">
              <w:rPr>
                <w:b/>
              </w:rPr>
              <w:t xml:space="preserve"> </w:t>
            </w:r>
            <w:r w:rsidR="00AD7576" w:rsidRPr="005D4BED">
              <w:rPr>
                <w:b/>
              </w:rPr>
              <w:t>Teaching and learning strategy - Input</w:t>
            </w:r>
          </w:p>
          <w:p w:rsidR="00D86ACE" w:rsidRPr="005D4BED" w:rsidRDefault="00D86ACE" w:rsidP="00324256">
            <w:pPr>
              <w:jc w:val="center"/>
              <w:rPr>
                <w:b/>
              </w:rPr>
            </w:pPr>
          </w:p>
          <w:p w:rsidR="00D86ACE" w:rsidRPr="00D86ACE" w:rsidRDefault="00D86ACE" w:rsidP="00D86ACE">
            <w:pPr>
              <w:rPr>
                <w:rFonts w:cstheme="minorHAnsi"/>
                <w:sz w:val="18"/>
              </w:rPr>
            </w:pPr>
            <w:r w:rsidRPr="00D86ACE">
              <w:rPr>
                <w:rFonts w:cstheme="minorHAnsi"/>
                <w:sz w:val="18"/>
              </w:rPr>
              <w:t>The institution gives recognition to the importance of promoting student learning. The teaching and learning strategy is appropriate for the institutional type (as reflected in its mission), mode(s) of delivery and student composition, contains mechanisms to ensure the appropriateness of teaching and learning methods, and makes provision for staff to upgrade their teaching methods. The strategy sets targets, plans for implementation, and mechanisms to monitor progress, evaluate impact and effect improvement.</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51362A" w:rsidRDefault="0051362A"/>
    <w:p w:rsidR="00BE2A7A" w:rsidRDefault="00BE2A7A"/>
    <w:p w:rsidR="00ED4326" w:rsidRDefault="00ED4326"/>
    <w:p w:rsidR="00ED4326" w:rsidRDefault="00ED4326"/>
    <w:p w:rsidR="0051362A" w:rsidRDefault="0051362A"/>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E5B8B7" w:themeFill="accent2" w:themeFillTint="66"/>
            <w:vAlign w:val="center"/>
          </w:tcPr>
          <w:p w:rsidR="0051362A" w:rsidRPr="005D4BED" w:rsidRDefault="0051362A" w:rsidP="0051362A">
            <w:pPr>
              <w:jc w:val="center"/>
              <w:rPr>
                <w:b/>
              </w:rPr>
            </w:pPr>
            <w:r w:rsidRPr="005D4BED">
              <w:rPr>
                <w:b/>
              </w:rPr>
              <w:t>Criterion 12:</w:t>
            </w:r>
            <w:r w:rsidR="00AD7576" w:rsidRPr="005D4BED">
              <w:rPr>
                <w:b/>
              </w:rPr>
              <w:t xml:space="preserve"> Teaching and learning interaction – Process and review</w:t>
            </w:r>
          </w:p>
          <w:p w:rsidR="00D86ACE" w:rsidRDefault="00D86ACE" w:rsidP="0051362A">
            <w:pPr>
              <w:jc w:val="center"/>
              <w:rPr>
                <w:b/>
              </w:rPr>
            </w:pPr>
          </w:p>
          <w:p w:rsidR="00D86ACE" w:rsidRPr="00D86ACE" w:rsidRDefault="00D86ACE" w:rsidP="00D86ACE">
            <w:pPr>
              <w:rPr>
                <w:rFonts w:cs="Times New Roman"/>
                <w:sz w:val="18"/>
                <w:szCs w:val="20"/>
              </w:rPr>
            </w:pPr>
            <w:r w:rsidRPr="00D86ACE">
              <w:rPr>
                <w:rFonts w:cs="Times New Roman"/>
                <w:sz w:val="18"/>
                <w:szCs w:val="20"/>
              </w:rPr>
              <w:t xml:space="preserve">Effective teaching and learning methods and suitable learning materials and learning opportunities facilitate the achievement of the purposes and outcomes of the programme. </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BE2A7A" w:rsidRDefault="00BE2A7A"/>
    <w:p w:rsidR="00BE2A7A" w:rsidRDefault="00BE2A7A"/>
    <w:p w:rsidR="00BE2A7A" w:rsidRDefault="00BE2A7A"/>
    <w:p w:rsidR="00BE2A7A" w:rsidRDefault="00BE2A7A"/>
    <w:p w:rsidR="00BE2A7A" w:rsidRDefault="00BE2A7A"/>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C4BC96" w:themeFill="background2" w:themeFillShade="BF"/>
            <w:vAlign w:val="center"/>
          </w:tcPr>
          <w:p w:rsidR="0051362A" w:rsidRPr="005D4BED" w:rsidRDefault="0051362A" w:rsidP="0051362A">
            <w:pPr>
              <w:jc w:val="center"/>
              <w:rPr>
                <w:b/>
              </w:rPr>
            </w:pPr>
            <w:r w:rsidRPr="005D4BED">
              <w:rPr>
                <w:b/>
              </w:rPr>
              <w:t>Criterion 6:</w:t>
            </w:r>
            <w:r w:rsidR="00AD7576" w:rsidRPr="005D4BED">
              <w:rPr>
                <w:b/>
              </w:rPr>
              <w:t xml:space="preserve"> Student assessment policies and practices - Input</w:t>
            </w:r>
          </w:p>
          <w:p w:rsidR="00D86ACE" w:rsidRPr="00BD109B" w:rsidRDefault="00D86ACE" w:rsidP="00D86ACE">
            <w:pPr>
              <w:rPr>
                <w:rFonts w:cstheme="minorHAnsi"/>
                <w:color w:val="948A54" w:themeColor="background2" w:themeShade="80"/>
                <w:sz w:val="20"/>
                <w:szCs w:val="20"/>
              </w:rPr>
            </w:pPr>
          </w:p>
          <w:p w:rsidR="00D86ACE" w:rsidRPr="00D86ACE" w:rsidRDefault="00D86ACE" w:rsidP="00D86ACE">
            <w:pPr>
              <w:rPr>
                <w:rFonts w:cstheme="minorHAnsi"/>
                <w:sz w:val="18"/>
                <w:szCs w:val="20"/>
              </w:rPr>
            </w:pPr>
            <w:r w:rsidRPr="00D86ACE">
              <w:rPr>
                <w:rFonts w:cstheme="minorHAnsi"/>
                <w:sz w:val="18"/>
                <w:szCs w:val="20"/>
              </w:rPr>
              <w:t xml:space="preserve">The different modes of delivery of the programme have appropriate policies and procedures for internal assessment; internal and external moderation; monitoring of student progress; explicitness, validity and reliability of assessment practices; recording of assessment results; settling of disputes; the rigour and security of the assessment system; RPL; and for the development of staff competence in assessment. </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ED4326" w:rsidRDefault="00ED4326"/>
    <w:tbl>
      <w:tblPr>
        <w:tblStyle w:val="TableGrid"/>
        <w:tblW w:w="0" w:type="auto"/>
        <w:tblLook w:val="04A0" w:firstRow="1" w:lastRow="0" w:firstColumn="1" w:lastColumn="0" w:noHBand="0" w:noVBand="1"/>
      </w:tblPr>
      <w:tblGrid>
        <w:gridCol w:w="2929"/>
        <w:gridCol w:w="4716"/>
      </w:tblGrid>
      <w:tr w:rsidR="0051362A" w:rsidTr="00ED4326">
        <w:trPr>
          <w:trHeight w:val="517"/>
        </w:trPr>
        <w:tc>
          <w:tcPr>
            <w:tcW w:w="7645" w:type="dxa"/>
            <w:gridSpan w:val="2"/>
            <w:shd w:val="clear" w:color="auto" w:fill="C4BC96" w:themeFill="background2" w:themeFillShade="BF"/>
            <w:vAlign w:val="center"/>
          </w:tcPr>
          <w:p w:rsidR="0051362A" w:rsidRPr="005D4BED" w:rsidRDefault="0051362A" w:rsidP="005D4BED">
            <w:pPr>
              <w:shd w:val="clear" w:color="auto" w:fill="C4BC96" w:themeFill="background2" w:themeFillShade="BF"/>
              <w:jc w:val="center"/>
              <w:rPr>
                <w:b/>
              </w:rPr>
            </w:pPr>
            <w:r w:rsidRPr="005D4BED">
              <w:rPr>
                <w:b/>
              </w:rPr>
              <w:t>Criterion 13:</w:t>
            </w:r>
            <w:r w:rsidR="00AD7576" w:rsidRPr="005D4BED">
              <w:rPr>
                <w:b/>
              </w:rPr>
              <w:t xml:space="preserve"> Student assessment policies and procedures - Process</w:t>
            </w:r>
          </w:p>
          <w:p w:rsidR="00D86ACE" w:rsidRPr="005D4BED" w:rsidRDefault="00D86ACE" w:rsidP="005D4BED">
            <w:pPr>
              <w:shd w:val="clear" w:color="auto" w:fill="C4BC96" w:themeFill="background2" w:themeFillShade="BF"/>
              <w:jc w:val="center"/>
              <w:rPr>
                <w:b/>
              </w:rPr>
            </w:pPr>
          </w:p>
          <w:p w:rsidR="00D86ACE" w:rsidRPr="00D86ACE" w:rsidRDefault="00D86ACE" w:rsidP="005D4BED">
            <w:pPr>
              <w:shd w:val="clear" w:color="auto" w:fill="C4BC96" w:themeFill="background2" w:themeFillShade="BF"/>
              <w:rPr>
                <w:rFonts w:cstheme="minorHAnsi"/>
                <w:sz w:val="18"/>
              </w:rPr>
            </w:pPr>
            <w:r w:rsidRPr="00D86ACE">
              <w:rPr>
                <w:rFonts w:cstheme="minorHAnsi"/>
                <w:sz w:val="18"/>
              </w:rPr>
              <w:t>The programme has effective assessment practices which include internal (or external) assessment, as well as internal and external moderation.</w:t>
            </w:r>
          </w:p>
          <w:p w:rsidR="0051362A" w:rsidRPr="000757B9" w:rsidRDefault="0051362A" w:rsidP="00324256">
            <w:pPr>
              <w:rPr>
                <w:b/>
              </w:rPr>
            </w:pPr>
          </w:p>
        </w:tc>
      </w:tr>
      <w:tr w:rsidR="0051362A" w:rsidRPr="003E1327" w:rsidTr="00ED432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ED432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ED432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ED4326" w:rsidRDefault="00ED4326"/>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C4BC96" w:themeFill="background2" w:themeFillShade="BF"/>
            <w:vAlign w:val="center"/>
          </w:tcPr>
          <w:p w:rsidR="0051362A" w:rsidRPr="005D4BED" w:rsidRDefault="0051362A" w:rsidP="0051362A">
            <w:pPr>
              <w:jc w:val="center"/>
              <w:rPr>
                <w:b/>
              </w:rPr>
            </w:pPr>
            <w:r w:rsidRPr="005D4BED">
              <w:rPr>
                <w:b/>
              </w:rPr>
              <w:t>Criterion 14:</w:t>
            </w:r>
            <w:r w:rsidR="00BD109B" w:rsidRPr="005D4BED">
              <w:rPr>
                <w:b/>
              </w:rPr>
              <w:t xml:space="preserve"> Student assessment policies and procedures - Process</w:t>
            </w:r>
          </w:p>
          <w:p w:rsidR="00D86ACE" w:rsidRDefault="00D86ACE" w:rsidP="0051362A">
            <w:pPr>
              <w:jc w:val="center"/>
              <w:rPr>
                <w:b/>
              </w:rPr>
            </w:pPr>
          </w:p>
          <w:p w:rsidR="00D86ACE" w:rsidRPr="006052EA" w:rsidRDefault="00D86ACE" w:rsidP="00D86ACE">
            <w:pPr>
              <w:rPr>
                <w:rFonts w:cstheme="minorHAnsi"/>
              </w:rPr>
            </w:pPr>
            <w:r w:rsidRPr="00D86ACE">
              <w:rPr>
                <w:rFonts w:cstheme="minorHAnsi"/>
                <w:sz w:val="18"/>
              </w:rPr>
              <w:t>The programme has taken measures to ensure the reliability, rigour and security of the assessment system</w:t>
            </w:r>
            <w:r w:rsidRPr="006052EA">
              <w:rPr>
                <w:rFonts w:cstheme="minorHAnsi"/>
              </w:rPr>
              <w:t xml:space="preserve">. </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lastRenderedPageBreak/>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D86ACE" w:rsidRDefault="00D86ACE"/>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A6A6A6" w:themeFill="background1" w:themeFillShade="A6"/>
            <w:vAlign w:val="center"/>
          </w:tcPr>
          <w:p w:rsidR="0051362A" w:rsidRPr="005D4BED" w:rsidRDefault="0051362A" w:rsidP="0051362A">
            <w:pPr>
              <w:jc w:val="center"/>
              <w:rPr>
                <w:b/>
              </w:rPr>
            </w:pPr>
            <w:r w:rsidRPr="005D4BED">
              <w:rPr>
                <w:b/>
              </w:rPr>
              <w:t>Criterion 7:</w:t>
            </w:r>
            <w:r w:rsidR="00BD109B" w:rsidRPr="005D4BED">
              <w:rPr>
                <w:b/>
              </w:rPr>
              <w:t xml:space="preserve"> Infrastructure and library resources - Input</w:t>
            </w:r>
          </w:p>
          <w:p w:rsidR="00D86ACE" w:rsidRDefault="00D86ACE" w:rsidP="0051362A">
            <w:pPr>
              <w:jc w:val="center"/>
              <w:rPr>
                <w:b/>
              </w:rPr>
            </w:pPr>
          </w:p>
          <w:p w:rsidR="00D86ACE" w:rsidRPr="00D86ACE" w:rsidRDefault="00D86ACE" w:rsidP="00D86ACE">
            <w:pPr>
              <w:jc w:val="both"/>
              <w:rPr>
                <w:rFonts w:cstheme="minorHAnsi"/>
                <w:sz w:val="18"/>
              </w:rPr>
            </w:pPr>
            <w:r w:rsidRPr="00D86ACE">
              <w:rPr>
                <w:rFonts w:cstheme="minorHAnsi"/>
                <w:sz w:val="18"/>
              </w:rPr>
              <w:t>Suitable and sufficient venues, IT infrastructure and library resources are available for students and staff in the programme. Policies ensure the proper management and maintenance of library resources, including support and access for students and staff. Staff development for library personnel takes place on a regular basis.</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51362A" w:rsidRDefault="0051362A"/>
    <w:p w:rsidR="00ED4326" w:rsidRDefault="00ED4326"/>
    <w:p w:rsidR="00ED4326" w:rsidRDefault="00ED4326"/>
    <w:p w:rsidR="00ED4326" w:rsidRDefault="00ED4326"/>
    <w:p w:rsidR="00ED4326" w:rsidRDefault="00ED4326"/>
    <w:p w:rsidR="00ED4326" w:rsidRDefault="00ED4326"/>
    <w:p w:rsidR="00ED4326" w:rsidRDefault="00ED4326"/>
    <w:p w:rsidR="00ED4326" w:rsidRDefault="00ED4326"/>
    <w:p w:rsidR="00ED4326" w:rsidRDefault="00ED4326"/>
    <w:p w:rsidR="00ED4326" w:rsidRDefault="00ED4326"/>
    <w:p w:rsidR="00ED4326" w:rsidRDefault="00ED4326"/>
    <w:p w:rsidR="00ED4326" w:rsidRDefault="00ED4326"/>
    <w:p w:rsidR="00ED4326" w:rsidRDefault="00ED4326"/>
    <w:p w:rsidR="00ED4326" w:rsidRDefault="00ED4326"/>
    <w:p w:rsidR="00ED4326" w:rsidRDefault="00ED4326"/>
    <w:p w:rsidR="00ED4326" w:rsidRDefault="00ED4326"/>
    <w:p w:rsidR="00ED4326" w:rsidRDefault="00ED4326"/>
    <w:p w:rsidR="0051362A" w:rsidRDefault="0051362A"/>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E36C0A" w:themeFill="accent6" w:themeFillShade="BF"/>
            <w:vAlign w:val="center"/>
          </w:tcPr>
          <w:p w:rsidR="0051362A" w:rsidRPr="005D4BED" w:rsidRDefault="0051362A" w:rsidP="0051362A">
            <w:pPr>
              <w:jc w:val="center"/>
              <w:rPr>
                <w:b/>
              </w:rPr>
            </w:pPr>
            <w:r w:rsidRPr="005D4BED">
              <w:rPr>
                <w:b/>
              </w:rPr>
              <w:t>Criterion 8:</w:t>
            </w:r>
            <w:r w:rsidR="00BD109B" w:rsidRPr="005D4BED">
              <w:rPr>
                <w:b/>
              </w:rPr>
              <w:t xml:space="preserve"> programme administrative services - Input</w:t>
            </w:r>
          </w:p>
          <w:p w:rsidR="00D86ACE" w:rsidRPr="0035026E" w:rsidRDefault="00D86ACE" w:rsidP="00D86ACE">
            <w:pPr>
              <w:rPr>
                <w:rFonts w:cstheme="minorHAnsi"/>
                <w:sz w:val="18"/>
              </w:rPr>
            </w:pPr>
            <w:r w:rsidRPr="0035026E">
              <w:rPr>
                <w:rFonts w:cstheme="minorHAnsi"/>
                <w:sz w:val="18"/>
              </w:rPr>
              <w:t xml:space="preserve">The programme has effective administrative services for providing information, managing the programme information system, dealing with a diverse student population, and ensuring the integrity of processes leading to certification of the qualification obtained through the programme. </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51362A" w:rsidRDefault="0051362A"/>
    <w:p w:rsidR="00ED4326" w:rsidRDefault="00ED4326"/>
    <w:p w:rsidR="00ED4326" w:rsidRDefault="00ED4326"/>
    <w:p w:rsidR="0051362A" w:rsidRDefault="0051362A"/>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E36C0A" w:themeFill="accent6" w:themeFillShade="BF"/>
            <w:vAlign w:val="center"/>
          </w:tcPr>
          <w:p w:rsidR="00BD109B" w:rsidRPr="005D4BED" w:rsidRDefault="0051362A" w:rsidP="00BD109B">
            <w:pPr>
              <w:jc w:val="center"/>
              <w:rPr>
                <w:b/>
              </w:rPr>
            </w:pPr>
            <w:r w:rsidRPr="005D4BED">
              <w:rPr>
                <w:b/>
              </w:rPr>
              <w:t xml:space="preserve">Criterion 17: </w:t>
            </w:r>
            <w:r w:rsidR="00BD109B" w:rsidRPr="005D4BED">
              <w:rPr>
                <w:b/>
              </w:rPr>
              <w:t>Student retention and throughput rates – output and impact</w:t>
            </w:r>
          </w:p>
          <w:p w:rsidR="0035026E" w:rsidRPr="005D4BED" w:rsidRDefault="0035026E" w:rsidP="0035026E">
            <w:pPr>
              <w:rPr>
                <w:rStyle w:val="Strong"/>
                <w:rFonts w:eastAsiaTheme="minorEastAsia" w:cstheme="minorHAnsi"/>
                <w:bCs w:val="0"/>
                <w:smallCaps/>
                <w:sz w:val="20"/>
                <w:szCs w:val="24"/>
              </w:rPr>
            </w:pPr>
            <w:r w:rsidRPr="005D4BED">
              <w:rPr>
                <w:rFonts w:cstheme="minorHAnsi"/>
                <w:sz w:val="18"/>
              </w:rPr>
              <w:t>Student retention and throughput rates in the programme are monitored, especially in terms of race and gender equity, and remedial measures are taken, where necessary.</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51362A" w:rsidRDefault="0051362A"/>
    <w:p w:rsidR="0051362A" w:rsidRDefault="0051362A"/>
    <w:p w:rsidR="00ED4326" w:rsidRDefault="00ED4326"/>
    <w:p w:rsidR="00ED4326" w:rsidRDefault="00ED4326"/>
    <w:p w:rsidR="00ED4326" w:rsidRDefault="00ED4326"/>
    <w:p w:rsidR="00ED4326" w:rsidRDefault="00ED4326"/>
    <w:p w:rsidR="00ED4326" w:rsidRDefault="00ED4326"/>
    <w:p w:rsidR="00ED4326" w:rsidRDefault="00ED4326"/>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92CDDC" w:themeFill="accent5" w:themeFillTint="99"/>
            <w:vAlign w:val="center"/>
          </w:tcPr>
          <w:p w:rsidR="0051362A" w:rsidRPr="00BD109B" w:rsidRDefault="0051362A" w:rsidP="0051362A">
            <w:pPr>
              <w:jc w:val="center"/>
              <w:rPr>
                <w:b/>
                <w:color w:val="0D0D0D" w:themeColor="text1" w:themeTint="F2"/>
              </w:rPr>
            </w:pPr>
            <w:r w:rsidRPr="00BD109B">
              <w:rPr>
                <w:b/>
                <w:color w:val="0D0D0D" w:themeColor="text1" w:themeTint="F2"/>
              </w:rPr>
              <w:t>Criterion 15: Coordination of work-integrated learning</w:t>
            </w:r>
            <w:r w:rsidR="00BD109B" w:rsidRPr="00BD109B">
              <w:rPr>
                <w:b/>
                <w:color w:val="0D0D0D" w:themeColor="text1" w:themeTint="F2"/>
              </w:rPr>
              <w:t xml:space="preserve"> -Process</w:t>
            </w:r>
          </w:p>
          <w:p w:rsidR="0035026E" w:rsidRPr="0035026E" w:rsidRDefault="0035026E" w:rsidP="0035026E">
            <w:pPr>
              <w:rPr>
                <w:rFonts w:cstheme="minorHAnsi"/>
                <w:sz w:val="18"/>
              </w:rPr>
            </w:pPr>
            <w:r w:rsidRPr="0035026E">
              <w:rPr>
                <w:rFonts w:cstheme="minorHAnsi"/>
                <w:sz w:val="18"/>
              </w:rPr>
              <w:t xml:space="preserve">The coordination of work-based learning is done effectively in all components of applicable programmes. This includes an adequate infrastructure, effective communication, recording of progress made, monitoring and mentoring. </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51362A" w:rsidRDefault="0051362A"/>
    <w:p w:rsidR="0051362A" w:rsidRDefault="0051362A"/>
    <w:tbl>
      <w:tblPr>
        <w:tblStyle w:val="TableGrid"/>
        <w:tblW w:w="0" w:type="auto"/>
        <w:tblLook w:val="04A0" w:firstRow="1" w:lastRow="0" w:firstColumn="1" w:lastColumn="0" w:noHBand="0" w:noVBand="1"/>
      </w:tblPr>
      <w:tblGrid>
        <w:gridCol w:w="2929"/>
        <w:gridCol w:w="4716"/>
      </w:tblGrid>
      <w:tr w:rsidR="0051362A" w:rsidTr="005D4BED">
        <w:trPr>
          <w:trHeight w:val="517"/>
        </w:trPr>
        <w:tc>
          <w:tcPr>
            <w:tcW w:w="7645" w:type="dxa"/>
            <w:gridSpan w:val="2"/>
            <w:shd w:val="clear" w:color="auto" w:fill="92CDDC" w:themeFill="accent5" w:themeFillTint="99"/>
            <w:vAlign w:val="center"/>
          </w:tcPr>
          <w:p w:rsidR="0051362A" w:rsidRPr="00BD109B" w:rsidRDefault="0051362A" w:rsidP="0051362A">
            <w:pPr>
              <w:jc w:val="center"/>
              <w:rPr>
                <w:b/>
                <w:color w:val="0D0D0D" w:themeColor="text1" w:themeTint="F2"/>
              </w:rPr>
            </w:pPr>
            <w:r w:rsidRPr="00BD109B">
              <w:rPr>
                <w:b/>
                <w:color w:val="0D0D0D" w:themeColor="text1" w:themeTint="F2"/>
              </w:rPr>
              <w:t>Criterion 18: programme Impact</w:t>
            </w:r>
            <w:r w:rsidR="00BD109B" w:rsidRPr="00BD109B">
              <w:rPr>
                <w:b/>
                <w:color w:val="0D0D0D" w:themeColor="text1" w:themeTint="F2"/>
              </w:rPr>
              <w:t xml:space="preserve"> – Output and impact</w:t>
            </w:r>
          </w:p>
          <w:p w:rsidR="0035026E" w:rsidRPr="0051362A" w:rsidRDefault="0035026E" w:rsidP="0051362A">
            <w:pPr>
              <w:jc w:val="center"/>
              <w:rPr>
                <w:rFonts w:cstheme="minorHAnsi"/>
                <w:sz w:val="18"/>
              </w:rPr>
            </w:pPr>
          </w:p>
          <w:p w:rsidR="0051362A" w:rsidRDefault="0035026E" w:rsidP="00324256">
            <w:pPr>
              <w:rPr>
                <w:rFonts w:cstheme="minorHAnsi"/>
                <w:sz w:val="18"/>
              </w:rPr>
            </w:pPr>
            <w:r w:rsidRPr="0035026E">
              <w:rPr>
                <w:rFonts w:cstheme="minorHAnsi"/>
                <w:sz w:val="18"/>
              </w:rPr>
              <w:t>The programme has taken steps to enhance the employability of students and to alleviate shortages of expertise in relevant fields, in cases where these are the desired outcomes of the programme.</w:t>
            </w:r>
          </w:p>
          <w:p w:rsidR="0035026E" w:rsidRPr="0035026E" w:rsidRDefault="0035026E" w:rsidP="00324256">
            <w:pPr>
              <w:rPr>
                <w:rFonts w:cstheme="minorHAnsi"/>
                <w:sz w:val="18"/>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p w:rsidR="0051362A" w:rsidRDefault="0051362A"/>
    <w:p w:rsidR="00BD109B" w:rsidRDefault="00BD109B"/>
    <w:p w:rsidR="00BD109B" w:rsidRDefault="00BD109B"/>
    <w:p w:rsidR="00BD109B" w:rsidRDefault="00BD109B"/>
    <w:p w:rsidR="00BD109B" w:rsidRDefault="00BD109B"/>
    <w:p w:rsidR="00BD109B" w:rsidRDefault="00BD109B"/>
    <w:p w:rsidR="00BD109B" w:rsidRDefault="00BD109B"/>
    <w:p w:rsidR="00ED4326" w:rsidRDefault="00ED4326"/>
    <w:p w:rsidR="00ED4326" w:rsidRDefault="00ED4326"/>
    <w:p w:rsidR="0051362A" w:rsidRDefault="0051362A"/>
    <w:tbl>
      <w:tblPr>
        <w:tblStyle w:val="TableGrid"/>
        <w:tblW w:w="0" w:type="auto"/>
        <w:tblLook w:val="04A0" w:firstRow="1" w:lastRow="0" w:firstColumn="1" w:lastColumn="0" w:noHBand="0" w:noVBand="1"/>
      </w:tblPr>
      <w:tblGrid>
        <w:gridCol w:w="2929"/>
        <w:gridCol w:w="4716"/>
      </w:tblGrid>
      <w:tr w:rsidR="0051362A" w:rsidTr="00324256">
        <w:trPr>
          <w:trHeight w:val="517"/>
        </w:trPr>
        <w:tc>
          <w:tcPr>
            <w:tcW w:w="7645" w:type="dxa"/>
            <w:gridSpan w:val="2"/>
            <w:vAlign w:val="center"/>
          </w:tcPr>
          <w:p w:rsidR="0035026E" w:rsidRPr="005D4BED" w:rsidRDefault="0051362A" w:rsidP="0051362A">
            <w:pPr>
              <w:jc w:val="center"/>
              <w:rPr>
                <w:b/>
                <w:color w:val="FF0000"/>
              </w:rPr>
            </w:pPr>
            <w:r w:rsidRPr="005D4BED">
              <w:rPr>
                <w:b/>
                <w:color w:val="FF0000"/>
              </w:rPr>
              <w:t>Criterion 19: Programme Reviews</w:t>
            </w:r>
            <w:r w:rsidR="00BD109B" w:rsidRPr="005D4BED">
              <w:rPr>
                <w:b/>
                <w:color w:val="FF0000"/>
              </w:rPr>
              <w:t xml:space="preserve"> – Programme review</w:t>
            </w:r>
          </w:p>
          <w:p w:rsidR="0051362A" w:rsidRPr="005D4BED" w:rsidRDefault="0051362A" w:rsidP="0051362A">
            <w:pPr>
              <w:jc w:val="center"/>
              <w:rPr>
                <w:rFonts w:cstheme="minorHAnsi"/>
                <w:color w:val="FF0000"/>
                <w:sz w:val="18"/>
              </w:rPr>
            </w:pPr>
            <w:r w:rsidRPr="005D4BED">
              <w:rPr>
                <w:b/>
                <w:color w:val="FF0000"/>
              </w:rPr>
              <w:t xml:space="preserve"> </w:t>
            </w:r>
          </w:p>
          <w:p w:rsidR="0035026E" w:rsidRPr="005D4BED" w:rsidRDefault="0035026E" w:rsidP="0035026E">
            <w:pPr>
              <w:rPr>
                <w:rFonts w:cstheme="minorHAnsi"/>
                <w:color w:val="FF0000"/>
                <w:sz w:val="18"/>
                <w:szCs w:val="20"/>
              </w:rPr>
            </w:pPr>
            <w:r w:rsidRPr="005D4BED">
              <w:rPr>
                <w:rFonts w:cstheme="minorHAnsi"/>
                <w:color w:val="FF0000"/>
                <w:sz w:val="18"/>
                <w:szCs w:val="20"/>
              </w:rPr>
              <w:t xml:space="preserve">User surveys, reviews and impact studies on the effectiveness of the programme are undertaken at regular intervals. Results are used to improve the programme’s design, delivery and resourcing, and for staff development and student support, where necessary. </w:t>
            </w:r>
          </w:p>
          <w:p w:rsidR="0051362A" w:rsidRPr="000757B9" w:rsidRDefault="0051362A" w:rsidP="00324256">
            <w:pPr>
              <w:rPr>
                <w:b/>
              </w:rPr>
            </w:pPr>
          </w:p>
        </w:tc>
      </w:tr>
      <w:tr w:rsidR="0051362A" w:rsidRPr="003E1327" w:rsidTr="00324256">
        <w:trPr>
          <w:trHeight w:val="553"/>
        </w:trPr>
        <w:tc>
          <w:tcPr>
            <w:tcW w:w="0" w:type="auto"/>
            <w:vAlign w:val="center"/>
          </w:tcPr>
          <w:p w:rsidR="0051362A" w:rsidRPr="003E1327" w:rsidRDefault="0051362A" w:rsidP="00324256">
            <w:pPr>
              <w:jc w:val="center"/>
              <w:rPr>
                <w:b/>
              </w:rPr>
            </w:pPr>
            <w:r>
              <w:rPr>
                <w:b/>
              </w:rPr>
              <w:t>Information Required:</w:t>
            </w:r>
          </w:p>
        </w:tc>
        <w:tc>
          <w:tcPr>
            <w:tcW w:w="4716" w:type="dxa"/>
          </w:tcPr>
          <w:p w:rsidR="0051362A" w:rsidRPr="003E1327" w:rsidRDefault="0051362A" w:rsidP="00324256">
            <w:pPr>
              <w:rPr>
                <w:b/>
              </w:rPr>
            </w:pPr>
          </w:p>
        </w:tc>
      </w:tr>
      <w:tr w:rsidR="0051362A" w:rsidTr="00324256">
        <w:tc>
          <w:tcPr>
            <w:tcW w:w="0" w:type="auto"/>
            <w:vAlign w:val="center"/>
          </w:tcPr>
          <w:p w:rsidR="0051362A" w:rsidRDefault="0051362A" w:rsidP="00324256">
            <w:pPr>
              <w:jc w:val="center"/>
              <w:rPr>
                <w:b/>
              </w:rPr>
            </w:pPr>
          </w:p>
          <w:p w:rsidR="0051362A" w:rsidRPr="003E1327" w:rsidRDefault="0051362A" w:rsidP="00324256">
            <w:pPr>
              <w:jc w:val="center"/>
              <w:rPr>
                <w:b/>
              </w:rPr>
            </w:pPr>
            <w:r w:rsidRPr="003E1327">
              <w:rPr>
                <w:b/>
              </w:rPr>
              <w:t>Preliminary Analysis</w:t>
            </w:r>
          </w:p>
          <w:p w:rsidR="0051362A" w:rsidRDefault="0051362A" w:rsidP="00324256">
            <w:pPr>
              <w:jc w:val="center"/>
            </w:pPr>
          </w:p>
          <w:p w:rsidR="0051362A" w:rsidRDefault="0051362A" w:rsidP="00324256">
            <w:pPr>
              <w:jc w:val="center"/>
            </w:pPr>
          </w:p>
        </w:tc>
        <w:tc>
          <w:tcPr>
            <w:tcW w:w="4716" w:type="dxa"/>
          </w:tcPr>
          <w:p w:rsidR="0051362A" w:rsidRDefault="0051362A" w:rsidP="00324256"/>
        </w:tc>
      </w:tr>
      <w:tr w:rsidR="0051362A" w:rsidTr="00324256">
        <w:tc>
          <w:tcPr>
            <w:tcW w:w="0" w:type="auto"/>
            <w:vAlign w:val="center"/>
          </w:tcPr>
          <w:p w:rsidR="0051362A" w:rsidRDefault="0051362A" w:rsidP="00324256">
            <w:pPr>
              <w:jc w:val="center"/>
              <w:rPr>
                <w:b/>
              </w:rPr>
            </w:pPr>
            <w:r w:rsidRPr="000757B9">
              <w:rPr>
                <w:b/>
              </w:rPr>
              <w:t>INSTITUTION’S OWN RATING:</w:t>
            </w:r>
          </w:p>
          <w:p w:rsidR="0051362A" w:rsidRPr="000757B9" w:rsidRDefault="0051362A" w:rsidP="00324256">
            <w:pPr>
              <w:jc w:val="center"/>
              <w:rPr>
                <w:b/>
              </w:rPr>
            </w:pPr>
          </w:p>
        </w:tc>
        <w:tc>
          <w:tcPr>
            <w:tcW w:w="4716" w:type="dxa"/>
          </w:tcPr>
          <w:p w:rsidR="0051362A" w:rsidRDefault="0051362A" w:rsidP="00324256"/>
        </w:tc>
      </w:tr>
    </w:tbl>
    <w:p w:rsidR="0051362A" w:rsidRDefault="0051362A"/>
    <w:sectPr w:rsidR="00513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F49"/>
    <w:rsid w:val="000757B9"/>
    <w:rsid w:val="0035026E"/>
    <w:rsid w:val="003E1327"/>
    <w:rsid w:val="0051362A"/>
    <w:rsid w:val="005D4BED"/>
    <w:rsid w:val="007D68AC"/>
    <w:rsid w:val="00AD7576"/>
    <w:rsid w:val="00BD109B"/>
    <w:rsid w:val="00BE2A7A"/>
    <w:rsid w:val="00D02368"/>
    <w:rsid w:val="00D86ACE"/>
    <w:rsid w:val="00ED4326"/>
    <w:rsid w:val="00F62F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E13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132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86ACE"/>
    <w:rPr>
      <w:b/>
      <w:bCs/>
    </w:rPr>
  </w:style>
  <w:style w:type="paragraph" w:styleId="BalloonText">
    <w:name w:val="Balloon Text"/>
    <w:basedOn w:val="Normal"/>
    <w:link w:val="BalloonTextChar"/>
    <w:uiPriority w:val="99"/>
    <w:semiHidden/>
    <w:unhideWhenUsed/>
    <w:rsid w:val="007D6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8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E13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132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86ACE"/>
    <w:rPr>
      <w:b/>
      <w:bCs/>
    </w:rPr>
  </w:style>
  <w:style w:type="paragraph" w:styleId="BalloonText">
    <w:name w:val="Balloon Text"/>
    <w:basedOn w:val="Normal"/>
    <w:link w:val="BalloonTextChar"/>
    <w:uiPriority w:val="99"/>
    <w:semiHidden/>
    <w:unhideWhenUsed/>
    <w:rsid w:val="007D6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8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F97E9-4084-4B36-AFD0-AC6FF8D5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1154</Words>
  <Characters>6583</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Rehana Vally</dc:creator>
  <cp:lastModifiedBy>Esther Roman</cp:lastModifiedBy>
  <cp:revision>2</cp:revision>
  <dcterms:created xsi:type="dcterms:W3CDTF">2013-06-12T12:14:00Z</dcterms:created>
  <dcterms:modified xsi:type="dcterms:W3CDTF">2013-06-12T12:14:00Z</dcterms:modified>
</cp:coreProperties>
</file>