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120000" cy="5382651"/>
            <wp:docPr id="1" name="Picture 1"/>
            <wp:cNvGraphicFramePr>
              <a:graphicFrameLocks noChangeAspect="1"/>
            </wp:cNvGraphicFramePr>
            <a:graphic>
              <a:graphicData uri="http://schemas.openxmlformats.org/drawingml/2006/picture">
                <pic:pic>
                  <pic:nvPicPr>
                    <pic:cNvPr id="0" name="Resource_Resource.png"/>
                    <pic:cNvPicPr/>
                  </pic:nvPicPr>
                  <pic:blipFill>
                    <a:blip r:embed="rId20"/>
                    <a:stretch>
                      <a:fillRect/>
                    </a:stretch>
                  </pic:blipFill>
                  <pic:spPr>
                    <a:xfrm>
                      <a:off x="0" y="0"/>
                      <a:ext cx="6120000" cy="5382651"/>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characteristic</w:t>
            </w:r>
          </w:p>
        </w:tc>
        <w:tc>
          <w:tcPr>
            <w:tcW w:type="dxa" w:w="7937"/>
          </w:tcPr>
          <w:p>
            <w:r>
              <w:t>A list of resource characteristics (ResourceCharacteristic [*]).</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resource lifecycle state type (ResourceLifecycleStateType). Tracks the lifecycle status of the resource, such as planning, installing, opereating, retiring and so on.</w:t>
            </w:r>
          </w:p>
        </w:tc>
      </w:tr>
      <w:tr>
        <w:tc>
          <w:tcPr>
            <w:tcW w:type="dxa" w:w="2268"/>
          </w:tcPr>
          <w:p>
            <w:r>
              <w:t>lifecycleSubState</w:t>
            </w:r>
          </w:p>
        </w:tc>
        <w:tc>
          <w:tcPr>
            <w:tcW w:type="dxa" w:w="7937"/>
          </w:tcPr>
          <w:p>
            <w:r>
              <w:t>A resource lifecycle sub state type (ResourceLifecycleSubStateType). Tracks the lifecyclesubstate of the resource, e.g for lifecycleState:Planning subState: proposed, feasibility checked,..,for lifecycleState: Operating subState: activated, deactivated, working, not working,.. and so on.</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reference (PlaceRef). PlaceRef defines the placeRefs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PlaceRef</w:t>
      </w:r>
      <w:r>
        <w:rPr>
          <w:u w:val="single"/>
        </w:rPr>
        <w:t xml:space="preserve"> relationship</w:t>
      </w:r>
    </w:p>
    <w:p>
      <w:r>
        <w:t>Place reference. PlaceRef defines the placeRefs where the products are sold or delivered.</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entity.</w:t>
            </w:r>
          </w:p>
        </w:tc>
      </w:tr>
      <w:tr>
        <w:tc>
          <w:tcPr>
            <w:tcW w:type="dxa" w:w="2268"/>
          </w:tcPr>
          <w:p>
            <w:r>
              <w:t>id</w:t>
            </w:r>
          </w:p>
        </w:tc>
        <w:tc>
          <w:tcPr>
            <w:tcW w:type="dxa" w:w="7937"/>
          </w:tcPr>
          <w:p>
            <w:r>
              <w:t>A string. Unique identifier of a related entity.</w:t>
            </w:r>
          </w:p>
        </w:tc>
      </w:tr>
      <w:tr>
        <w:tc>
          <w:tcPr>
            <w:tcW w:type="dxa" w:w="2268"/>
          </w:tcPr>
          <w:p>
            <w:r>
              <w:t>name</w:t>
            </w:r>
          </w:p>
        </w:tc>
        <w:tc>
          <w:tcPr>
            <w:tcW w:type="dxa" w:w="7937"/>
          </w:tcPr>
          <w:p>
            <w:r>
              <w:t>A string. Name of the related entity.</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4 notifications are defined for this API</w:t>
      </w:r>
    </w:p>
    <w:p>
      <w:r>
        <w:t>Notifications related to Resource:</w:t>
        <w:br/>
        <w:t xml:space="preserve">    - ResourceCreateEvent</w:t>
        <w:br/>
        <w:t xml:space="preserve">    - ResourceAttributeValueChangeEvent</w:t>
        <w:br/>
        <w:t xml:space="preserve">    - ResourceStateChangeEvent</w:t>
        <w:br/>
        <w:t xml:space="preserve">    - 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124075" cy="5619750"/>
            <wp:docPr id="2" name="Picture 2"/>
            <wp:cNvGraphicFramePr>
              <a:graphicFrameLocks noChangeAspect="1"/>
            </wp:cNvGraphicFramePr>
            <a:graphic>
              <a:graphicData uri="http://schemas.openxmlformats.org/drawingml/2006/picture">
                <pic:pic>
                  <pic:nvPicPr>
                    <pic:cNvPr id="0" name="NotificationsPattern.png"/>
                    <pic:cNvPicPr/>
                  </pic:nvPicPr>
                  <pic:blipFill>
                    <a:blip r:embed="rId21"/>
                    <a:stretch>
                      <a:fillRect/>
                    </a:stretch>
                  </pic:blipFill>
                  <pic:spPr>
                    <a:xfrm>
                      <a:off x="0" y="0"/>
                      <a:ext cx="2124075" cy="5619750"/>
                    </a:xfrm>
                    <a:prstGeom prst="rect"/>
                  </pic:spPr>
                </pic:pic>
              </a:graphicData>
            </a:graphic>
          </wp:inline>
        </w:drawing>
      </w:r>
    </w:p>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State Change Event</w:t>
      </w:r>
    </w:p>
    <w:p>
      <w:r>
        <w:t>Notification ResourceStateChangeEvent case for resource Resource</w:t>
      </w:r>
    </w:p>
    <w:p>
      <w:r>
        <w:rPr>
          <w:b/>
        </w:rPr>
        <w:t>Json representation sample</w:t>
      </w:r>
    </w:p>
    <w:p>
      <w:r>
        <w:t>We provide below the json representation of an example of a 'ResourceStateChangeEvent'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"eventType":"ResourceStateChangeEvent",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{apiRoot}/resource/8031</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lifecycleSubState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{apiRoot}/resource</w:t>
              <w:br/>
              <w:t>Content-Type: application/json</w:t>
              <w:br/>
              <w:br/>
              <w:t>{</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"https:/host:port/tmf-api/resource/v1/resource/8031",</w:t>
              <w:br/>
              <w:t xml:space="preserve">    "id": "8031",</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lifecycleSubState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{apiRoot}/resource/8031</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{apiRoot}/resource/42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