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30B2" w14:textId="32529430" w:rsidR="00E21316" w:rsidRDefault="00686B64" w:rsidP="00461954">
      <w:pPr>
        <w:spacing w:after="0" w:line="240" w:lineRule="auto"/>
        <w:rPr>
          <w:color w:val="FF0000"/>
        </w:rPr>
      </w:pPr>
      <w:r>
        <w:rPr>
          <w:color w:val="FF0000"/>
        </w:rPr>
        <w:t xml:space="preserve">Corrélations </w:t>
      </w:r>
    </w:p>
    <w:p w14:paraId="192B3227" w14:textId="42D34927" w:rsidR="00686B64" w:rsidRPr="005E2602" w:rsidRDefault="00686B64" w:rsidP="00686B64">
      <w:pPr>
        <w:spacing w:after="0" w:line="240" w:lineRule="auto"/>
      </w:pPr>
      <w:r w:rsidRPr="005E2602">
        <w:t>On veut comprendre à la fois :</w:t>
      </w:r>
    </w:p>
    <w:p w14:paraId="292FBD10" w14:textId="77777777" w:rsidR="00686B64" w:rsidRPr="005E2602" w:rsidRDefault="00686B64" w:rsidP="00686B64">
      <w:pPr>
        <w:numPr>
          <w:ilvl w:val="0"/>
          <w:numId w:val="24"/>
        </w:numPr>
        <w:spacing w:after="0" w:line="240" w:lineRule="auto"/>
      </w:pPr>
      <w:r w:rsidRPr="005E2602">
        <w:t>la relation linéaire entre les métriques spectrales et les émissions (Pearson),</w:t>
      </w:r>
    </w:p>
    <w:p w14:paraId="2774DFD0" w14:textId="77777777" w:rsidR="00686B64" w:rsidRPr="005E2602" w:rsidRDefault="00686B64" w:rsidP="00686B64">
      <w:pPr>
        <w:numPr>
          <w:ilvl w:val="0"/>
          <w:numId w:val="24"/>
        </w:numPr>
        <w:spacing w:after="0" w:line="240" w:lineRule="auto"/>
      </w:pPr>
      <w:r w:rsidRPr="005E2602">
        <w:t>la relation monotone non linéaire entre ces mêmes métriques et les émissions (Spearman).</w:t>
      </w:r>
    </w:p>
    <w:p w14:paraId="49BAEF9A" w14:textId="3A9648F7" w:rsidR="00686B64" w:rsidRPr="005E2602" w:rsidRDefault="00686B64" w:rsidP="00686B64">
      <w:pPr>
        <w:spacing w:after="0" w:line="240" w:lineRule="auto"/>
      </w:pPr>
      <w:r w:rsidRPr="005E2602">
        <w:t>Et comme tes métriques spectrales (Kreiss, Kato, H₂/H∞, rayon spectral, non</w:t>
      </w:r>
      <w:r w:rsidRPr="005E2602">
        <w:noBreakHyphen/>
        <w:t>normalité) sont hautement non linéaires, Spearman est justifié</w:t>
      </w:r>
    </w:p>
    <w:p w14:paraId="2386B3E6" w14:textId="0B4B639A" w:rsidR="00686B64" w:rsidRPr="005E2602" w:rsidRDefault="00686B64" w:rsidP="00686B64">
      <w:pPr>
        <w:spacing w:after="0" w:line="240" w:lineRule="auto"/>
      </w:pPr>
      <w:r w:rsidRPr="005E2602">
        <w:t>Pearson seul ne suffit pas</w:t>
      </w:r>
    </w:p>
    <w:p w14:paraId="629E2A7F" w14:textId="6738DF70" w:rsidR="00686B64" w:rsidRPr="005E2602" w:rsidRDefault="00686B64" w:rsidP="00686B64">
      <w:pPr>
        <w:spacing w:after="0" w:line="240" w:lineRule="auto"/>
      </w:pPr>
      <w:r w:rsidRPr="005E2602">
        <w:t>Le coefficient de Pearson mesure la corrélation linéaire entre deux variables.</w:t>
      </w:r>
    </w:p>
    <w:p w14:paraId="68D124A6" w14:textId="77777777" w:rsidR="00686B64" w:rsidRPr="005E2602" w:rsidRDefault="00686B64" w:rsidP="00686B64">
      <w:pPr>
        <w:spacing w:after="0" w:line="240" w:lineRule="auto"/>
      </w:pPr>
      <w:r w:rsidRPr="005E2602">
        <w:t>Or, dans ton modèle :</w:t>
      </w:r>
    </w:p>
    <w:p w14:paraId="3A77F555" w14:textId="77777777" w:rsidR="00686B64" w:rsidRPr="005E2602" w:rsidRDefault="00686B64" w:rsidP="00686B64">
      <w:pPr>
        <w:numPr>
          <w:ilvl w:val="0"/>
          <w:numId w:val="25"/>
        </w:numPr>
        <w:spacing w:after="0" w:line="240" w:lineRule="auto"/>
      </w:pPr>
      <w:r w:rsidRPr="005E2602">
        <w:t>les émissions de CO₂ ne dépendent pas linéairement du rayon spectral,</w:t>
      </w:r>
    </w:p>
    <w:p w14:paraId="270B8F7A" w14:textId="77777777" w:rsidR="00686B64" w:rsidRPr="005E2602" w:rsidRDefault="00686B64" w:rsidP="00686B64">
      <w:pPr>
        <w:numPr>
          <w:ilvl w:val="0"/>
          <w:numId w:val="25"/>
        </w:numPr>
        <w:spacing w:after="0" w:line="240" w:lineRule="auto"/>
      </w:pPr>
      <w:r w:rsidRPr="005E2602">
        <w:t>la constante de Kreiss explose de manière non linéaire,</w:t>
      </w:r>
    </w:p>
    <w:p w14:paraId="018C0DBF" w14:textId="77777777" w:rsidR="00686B64" w:rsidRPr="005E2602" w:rsidRDefault="00686B64" w:rsidP="00686B64">
      <w:pPr>
        <w:numPr>
          <w:ilvl w:val="0"/>
          <w:numId w:val="25"/>
        </w:numPr>
        <w:spacing w:after="0" w:line="240" w:lineRule="auto"/>
      </w:pPr>
      <w:r w:rsidRPr="005E2602">
        <w:t>la non</w:t>
      </w:r>
      <w:r w:rsidRPr="005E2602">
        <w:noBreakHyphen/>
        <w:t>normalité crée des effets de seuil,</w:t>
      </w:r>
    </w:p>
    <w:p w14:paraId="74F8045E" w14:textId="77777777" w:rsidR="00686B64" w:rsidRPr="005E2602" w:rsidRDefault="00686B64" w:rsidP="00686B64">
      <w:pPr>
        <w:numPr>
          <w:ilvl w:val="0"/>
          <w:numId w:val="25"/>
        </w:numPr>
        <w:spacing w:after="0" w:line="240" w:lineRule="auto"/>
      </w:pPr>
      <w:r w:rsidRPr="005E2602">
        <w:t>les normes H₂/H∞ sont non convexes.</w:t>
      </w:r>
    </w:p>
    <w:p w14:paraId="69CC7BE3" w14:textId="77777777" w:rsidR="00686B64" w:rsidRPr="005E2602" w:rsidRDefault="00686B64" w:rsidP="00686B64">
      <w:pPr>
        <w:spacing w:after="0" w:line="240" w:lineRule="auto"/>
      </w:pPr>
      <w:r w:rsidRPr="005E2602">
        <w:t>Donc Pearson sous</w:t>
      </w:r>
      <w:r w:rsidRPr="005E2602">
        <w:noBreakHyphen/>
        <w:t>estime systématiquement les relations réelles.</w:t>
      </w:r>
    </w:p>
    <w:p w14:paraId="4D437B63" w14:textId="74D4C799" w:rsidR="00686B64" w:rsidRPr="005E2602" w:rsidRDefault="00686B64" w:rsidP="00686B64">
      <w:pPr>
        <w:spacing w:after="0" w:line="240" w:lineRule="auto"/>
      </w:pPr>
      <w:r w:rsidRPr="005E2602">
        <w:t>Spearman mesure la corrélation monotone (pas forcément linéaire).</w:t>
      </w:r>
    </w:p>
    <w:p w14:paraId="30E1592F" w14:textId="77777777" w:rsidR="00686B64" w:rsidRPr="005E2602" w:rsidRDefault="00686B64" w:rsidP="00686B64">
      <w:pPr>
        <w:spacing w:after="0" w:line="240" w:lineRule="auto"/>
      </w:pPr>
      <w:r w:rsidRPr="005E2602">
        <w:t>C’est exactement ce qu’il faut pour :</w:t>
      </w:r>
    </w:p>
    <w:p w14:paraId="50274035" w14:textId="77777777" w:rsidR="00686B64" w:rsidRPr="005E2602" w:rsidRDefault="00686B64" w:rsidP="00686B64">
      <w:pPr>
        <w:numPr>
          <w:ilvl w:val="0"/>
          <w:numId w:val="26"/>
        </w:numPr>
        <w:spacing w:after="0" w:line="240" w:lineRule="auto"/>
      </w:pPr>
      <w:r w:rsidRPr="005E2602">
        <w:t>détecter les relations de rang,</w:t>
      </w:r>
    </w:p>
    <w:p w14:paraId="0CD70CD2" w14:textId="77777777" w:rsidR="00686B64" w:rsidRPr="005E2602" w:rsidRDefault="00686B64" w:rsidP="00686B64">
      <w:pPr>
        <w:numPr>
          <w:ilvl w:val="0"/>
          <w:numId w:val="26"/>
        </w:numPr>
        <w:spacing w:after="0" w:line="240" w:lineRule="auto"/>
      </w:pPr>
      <w:r w:rsidRPr="005E2602">
        <w:t xml:space="preserve">capturer les transitions de phase (fluidité → congestion → </w:t>
      </w:r>
      <w:proofErr w:type="spellStart"/>
      <w:r w:rsidRPr="005E2602">
        <w:t>gridlock</w:t>
      </w:r>
      <w:proofErr w:type="spellEnd"/>
      <w:r w:rsidRPr="005E2602">
        <w:t>),</w:t>
      </w:r>
    </w:p>
    <w:p w14:paraId="3113866B" w14:textId="77777777" w:rsidR="00686B64" w:rsidRPr="005E2602" w:rsidRDefault="00686B64" w:rsidP="00686B64">
      <w:pPr>
        <w:numPr>
          <w:ilvl w:val="0"/>
          <w:numId w:val="26"/>
        </w:numPr>
        <w:spacing w:after="0" w:line="240" w:lineRule="auto"/>
      </w:pPr>
      <w:r w:rsidRPr="005E2602">
        <w:t>comprendre les effets d’amplification transitoire,</w:t>
      </w:r>
    </w:p>
    <w:p w14:paraId="55187E34" w14:textId="246F949D" w:rsidR="00686B64" w:rsidRPr="005E2602" w:rsidRDefault="00686B64" w:rsidP="00686B64">
      <w:pPr>
        <w:numPr>
          <w:ilvl w:val="0"/>
          <w:numId w:val="26"/>
        </w:numPr>
        <w:spacing w:after="0" w:line="240" w:lineRule="auto"/>
      </w:pPr>
      <w:r w:rsidRPr="005E2602">
        <w:t>analyser les relations non linéaires violentes décrite dans 3.2.</w:t>
      </w:r>
    </w:p>
    <w:p w14:paraId="27AE67BC" w14:textId="77777777" w:rsidR="00686B64" w:rsidRPr="005E2602" w:rsidRDefault="00686B64" w:rsidP="00686B64">
      <w:pPr>
        <w:spacing w:after="0" w:line="240" w:lineRule="auto"/>
      </w:pPr>
      <w:r w:rsidRPr="005E2602">
        <w:t>Spearman est donc beaucoup plus robuste pour des phénomènes comme :</w:t>
      </w:r>
    </w:p>
    <w:p w14:paraId="68CE5EC7" w14:textId="77777777" w:rsidR="00686B64" w:rsidRPr="005E2602" w:rsidRDefault="00686B64" w:rsidP="00686B64">
      <w:pPr>
        <w:numPr>
          <w:ilvl w:val="0"/>
          <w:numId w:val="27"/>
        </w:numPr>
        <w:spacing w:after="0" w:line="240" w:lineRule="auto"/>
      </w:pPr>
      <w:r w:rsidRPr="005E2602">
        <w:t>l’explosion de la congestion,</w:t>
      </w:r>
    </w:p>
    <w:p w14:paraId="5016DD12" w14:textId="77777777" w:rsidR="00686B64" w:rsidRPr="005E2602" w:rsidRDefault="00686B64" w:rsidP="00686B64">
      <w:pPr>
        <w:numPr>
          <w:ilvl w:val="0"/>
          <w:numId w:val="27"/>
        </w:numPr>
        <w:spacing w:after="0" w:line="240" w:lineRule="auto"/>
        <w:rPr>
          <w:lang w:val="en-US"/>
        </w:rPr>
      </w:pPr>
      <w:r w:rsidRPr="005E2602">
        <w:rPr>
          <w:lang w:val="en-US"/>
        </w:rPr>
        <w:t>les ondes de choc stop</w:t>
      </w:r>
      <w:r w:rsidRPr="005E2602">
        <w:rPr>
          <w:lang w:val="en-US"/>
        </w:rPr>
        <w:noBreakHyphen/>
        <w:t>and</w:t>
      </w:r>
      <w:r w:rsidRPr="005E2602">
        <w:rPr>
          <w:lang w:val="en-US"/>
        </w:rPr>
        <w:noBreakHyphen/>
        <w:t>go,</w:t>
      </w:r>
    </w:p>
    <w:p w14:paraId="182BE125" w14:textId="77777777" w:rsidR="00686B64" w:rsidRPr="005E2602" w:rsidRDefault="00686B64" w:rsidP="00686B64">
      <w:pPr>
        <w:numPr>
          <w:ilvl w:val="0"/>
          <w:numId w:val="27"/>
        </w:numPr>
        <w:spacing w:after="0" w:line="240" w:lineRule="auto"/>
      </w:pPr>
      <w:r w:rsidRPr="005E2602">
        <w:t>les pics d’émissions.</w:t>
      </w:r>
    </w:p>
    <w:p w14:paraId="43511065" w14:textId="77777777" w:rsidR="00686B64" w:rsidRPr="005E2602" w:rsidRDefault="00686B64" w:rsidP="00686B64">
      <w:pPr>
        <w:numPr>
          <w:ilvl w:val="0"/>
          <w:numId w:val="27"/>
        </w:numPr>
        <w:spacing w:after="0" w:line="240" w:lineRule="auto"/>
      </w:pPr>
    </w:p>
    <w:p w14:paraId="6655A3DE" w14:textId="559CBD51" w:rsidR="00686B64" w:rsidRPr="005E2602" w:rsidRDefault="00686B64" w:rsidP="00686B64">
      <w:pPr>
        <w:spacing w:after="0" w:line="240" w:lineRule="auto"/>
      </w:pPr>
      <w:r w:rsidRPr="005E2602">
        <w:rPr>
          <w:rFonts w:ascii="Segoe UI Emoji" w:hAnsi="Segoe UI Emoji" w:cs="Segoe UI Emoji"/>
        </w:rPr>
        <w:t>L</w:t>
      </w:r>
      <w:r w:rsidRPr="005E2602">
        <w:t>es deux ensemble sont utiles pour connaitre</w:t>
      </w:r>
    </w:p>
    <w:p w14:paraId="043B9ED3" w14:textId="7D80EB6F" w:rsidR="00686B64" w:rsidRPr="005E2602" w:rsidRDefault="00686B64" w:rsidP="00686B64">
      <w:pPr>
        <w:pStyle w:val="Paragraphedeliste"/>
        <w:numPr>
          <w:ilvl w:val="0"/>
          <w:numId w:val="28"/>
        </w:numPr>
        <w:spacing w:after="0" w:line="240" w:lineRule="auto"/>
      </w:pPr>
      <w:r w:rsidRPr="005E2602">
        <w:t>Ce qui est linéairement corrélé → Pearson → utile pour comprendre la part “simple” de la relation.</w:t>
      </w:r>
    </w:p>
    <w:p w14:paraId="489886F8" w14:textId="54C31099" w:rsidR="00686B64" w:rsidRPr="005E2602" w:rsidRDefault="00686B64" w:rsidP="00686B64">
      <w:pPr>
        <w:pStyle w:val="Paragraphedeliste"/>
        <w:numPr>
          <w:ilvl w:val="0"/>
          <w:numId w:val="28"/>
        </w:numPr>
        <w:spacing w:after="0" w:line="240" w:lineRule="auto"/>
      </w:pPr>
      <w:r w:rsidRPr="005E2602">
        <w:t>Ce qui est monotone mais non linéaire → Spearman→ utile pour comprendre la dynamique réelle du réseau.</w:t>
      </w:r>
    </w:p>
    <w:p w14:paraId="7C5D7C6D" w14:textId="71C2C319" w:rsidR="00686B64" w:rsidRPr="005E2602" w:rsidRDefault="00686B64" w:rsidP="00686B64">
      <w:pPr>
        <w:pStyle w:val="Paragraphedeliste"/>
        <w:numPr>
          <w:ilvl w:val="0"/>
          <w:numId w:val="28"/>
        </w:numPr>
        <w:spacing w:after="0" w:line="240" w:lineRule="auto"/>
      </w:pPr>
      <w:r w:rsidRPr="005E2602">
        <w:t xml:space="preserve">Ce qui est non monotone → ni Pearson ni Spearman ne suffisent → </w:t>
      </w:r>
      <w:proofErr w:type="spellStart"/>
      <w:r w:rsidRPr="005E2602">
        <w:t>XGBoost</w:t>
      </w:r>
      <w:proofErr w:type="spellEnd"/>
      <w:r w:rsidRPr="005E2602">
        <w:t xml:space="preserve"> prend le relais.</w:t>
      </w:r>
    </w:p>
    <w:p w14:paraId="297B5776" w14:textId="483D52B9" w:rsidR="00686B64" w:rsidRPr="005E2602" w:rsidRDefault="00686B64" w:rsidP="00686B64">
      <w:pPr>
        <w:spacing w:after="0" w:line="240" w:lineRule="auto"/>
      </w:pPr>
      <w:r w:rsidRPr="005E2602">
        <w:t>Le couplage Pearson + Spearman donne une cartographie complète des dépendances.</w:t>
      </w:r>
    </w:p>
    <w:p w14:paraId="6CD4E5F1" w14:textId="77777777" w:rsidR="00686B64" w:rsidRPr="005E2602" w:rsidRDefault="00686B64" w:rsidP="00686B64">
      <w:pPr>
        <w:spacing w:after="0" w:line="240" w:lineRule="auto"/>
        <w:rPr>
          <w:rFonts w:ascii="Segoe UI Emoji" w:hAnsi="Segoe UI Emoji" w:cs="Segoe UI Emoji"/>
        </w:rPr>
      </w:pPr>
    </w:p>
    <w:p w14:paraId="69187A83" w14:textId="2DD1A7FF" w:rsidR="00686B64" w:rsidRPr="005E2602" w:rsidRDefault="00686B64" w:rsidP="00686B64">
      <w:pPr>
        <w:spacing w:after="0" w:line="240" w:lineRule="auto"/>
      </w:pPr>
      <w:r w:rsidRPr="005E2602">
        <w:t xml:space="preserve"> Interprétation </w:t>
      </w:r>
      <w:r w:rsidR="00804947">
        <w:t xml:space="preserve"> </w:t>
      </w:r>
      <w:r w:rsidRPr="005E2602">
        <w:t>Nous utilisons conjointement les corrélations de Pearson et de Spearman afin de capturer à la fois les dépendances linéaires et monotones non linéaires entre les métriques spectrales et les émissions de CO₂. Cette double analyse est nécessaire car les phénomènes de congestion et d’amplification transitoire induisent des relations fortement non linéaires que Pearson seul ne peut détecter.</w:t>
      </w:r>
    </w:p>
    <w:p w14:paraId="51A88221" w14:textId="3C7A78E9" w:rsidR="00686B64" w:rsidRDefault="00686B64" w:rsidP="00461954">
      <w:pPr>
        <w:spacing w:after="0" w:line="240" w:lineRule="auto"/>
      </w:pPr>
    </w:p>
    <w:p w14:paraId="3C16F7AF" w14:textId="5828D408" w:rsidR="00233B51" w:rsidRDefault="00233B51" w:rsidP="00233B51">
      <w:pPr>
        <w:tabs>
          <w:tab w:val="left" w:pos="1392"/>
        </w:tabs>
      </w:pPr>
      <w:r>
        <w:tab/>
      </w:r>
    </w:p>
    <w:p w14:paraId="437FD889" w14:textId="77777777" w:rsidR="00233B51" w:rsidRDefault="00233B51" w:rsidP="00233B51">
      <w:pPr>
        <w:tabs>
          <w:tab w:val="left" w:pos="1392"/>
        </w:tabs>
        <w:rPr>
          <w:b/>
          <w:bCs/>
        </w:rPr>
      </w:pPr>
    </w:p>
    <w:p w14:paraId="742FAB17" w14:textId="13AC9470" w:rsidR="00233B51" w:rsidRPr="00233B51" w:rsidRDefault="00233B51" w:rsidP="00233B51">
      <w:pPr>
        <w:tabs>
          <w:tab w:val="left" w:pos="1392"/>
        </w:tabs>
        <w:rPr>
          <w:b/>
          <w:bCs/>
          <w:color w:val="FF0000"/>
        </w:rPr>
      </w:pPr>
      <w:r w:rsidRPr="00233B51">
        <w:rPr>
          <w:b/>
          <w:bCs/>
          <w:color w:val="FF0000"/>
        </w:rPr>
        <w:t>3 .2</w:t>
      </w:r>
    </w:p>
    <w:p w14:paraId="596390DD" w14:textId="77777777" w:rsidR="00233B51" w:rsidRPr="00804947" w:rsidRDefault="00233B51" w:rsidP="005E2602">
      <w:pPr>
        <w:tabs>
          <w:tab w:val="left" w:pos="1392"/>
        </w:tabs>
        <w:spacing w:after="0" w:line="240" w:lineRule="auto"/>
      </w:pPr>
      <w:proofErr w:type="spellStart"/>
      <w:r w:rsidRPr="00804947">
        <w:lastRenderedPageBreak/>
        <w:t>XGBoost</w:t>
      </w:r>
      <w:proofErr w:type="spellEnd"/>
      <w:r w:rsidRPr="00804947">
        <w:t xml:space="preserve"> : un modèle d’apprentissage supervisé non linéaire </w:t>
      </w:r>
      <w:proofErr w:type="spellStart"/>
      <w:r w:rsidRPr="00804947">
        <w:t>XGBoost</w:t>
      </w:r>
      <w:proofErr w:type="spellEnd"/>
      <w:r w:rsidRPr="00804947">
        <w:t xml:space="preserve"> (</w:t>
      </w:r>
      <w:proofErr w:type="spellStart"/>
      <w:r w:rsidRPr="00804947">
        <w:t>eXtreme</w:t>
      </w:r>
      <w:proofErr w:type="spellEnd"/>
      <w:r w:rsidRPr="00804947">
        <w:t xml:space="preserve"> Gradient </w:t>
      </w:r>
      <w:proofErr w:type="spellStart"/>
      <w:r w:rsidRPr="00804947">
        <w:t>Boosting</w:t>
      </w:r>
      <w:proofErr w:type="spellEnd"/>
      <w:r w:rsidRPr="00804947">
        <w:t xml:space="preserve">) </w:t>
      </w:r>
      <w:r w:rsidRPr="00804947">
        <w:rPr>
          <w:color w:val="FF0000"/>
        </w:rPr>
        <w:t xml:space="preserve">/Ref/ </w:t>
      </w:r>
      <w:r w:rsidRPr="00804947">
        <w:t xml:space="preserve">est un algorithme d’ensemble basé sur l’agrégation séquentielle d’arbres de décision. Chaque nouvel arbre corrige les erreurs commises par les arbres précédents, selon un principe de </w:t>
      </w:r>
      <w:proofErr w:type="spellStart"/>
      <w:r w:rsidRPr="00804947">
        <w:t>boosting</w:t>
      </w:r>
      <w:proofErr w:type="spellEnd"/>
      <w:r w:rsidRPr="00804947">
        <w:t xml:space="preserve"> par gradient. </w:t>
      </w:r>
    </w:p>
    <w:p w14:paraId="6DA38A35" w14:textId="0E1D31CC" w:rsidR="00233B51" w:rsidRPr="00804947" w:rsidRDefault="00233B51" w:rsidP="005E2602">
      <w:pPr>
        <w:tabs>
          <w:tab w:val="left" w:pos="1392"/>
        </w:tabs>
        <w:spacing w:after="0" w:line="240" w:lineRule="auto"/>
      </w:pPr>
      <w:r w:rsidRPr="00804947">
        <w:t xml:space="preserve">Principe du </w:t>
      </w:r>
      <w:proofErr w:type="spellStart"/>
      <w:r w:rsidRPr="00804947">
        <w:t>boosting</w:t>
      </w:r>
      <w:proofErr w:type="spellEnd"/>
      <w:r w:rsidRPr="00804947">
        <w:t xml:space="preserve"> par gradient. </w:t>
      </w:r>
      <w:proofErr w:type="spellStart"/>
      <w:r w:rsidRPr="00804947">
        <w:t>XGBoost</w:t>
      </w:r>
      <w:proofErr w:type="spellEnd"/>
      <w:r w:rsidRPr="00804947">
        <w:t xml:space="preserve"> appartient à la famille des méthodes de </w:t>
      </w:r>
      <w:proofErr w:type="spellStart"/>
      <w:r w:rsidRPr="00804947">
        <w:t>boosting</w:t>
      </w:r>
      <w:proofErr w:type="spellEnd"/>
      <w:r w:rsidRPr="00804947">
        <w:t xml:space="preserve">, où un modèle fort est construit par l’addition séquentielle de modèles faibles (arbres de décision peu profonds). À chaque itération, le nouvel arbre n’est pas appris pour prédire la cible brute, mais pour approximer le gradient de la fonction de perte par rapport aux prédictions précédentes. Ce mécanisme, appelé </w:t>
      </w:r>
      <w:r w:rsidRPr="00804947">
        <w:rPr>
          <w:i/>
          <w:iCs/>
        </w:rPr>
        <w:t xml:space="preserve">gradient </w:t>
      </w:r>
      <w:proofErr w:type="spellStart"/>
      <w:r w:rsidRPr="00804947">
        <w:rPr>
          <w:i/>
          <w:iCs/>
        </w:rPr>
        <w:t>boosting</w:t>
      </w:r>
      <w:proofErr w:type="spellEnd"/>
      <w:r w:rsidRPr="00804947">
        <w:t xml:space="preserve">, permet au modèle de corriger précisément ses erreurs en suivant la direction de plus forte diminution de la perte. Il s’agit d’une descente de gradient fonctionnelle : au lieu de mettre à jour des poids, </w:t>
      </w:r>
      <w:proofErr w:type="spellStart"/>
      <w:r w:rsidRPr="00804947">
        <w:t>XGBoost</w:t>
      </w:r>
      <w:proofErr w:type="spellEnd"/>
      <w:r w:rsidRPr="00804947">
        <w:t xml:space="preserve"> met à jour une fonction. Cette approche est particulièrement adaptée aux phénomènes non linéaires et instables de la dynamique routière, où les transitions de phase et les amplifications transitoires exigent un modèle capable de capturer des interactions complexes.</w:t>
      </w:r>
    </w:p>
    <w:p w14:paraId="5630BC98" w14:textId="77777777" w:rsidR="00233B51" w:rsidRPr="00804947" w:rsidRDefault="00233B51" w:rsidP="005E2602">
      <w:pPr>
        <w:tabs>
          <w:tab w:val="left" w:pos="1392"/>
        </w:tabs>
        <w:spacing w:after="0" w:line="240" w:lineRule="auto"/>
      </w:pPr>
    </w:p>
    <w:p w14:paraId="6B848DD1" w14:textId="24307623" w:rsidR="00233B51" w:rsidRPr="00804947" w:rsidRDefault="00233B51" w:rsidP="005E2602">
      <w:pPr>
        <w:tabs>
          <w:tab w:val="left" w:pos="1392"/>
        </w:tabs>
        <w:spacing w:after="0" w:line="240" w:lineRule="auto"/>
      </w:pPr>
      <w:r w:rsidRPr="00804947">
        <w:t xml:space="preserve">Contrairement aux modèles linéaires classiques, </w:t>
      </w:r>
      <w:proofErr w:type="spellStart"/>
      <w:r w:rsidRPr="00804947">
        <w:t>XGBoost</w:t>
      </w:r>
      <w:proofErr w:type="spellEnd"/>
      <w:r w:rsidRPr="00804947">
        <w:t xml:space="preserve"> capture naturellement les interactions non linéaires, les effets de seuil et les comportements instables</w:t>
      </w:r>
      <w:r w:rsidR="00804947">
        <w:t xml:space="preserve">, </w:t>
      </w:r>
      <w:r w:rsidRPr="00804947">
        <w:t>des caractéristiques essentielles pour modéliser la dynamique routière, où les phénomènes de congestion présentent des transitions brutales et des régimes non monotones. Sa robustesse, sa capacité à gérer des relations complexes et son efficacité computationnelle en font un candidat idéal pour remplacer la simulation microscopique par un modèle prédictif instantané.</w:t>
      </w:r>
    </w:p>
    <w:p w14:paraId="574187C1" w14:textId="77777777" w:rsidR="00233B51" w:rsidRPr="00804947" w:rsidRDefault="00233B51" w:rsidP="005E2602">
      <w:pPr>
        <w:tabs>
          <w:tab w:val="left" w:pos="1392"/>
        </w:tabs>
        <w:spacing w:after="0" w:line="240" w:lineRule="auto"/>
      </w:pPr>
      <w:r w:rsidRPr="00804947">
        <w:t>Ensuite, tu enchaînes avec :</w:t>
      </w:r>
    </w:p>
    <w:p w14:paraId="0801E8A2" w14:textId="6CEA14C8" w:rsidR="00233B51" w:rsidRPr="005D36CE" w:rsidRDefault="00233B51" w:rsidP="005E2602">
      <w:pPr>
        <w:pStyle w:val="Paragraphedeliste"/>
        <w:numPr>
          <w:ilvl w:val="2"/>
          <w:numId w:val="28"/>
        </w:numPr>
        <w:tabs>
          <w:tab w:val="left" w:pos="1392"/>
        </w:tabs>
        <w:spacing w:after="0" w:line="240" w:lineRule="auto"/>
        <w:rPr>
          <w:b/>
          <w:bCs/>
        </w:rPr>
      </w:pPr>
      <w:r w:rsidRPr="005D36CE">
        <w:rPr>
          <w:b/>
          <w:bCs/>
        </w:rPr>
        <w:t>Formulation mathématique de la fonction objective</w:t>
      </w:r>
    </w:p>
    <w:p w14:paraId="33F8DAAE" w14:textId="77777777" w:rsidR="005D36CE" w:rsidRDefault="005D36CE" w:rsidP="005E2602">
      <w:pPr>
        <w:tabs>
          <w:tab w:val="left" w:pos="1392"/>
        </w:tabs>
        <w:spacing w:after="0" w:line="240" w:lineRule="auto"/>
      </w:pPr>
    </w:p>
    <w:p w14:paraId="28513EB6" w14:textId="0B8D5216" w:rsidR="005D36CE" w:rsidRPr="005D36CE" w:rsidRDefault="005D36CE" w:rsidP="005E2602">
      <w:pPr>
        <w:tabs>
          <w:tab w:val="left" w:pos="1392"/>
        </w:tabs>
        <w:spacing w:after="0" w:line="240" w:lineRule="auto"/>
        <w:rPr>
          <w:color w:val="FF0000"/>
        </w:rPr>
      </w:pPr>
      <w:r w:rsidRPr="005D36CE">
        <w:rPr>
          <w:b/>
          <w:bCs/>
          <w:color w:val="FF0000"/>
        </w:rPr>
        <w:t>3.2.2 L’espace à 47 descripteurs explicatifs</w:t>
      </w:r>
    </w:p>
    <w:p w14:paraId="632E22BA" w14:textId="7BF73593" w:rsidR="005D36CE" w:rsidRPr="005D36CE" w:rsidRDefault="005D36CE" w:rsidP="005E2602">
      <w:pPr>
        <w:tabs>
          <w:tab w:val="left" w:pos="1392"/>
        </w:tabs>
        <w:spacing w:after="0" w:line="240" w:lineRule="auto"/>
      </w:pPr>
      <w:r w:rsidRPr="005D36CE">
        <w:rPr>
          <w:b/>
          <w:bCs/>
        </w:rPr>
        <w:t>Pourquoi un espace à 47 descripteurs ?</w:t>
      </w:r>
      <w:r w:rsidRPr="005D36CE">
        <w:t xml:space="preserve"> Pour remplacer une simulation microscopique SUMO par une prédiction instantanée, l’IA doit disposer d’une représentation complète du réseau urbain, de sa charge de trafic et de sa dynamique interne. Les 47 descripteurs définis ci</w:t>
      </w:r>
      <w:r w:rsidRPr="005D36CE">
        <w:noBreakHyphen/>
        <w:t>dessous constituent cette représentation. Ils encapsulent quatre dimensions essentielles : (1) la demande cinématique imposée au réseau (trafic, flotte, électrification), (2) la structure géométrique et topologique de la ville (nœuds, arêtes, densité, asymétrie), (3) la dynamique intrinsèque du graphe (non</w:t>
      </w:r>
      <w:r w:rsidRPr="005D36CE">
        <w:noBreakHyphen/>
        <w:t>normalité, rayon spectral, constante de Kreiss, normes H₂/H∞), (4) la capacité physique des voies (longueurs, vitesses, capacités).</w:t>
      </w:r>
    </w:p>
    <w:p w14:paraId="001EC72B" w14:textId="77777777" w:rsidR="005D36CE" w:rsidRDefault="005D36CE" w:rsidP="005E2602">
      <w:pPr>
        <w:tabs>
          <w:tab w:val="left" w:pos="1392"/>
        </w:tabs>
        <w:spacing w:after="0" w:line="240" w:lineRule="auto"/>
      </w:pPr>
      <w:r w:rsidRPr="005D36CE">
        <w:t xml:space="preserve">Ensemble, ces descripteurs forment une signature mathématique compacte du réseau urbain. Ils permettent à </w:t>
      </w:r>
      <w:proofErr w:type="spellStart"/>
      <w:r w:rsidRPr="005D36CE">
        <w:t>XGBoost</w:t>
      </w:r>
      <w:proofErr w:type="spellEnd"/>
      <w:r w:rsidRPr="005D36CE">
        <w:t xml:space="preserve"> d’apprendre directement la relation entre la topologie, la dynamique du trafic et les émissions de CO₂, sans exécuter la simulation physique. L’IA devient ainsi </w:t>
      </w:r>
      <w:r w:rsidRPr="005D36CE">
        <w:rPr>
          <w:i/>
          <w:iCs/>
        </w:rPr>
        <w:t>topologiquement consciente</w:t>
      </w:r>
      <w:r w:rsidRPr="005D36CE">
        <w:t xml:space="preserve"> : elle comprend la ville non seulement comme un ensemble de rues, mais comme un système dynamique capable d’amplifier ou d’absorber la congestion.</w:t>
      </w:r>
    </w:p>
    <w:p w14:paraId="78FB5D22" w14:textId="37BBD247" w:rsidR="005D36CE" w:rsidRPr="005D36CE" w:rsidRDefault="005D36CE" w:rsidP="005E2602">
      <w:pPr>
        <w:tabs>
          <w:tab w:val="left" w:pos="1392"/>
        </w:tabs>
        <w:spacing w:after="0" w:line="240" w:lineRule="auto"/>
        <w:rPr>
          <w:rFonts w:ascii="Amasis MT Pro Light" w:hAnsi="Amasis MT Pro Light"/>
          <w:color w:val="FF0000"/>
        </w:rPr>
      </w:pPr>
      <w:r w:rsidRPr="005D36CE">
        <w:rPr>
          <w:rFonts w:ascii="Amasis MT Pro Light" w:hAnsi="Amasis MT Pro Light"/>
          <w:color w:val="FF0000"/>
        </w:rPr>
        <w:t xml:space="preserve">Liste des familles de descripteurs </w:t>
      </w:r>
    </w:p>
    <w:p w14:paraId="294B377A" w14:textId="355D9552" w:rsidR="005D36CE" w:rsidRPr="00EB415E" w:rsidRDefault="005D36CE" w:rsidP="005E2602">
      <w:pPr>
        <w:tabs>
          <w:tab w:val="left" w:pos="1392"/>
        </w:tabs>
        <w:spacing w:after="0" w:line="240" w:lineRule="auto"/>
      </w:pPr>
      <w:r w:rsidRPr="00EB415E">
        <w:t>L’espace explicatif complet comporte 47 descripteurs, organisés en 8 familles thématiques. Pour préserver la lisibilité du chapitre, seules les familles sont présentées ici ; la liste exhaustive, accompagnée de la justification opérationnelle de chaque descripteur, est fournie en Annexe X. Ces 47 variables constituent la signature topologique, dynamique et cinématique du réseau urbain, permettant à l’IA de reproduire les comportements simulés par SUMO sans exécuter la simulation. »</w:t>
      </w:r>
    </w:p>
    <w:p w14:paraId="0761BEB0" w14:textId="30D0A91E" w:rsidR="005D36CE" w:rsidRPr="00EB415E" w:rsidRDefault="005D36CE" w:rsidP="005E2602">
      <w:pPr>
        <w:tabs>
          <w:tab w:val="left" w:pos="1392"/>
        </w:tabs>
        <w:spacing w:after="0" w:line="240" w:lineRule="auto"/>
      </w:pPr>
      <w:r w:rsidRPr="00EB415E">
        <w:t xml:space="preserve">Paramètres de Trafic, Charge et Composition de Flotte (7 descripteurs) </w:t>
      </w:r>
      <w:proofErr w:type="spellStart"/>
      <w:r w:rsidRPr="00EB415E">
        <w:t>etc</w:t>
      </w:r>
      <w:proofErr w:type="spellEnd"/>
      <w:r w:rsidRPr="00EB415E">
        <w:t xml:space="preserve"> ….</w:t>
      </w:r>
    </w:p>
    <w:p w14:paraId="5FD25525" w14:textId="1C8FB94F" w:rsidR="005D36CE" w:rsidRDefault="005D36CE" w:rsidP="005E2602">
      <w:pPr>
        <w:tabs>
          <w:tab w:val="left" w:pos="1392"/>
        </w:tabs>
        <w:spacing w:after="0" w:line="240" w:lineRule="auto"/>
      </w:pPr>
      <w:r>
        <w:rPr>
          <w:b/>
          <w:bCs/>
          <w:i/>
          <w:iCs/>
        </w:rPr>
        <w:t xml:space="preserve">… </w:t>
      </w:r>
    </w:p>
    <w:p w14:paraId="09EAED9C" w14:textId="6DF967BF" w:rsidR="005D36CE" w:rsidRDefault="005D36CE" w:rsidP="005E2602">
      <w:pPr>
        <w:tabs>
          <w:tab w:val="left" w:pos="1392"/>
        </w:tabs>
        <w:spacing w:after="0" w:line="240" w:lineRule="auto"/>
        <w:rPr>
          <w:color w:val="FF0000"/>
        </w:rPr>
      </w:pPr>
      <w:r w:rsidRPr="005D36CE">
        <w:rPr>
          <w:color w:val="FF0000"/>
        </w:rPr>
        <w:t>Passer les descripteurs en annexe !</w:t>
      </w:r>
    </w:p>
    <w:p w14:paraId="6530AB2A" w14:textId="77777777" w:rsidR="00DC21EA" w:rsidRDefault="00DC21EA" w:rsidP="005E2602">
      <w:pPr>
        <w:tabs>
          <w:tab w:val="left" w:pos="1392"/>
        </w:tabs>
        <w:spacing w:after="0" w:line="240" w:lineRule="auto"/>
        <w:rPr>
          <w:color w:val="FF0000"/>
        </w:rPr>
      </w:pPr>
    </w:p>
    <w:p w14:paraId="43C0CDA9" w14:textId="6745621F" w:rsidR="00DC21EA" w:rsidRDefault="00DC21EA" w:rsidP="005E2602">
      <w:pPr>
        <w:tabs>
          <w:tab w:val="left" w:pos="1392"/>
        </w:tabs>
        <w:spacing w:after="0" w:line="240" w:lineRule="auto"/>
        <w:rPr>
          <w:color w:val="FF0000"/>
        </w:rPr>
      </w:pPr>
      <w:r>
        <w:rPr>
          <w:color w:val="FF0000"/>
        </w:rPr>
        <w:t xml:space="preserve">Il faut expliquer l’histoire des V1, V2 et V3- </w:t>
      </w:r>
    </w:p>
    <w:p w14:paraId="433E4529" w14:textId="3E170401" w:rsidR="00DC21EA" w:rsidRPr="00DC21EA" w:rsidRDefault="00DC21EA" w:rsidP="005E2602">
      <w:pPr>
        <w:tabs>
          <w:tab w:val="left" w:pos="1392"/>
        </w:tabs>
        <w:spacing w:after="0" w:line="240" w:lineRule="auto"/>
      </w:pPr>
      <w:r>
        <w:rPr>
          <w:color w:val="FF0000"/>
        </w:rPr>
        <w:t>Expliquer l’ablation et son objectif :</w:t>
      </w:r>
      <w:r w:rsidRPr="00DC21EA">
        <w:rPr>
          <w:rFonts w:ascii="Times New Roman" w:eastAsia="Times New Roman" w:hAnsi="Times New Roman" w:cs="Times New Roman"/>
          <w:kern w:val="0"/>
          <w:lang w:eastAsia="fr-FR"/>
          <w14:ligatures w14:val="none"/>
        </w:rPr>
        <w:t xml:space="preserve"> </w:t>
      </w:r>
      <w:r w:rsidRPr="00DC21EA">
        <w:t>« Une étude d’ablation consiste à retirer successivement des groupes de descripteurs afin de mesurer leur contribution marginale à la performance du modèle.</w:t>
      </w:r>
    </w:p>
    <w:p w14:paraId="46F01354" w14:textId="77777777" w:rsidR="00DC21EA" w:rsidRPr="00DC21EA" w:rsidRDefault="00DC21EA" w:rsidP="005E2602">
      <w:pPr>
        <w:tabs>
          <w:tab w:val="left" w:pos="1392"/>
        </w:tabs>
        <w:spacing w:after="0" w:line="240" w:lineRule="auto"/>
      </w:pPr>
      <w:r w:rsidRPr="00DC21EA">
        <w:t>L’ablation menée ici montre que les descripteurs de trafic seuls (Modèle A) ne suffisent pas à expliquer les variations inter</w:t>
      </w:r>
      <w:r w:rsidRPr="00DC21EA">
        <w:noBreakHyphen/>
        <w:t>villes. L’ajout de la topologie géométrique (Modèle B) améliore la performance, mais reste insuffisant pour capturer la dynamique de congestion.</w:t>
      </w:r>
    </w:p>
    <w:p w14:paraId="03226AC4" w14:textId="77777777" w:rsidR="00DC21EA" w:rsidRDefault="00DC21EA" w:rsidP="005E2602">
      <w:pPr>
        <w:tabs>
          <w:tab w:val="left" w:pos="1392"/>
        </w:tabs>
        <w:spacing w:after="0" w:line="240" w:lineRule="auto"/>
      </w:pPr>
      <w:r w:rsidRPr="00DC21EA">
        <w:t>L’intégration des descripteurs spectraux (Modèle C) apporte un gain net de 11,26 points de R² et une réduction de 39,1 % du RMSE, démontrant que la topologie spectrale est le facteur explicatif dominant pour prédire les émissions de CO₂ à travers des morphologies urbaines hétérogènes. »</w:t>
      </w:r>
    </w:p>
    <w:p w14:paraId="0AD740CD" w14:textId="77777777" w:rsidR="00412E8D" w:rsidRDefault="00412E8D" w:rsidP="005E2602">
      <w:pPr>
        <w:tabs>
          <w:tab w:val="left" w:pos="1392"/>
        </w:tabs>
        <w:spacing w:after="0" w:line="240" w:lineRule="auto"/>
      </w:pPr>
    </w:p>
    <w:p w14:paraId="2DA68053" w14:textId="77777777" w:rsidR="00412E8D" w:rsidRDefault="00412E8D" w:rsidP="005E2602">
      <w:pPr>
        <w:tabs>
          <w:tab w:val="left" w:pos="1392"/>
        </w:tabs>
        <w:spacing w:after="0" w:line="240" w:lineRule="auto"/>
        <w:rPr>
          <w:color w:val="FF0000"/>
        </w:rPr>
      </w:pPr>
      <w:r w:rsidRPr="00412E8D">
        <w:rPr>
          <w:b/>
          <w:bCs/>
          <w:color w:val="FF0000"/>
        </w:rPr>
        <w:t>K-</w:t>
      </w:r>
      <w:proofErr w:type="spellStart"/>
      <w:r w:rsidRPr="00412E8D">
        <w:rPr>
          <w:b/>
          <w:bCs/>
          <w:color w:val="FF0000"/>
        </w:rPr>
        <w:t>folds</w:t>
      </w:r>
      <w:proofErr w:type="spellEnd"/>
      <w:r w:rsidRPr="00412E8D">
        <w:rPr>
          <w:color w:val="FF0000"/>
        </w:rPr>
        <w:t xml:space="preserve"> </w:t>
      </w:r>
    </w:p>
    <w:p w14:paraId="044ADE9C" w14:textId="526F0B54" w:rsidR="00412E8D" w:rsidRDefault="00412E8D" w:rsidP="005E2602">
      <w:pPr>
        <w:tabs>
          <w:tab w:val="left" w:pos="1392"/>
        </w:tabs>
        <w:spacing w:after="0" w:line="240" w:lineRule="auto"/>
      </w:pPr>
      <w:r w:rsidRPr="00412E8D">
        <w:t>Nous utilisons une validation croisée de type K</w:t>
      </w:r>
      <w:r w:rsidRPr="00412E8D">
        <w:noBreakHyphen/>
        <w:t xml:space="preserve">Fold (K=5), qui est une méthode standard consistant à diviser le </w:t>
      </w:r>
      <w:proofErr w:type="spellStart"/>
      <w:r w:rsidRPr="00412E8D">
        <w:t>dataset</w:t>
      </w:r>
      <w:proofErr w:type="spellEnd"/>
      <w:r w:rsidRPr="00412E8D">
        <w:t xml:space="preserve"> en cinq sous</w:t>
      </w:r>
      <w:r w:rsidRPr="00412E8D">
        <w:noBreakHyphen/>
        <w:t>ensembles, à entraîner le modèle sur quatre d’entre eux et à tester sur le cinquième, puis à répéter l’opération cinq fois. Cette approche permet d’estimer la variance des performances et d’écarter tout risque de sur</w:t>
      </w:r>
      <w:r w:rsidRPr="00412E8D">
        <w:noBreakHyphen/>
        <w:t xml:space="preserve">apprentissage. </w:t>
      </w:r>
    </w:p>
    <w:p w14:paraId="3F5FF6DB" w14:textId="3ED1CD0E" w:rsidR="00412E8D" w:rsidRDefault="00412E8D" w:rsidP="005E2602">
      <w:pPr>
        <w:tabs>
          <w:tab w:val="left" w:pos="1392"/>
        </w:tabs>
        <w:spacing w:after="0" w:line="240" w:lineRule="auto"/>
      </w:pPr>
    </w:p>
    <w:p w14:paraId="378D32EE" w14:textId="4C0CDA50" w:rsidR="00412E8D" w:rsidRPr="005262F0" w:rsidRDefault="00412E8D" w:rsidP="005E2602">
      <w:pPr>
        <w:tabs>
          <w:tab w:val="left" w:pos="1392"/>
        </w:tabs>
        <w:spacing w:after="0" w:line="240" w:lineRule="auto"/>
      </w:pPr>
      <w:r w:rsidRPr="005262F0">
        <w:t>242 observations</w:t>
      </w:r>
      <w:r w:rsidR="005E2602" w:rsidRPr="005262F0">
        <w:t xml:space="preserve"> pourrait sembler faible </w:t>
      </w:r>
      <w:r w:rsidRPr="005262F0">
        <w:t>pour un modèle complexe.</w:t>
      </w:r>
      <w:r w:rsidR="005E2602" w:rsidRPr="005262F0">
        <w:t xml:space="preserve"> </w:t>
      </w:r>
      <w:r w:rsidRPr="005262F0">
        <w:t>La validation</w:t>
      </w:r>
      <w:r w:rsidR="005E2602" w:rsidRPr="005262F0">
        <w:t xml:space="preserve"> </w:t>
      </w:r>
      <w:r w:rsidRPr="005262F0">
        <w:t>croisée répond précisément à cette objection :</w:t>
      </w:r>
    </w:p>
    <w:p w14:paraId="3EE79F77" w14:textId="77777777" w:rsidR="00412E8D" w:rsidRPr="005262F0" w:rsidRDefault="00412E8D" w:rsidP="005E2602">
      <w:pPr>
        <w:numPr>
          <w:ilvl w:val="0"/>
          <w:numId w:val="31"/>
        </w:numPr>
        <w:tabs>
          <w:tab w:val="left" w:pos="1392"/>
        </w:tabs>
        <w:spacing w:after="0" w:line="240" w:lineRule="auto"/>
      </w:pPr>
      <w:r w:rsidRPr="005262F0">
        <w:t>elle mesure la variance du modèle,</w:t>
      </w:r>
    </w:p>
    <w:p w14:paraId="56DD6B40" w14:textId="77777777" w:rsidR="00412E8D" w:rsidRPr="005262F0" w:rsidRDefault="00412E8D" w:rsidP="005E2602">
      <w:pPr>
        <w:numPr>
          <w:ilvl w:val="0"/>
          <w:numId w:val="31"/>
        </w:numPr>
        <w:tabs>
          <w:tab w:val="left" w:pos="1392"/>
        </w:tabs>
        <w:spacing w:after="0" w:line="240" w:lineRule="auto"/>
      </w:pPr>
      <w:r w:rsidRPr="005262F0">
        <w:t>elle détecte le sur</w:t>
      </w:r>
      <w:r w:rsidRPr="005262F0">
        <w:noBreakHyphen/>
        <w:t>apprentissage,</w:t>
      </w:r>
    </w:p>
    <w:p w14:paraId="076859FC" w14:textId="77777777" w:rsidR="00412E8D" w:rsidRDefault="00412E8D" w:rsidP="005E2602">
      <w:pPr>
        <w:numPr>
          <w:ilvl w:val="0"/>
          <w:numId w:val="31"/>
        </w:numPr>
        <w:tabs>
          <w:tab w:val="left" w:pos="1392"/>
        </w:tabs>
        <w:spacing w:after="0" w:line="240" w:lineRule="auto"/>
      </w:pPr>
      <w:r w:rsidRPr="005262F0">
        <w:t>elle vérifie la stabilité des performances.</w:t>
      </w:r>
    </w:p>
    <w:p w14:paraId="75E125AB" w14:textId="77777777" w:rsidR="005262F0" w:rsidRDefault="005262F0" w:rsidP="005262F0">
      <w:pPr>
        <w:tabs>
          <w:tab w:val="left" w:pos="1392"/>
        </w:tabs>
        <w:spacing w:after="0" w:line="240" w:lineRule="auto"/>
        <w:rPr>
          <w:b/>
          <w:bCs/>
        </w:rPr>
      </w:pPr>
    </w:p>
    <w:p w14:paraId="7EB72699" w14:textId="15A4E724" w:rsidR="005262F0" w:rsidRPr="005262F0" w:rsidRDefault="005262F0" w:rsidP="005262F0">
      <w:pPr>
        <w:tabs>
          <w:tab w:val="left" w:pos="1392"/>
        </w:tabs>
        <w:spacing w:after="0" w:line="240" w:lineRule="auto"/>
      </w:pPr>
      <w:r w:rsidRPr="005262F0">
        <w:t>C</w:t>
      </w:r>
      <w:r w:rsidRPr="005262F0">
        <w:t>haque observation est une simulation complète de 3 600 secondes, avec des milliers d’interactions microscopiques.</w:t>
      </w:r>
    </w:p>
    <w:p w14:paraId="5350BBDC" w14:textId="77777777" w:rsidR="005262F0" w:rsidRPr="005262F0" w:rsidRDefault="005262F0" w:rsidP="005262F0">
      <w:pPr>
        <w:pStyle w:val="Paragraphedeliste"/>
        <w:numPr>
          <w:ilvl w:val="0"/>
          <w:numId w:val="31"/>
        </w:numPr>
        <w:tabs>
          <w:tab w:val="left" w:pos="1392"/>
        </w:tabs>
        <w:spacing w:after="0" w:line="240" w:lineRule="auto"/>
      </w:pPr>
      <w:r w:rsidRPr="005262F0">
        <w:t>Une simulation SUMO = une expérience physique complète.</w:t>
      </w:r>
    </w:p>
    <w:p w14:paraId="5B43BF90" w14:textId="77777777" w:rsidR="005262F0" w:rsidRPr="005262F0" w:rsidRDefault="005262F0" w:rsidP="005262F0">
      <w:pPr>
        <w:pStyle w:val="Paragraphedeliste"/>
        <w:numPr>
          <w:ilvl w:val="0"/>
          <w:numId w:val="31"/>
        </w:numPr>
        <w:tabs>
          <w:tab w:val="left" w:pos="1392"/>
        </w:tabs>
        <w:spacing w:after="0" w:line="240" w:lineRule="auto"/>
      </w:pPr>
      <w:r w:rsidRPr="005262F0">
        <w:t>Donc 242 simulations = 242 expériences indépendantes.</w:t>
      </w:r>
    </w:p>
    <w:p w14:paraId="32A8544F" w14:textId="77777777" w:rsidR="005262F0" w:rsidRPr="005262F0" w:rsidRDefault="005262F0" w:rsidP="005262F0">
      <w:pPr>
        <w:tabs>
          <w:tab w:val="left" w:pos="1392"/>
        </w:tabs>
        <w:spacing w:after="0" w:line="240" w:lineRule="auto"/>
        <w:ind w:left="720"/>
      </w:pPr>
    </w:p>
    <w:p w14:paraId="4950C2F5" w14:textId="24201CAF" w:rsidR="00412E8D" w:rsidRPr="005262F0" w:rsidRDefault="00412E8D" w:rsidP="00412E8D">
      <w:pPr>
        <w:tabs>
          <w:tab w:val="left" w:pos="1392"/>
        </w:tabs>
        <w:spacing w:after="0" w:line="240" w:lineRule="auto"/>
      </w:pPr>
      <w:r w:rsidRPr="005262F0">
        <w:t xml:space="preserve">Si les performances varient peu d’un </w:t>
      </w:r>
      <w:proofErr w:type="spellStart"/>
      <w:r w:rsidRPr="005262F0">
        <w:t>fold</w:t>
      </w:r>
      <w:proofErr w:type="spellEnd"/>
      <w:r w:rsidRPr="005262F0">
        <w:t xml:space="preserve"> à l’autre, le modèle est robuste.</w:t>
      </w:r>
    </w:p>
    <w:p w14:paraId="6F1B7DF2" w14:textId="149B5C6D" w:rsidR="00412E8D" w:rsidRPr="005262F0" w:rsidRDefault="00412E8D" w:rsidP="00412E8D">
      <w:pPr>
        <w:tabs>
          <w:tab w:val="left" w:pos="1392"/>
        </w:tabs>
        <w:spacing w:after="0" w:line="240" w:lineRule="auto"/>
      </w:pPr>
      <w:r w:rsidRPr="005262F0">
        <w:t>R² moyen = 82,44 %</w:t>
      </w:r>
      <w:r w:rsidR="005E2602" w:rsidRPr="005262F0">
        <w:t xml:space="preserve"> </w:t>
      </w:r>
      <w:r w:rsidRPr="005262F0">
        <w:t xml:space="preserve">→ cohérent avec ton modèle V3 → pas de chute brutale dans un </w:t>
      </w:r>
      <w:proofErr w:type="spellStart"/>
      <w:r w:rsidRPr="005262F0">
        <w:t>fold</w:t>
      </w:r>
      <w:proofErr w:type="spellEnd"/>
      <w:r w:rsidRPr="005262F0">
        <w:t xml:space="preserve"> → pas de </w:t>
      </w:r>
      <w:proofErr w:type="spellStart"/>
      <w:r w:rsidRPr="005262F0">
        <w:t>fold</w:t>
      </w:r>
      <w:proofErr w:type="spellEnd"/>
      <w:r w:rsidRPr="005262F0">
        <w:t xml:space="preserve"> catastrophique</w:t>
      </w:r>
    </w:p>
    <w:p w14:paraId="14CB0238" w14:textId="2FAF934C" w:rsidR="00412E8D" w:rsidRPr="005262F0" w:rsidRDefault="00412E8D" w:rsidP="00412E8D">
      <w:pPr>
        <w:tabs>
          <w:tab w:val="left" w:pos="1392"/>
        </w:tabs>
        <w:spacing w:after="0" w:line="240" w:lineRule="auto"/>
      </w:pPr>
      <w:r w:rsidRPr="005262F0">
        <w:t>Écart</w:t>
      </w:r>
      <w:r w:rsidRPr="005262F0">
        <w:noBreakHyphen/>
        <w:t>type du R² = ±1,71 %</w:t>
      </w:r>
      <w:r w:rsidR="005E2602" w:rsidRPr="005262F0">
        <w:t xml:space="preserve"> </w:t>
      </w:r>
      <w:r w:rsidRPr="005262F0">
        <w:t>→ extrêmement faible → le modèle est stable, régulier, non chaotique</w:t>
      </w:r>
    </w:p>
    <w:p w14:paraId="4873F08D" w14:textId="0F892F4E" w:rsidR="00412E8D" w:rsidRPr="005262F0" w:rsidRDefault="00412E8D" w:rsidP="00412E8D">
      <w:pPr>
        <w:tabs>
          <w:tab w:val="left" w:pos="1392"/>
        </w:tabs>
        <w:spacing w:after="0" w:line="240" w:lineRule="auto"/>
      </w:pPr>
      <w:r w:rsidRPr="005262F0">
        <w:t>RMSE moyen = 11 127 kg</w:t>
      </w:r>
      <w:r w:rsidR="005E2602" w:rsidRPr="005262F0">
        <w:t xml:space="preserve"> </w:t>
      </w:r>
      <w:r w:rsidRPr="005262F0">
        <w:t>→ identique au RMSE du test set → pas de sur</w:t>
      </w:r>
      <w:r w:rsidRPr="005262F0">
        <w:noBreakHyphen/>
        <w:t>apprentissage</w:t>
      </w:r>
    </w:p>
    <w:p w14:paraId="0D5C70ED" w14:textId="1BC483F8" w:rsidR="00412E8D" w:rsidRPr="005262F0" w:rsidRDefault="00412E8D" w:rsidP="00412E8D">
      <w:pPr>
        <w:tabs>
          <w:tab w:val="left" w:pos="1392"/>
        </w:tabs>
        <w:spacing w:after="0" w:line="240" w:lineRule="auto"/>
      </w:pPr>
      <w:r w:rsidRPr="005262F0">
        <w:t>Écart</w:t>
      </w:r>
      <w:r w:rsidRPr="005262F0">
        <w:noBreakHyphen/>
        <w:t>type du RMSE = ±505 kg (≈ 4,5 %)</w:t>
      </w:r>
      <w:r w:rsidR="005E2602" w:rsidRPr="005262F0">
        <w:t xml:space="preserve"> </w:t>
      </w:r>
      <w:r w:rsidRPr="005262F0">
        <w:t>→ très faible → le modèle ne dépend pas d’un sous</w:t>
      </w:r>
      <w:r w:rsidRPr="005262F0">
        <w:noBreakHyphen/>
        <w:t>ensemble particulier → il généralise bien</w:t>
      </w:r>
    </w:p>
    <w:p w14:paraId="2E64F5BC" w14:textId="6AF235B6" w:rsidR="00412E8D" w:rsidRPr="005262F0" w:rsidRDefault="005262F0" w:rsidP="00412E8D">
      <w:pPr>
        <w:tabs>
          <w:tab w:val="left" w:pos="1392"/>
        </w:tabs>
        <w:spacing w:after="0" w:line="240" w:lineRule="auto"/>
      </w:pPr>
      <w:r w:rsidRPr="005262F0">
        <w:rPr>
          <w:rFonts w:ascii="Segoe UI Emoji" w:hAnsi="Segoe UI Emoji" w:cs="Segoe UI Emoji"/>
        </w:rPr>
        <w:t xml:space="preserve">Valide la robustesse du modèle </w:t>
      </w:r>
      <w:r>
        <w:rPr>
          <w:rFonts w:ascii="Segoe UI Emoji" w:hAnsi="Segoe UI Emoji" w:cs="Segoe UI Emoji"/>
        </w:rPr>
        <w:t>XGBOOST</w:t>
      </w:r>
    </w:p>
    <w:p w14:paraId="0D0136B5" w14:textId="77777777" w:rsidR="005262F0" w:rsidRDefault="005262F0" w:rsidP="00412E8D">
      <w:pPr>
        <w:tabs>
          <w:tab w:val="left" w:pos="1392"/>
        </w:tabs>
        <w:spacing w:after="0" w:line="240" w:lineRule="auto"/>
      </w:pPr>
    </w:p>
    <w:p w14:paraId="235C0204" w14:textId="6F5AD700" w:rsidR="00412E8D" w:rsidRPr="005262F0" w:rsidRDefault="005262F0" w:rsidP="00412E8D">
      <w:pPr>
        <w:tabs>
          <w:tab w:val="left" w:pos="1392"/>
        </w:tabs>
        <w:spacing w:after="0" w:line="240" w:lineRule="auto"/>
      </w:pPr>
      <w:r w:rsidRPr="005262F0">
        <w:t>L</w:t>
      </w:r>
      <w:r w:rsidR="00412E8D" w:rsidRPr="005262F0">
        <w:t>e tableau d’importance des variables</w:t>
      </w:r>
      <w:r w:rsidRPr="005262F0">
        <w:t xml:space="preserve"> les résultats obtenus avec l’ablation</w:t>
      </w:r>
      <w:r w:rsidR="00412E8D" w:rsidRPr="005262F0">
        <w:t xml:space="preserve"> :</w:t>
      </w:r>
    </w:p>
    <w:p w14:paraId="1BC61AB6" w14:textId="77777777" w:rsidR="00412E8D" w:rsidRPr="005262F0" w:rsidRDefault="00412E8D" w:rsidP="00412E8D">
      <w:pPr>
        <w:numPr>
          <w:ilvl w:val="0"/>
          <w:numId w:val="33"/>
        </w:numPr>
        <w:tabs>
          <w:tab w:val="left" w:pos="1392"/>
        </w:tabs>
        <w:spacing w:after="0" w:line="240" w:lineRule="auto"/>
      </w:pPr>
      <w:r w:rsidRPr="005262F0">
        <w:t xml:space="preserve">σ₁, σ₄, </w:t>
      </w:r>
      <w:proofErr w:type="spellStart"/>
      <w:r w:rsidRPr="005262F0">
        <w:t>σ_max</w:t>
      </w:r>
      <w:proofErr w:type="spellEnd"/>
      <w:r w:rsidRPr="005262F0">
        <w:t>, Kreiss → dominants</w:t>
      </w:r>
    </w:p>
    <w:p w14:paraId="19FB87FE" w14:textId="77777777" w:rsidR="00412E8D" w:rsidRPr="005262F0" w:rsidRDefault="00412E8D" w:rsidP="00412E8D">
      <w:pPr>
        <w:numPr>
          <w:ilvl w:val="0"/>
          <w:numId w:val="33"/>
        </w:numPr>
        <w:tabs>
          <w:tab w:val="left" w:pos="1392"/>
        </w:tabs>
        <w:spacing w:after="0" w:line="240" w:lineRule="auto"/>
      </w:pPr>
      <w:proofErr w:type="spellStart"/>
      <w:r w:rsidRPr="005262F0">
        <w:t>load_relative</w:t>
      </w:r>
      <w:proofErr w:type="spellEnd"/>
      <w:r w:rsidRPr="005262F0">
        <w:t xml:space="preserve"> → clé pour la congestion</w:t>
      </w:r>
    </w:p>
    <w:p w14:paraId="619CE6E0" w14:textId="77777777" w:rsidR="00412E8D" w:rsidRPr="005262F0" w:rsidRDefault="00412E8D" w:rsidP="00412E8D">
      <w:pPr>
        <w:numPr>
          <w:ilvl w:val="0"/>
          <w:numId w:val="33"/>
        </w:numPr>
        <w:tabs>
          <w:tab w:val="left" w:pos="1392"/>
        </w:tabs>
        <w:spacing w:after="0" w:line="240" w:lineRule="auto"/>
      </w:pPr>
      <w:proofErr w:type="spellStart"/>
      <w:r w:rsidRPr="005262F0">
        <w:t>asymmetry_index</w:t>
      </w:r>
      <w:proofErr w:type="spellEnd"/>
      <w:r w:rsidRPr="005262F0">
        <w:t xml:space="preserve">, </w:t>
      </w:r>
      <w:proofErr w:type="spellStart"/>
      <w:r w:rsidRPr="005262F0">
        <w:t>edges_per_node</w:t>
      </w:r>
      <w:proofErr w:type="spellEnd"/>
      <w:r w:rsidRPr="005262F0">
        <w:t xml:space="preserve"> → topologie classique utile</w:t>
      </w:r>
    </w:p>
    <w:p w14:paraId="5B5203C7" w14:textId="77777777" w:rsidR="00412E8D" w:rsidRPr="005262F0" w:rsidRDefault="00412E8D" w:rsidP="00412E8D">
      <w:pPr>
        <w:numPr>
          <w:ilvl w:val="0"/>
          <w:numId w:val="33"/>
        </w:numPr>
        <w:tabs>
          <w:tab w:val="left" w:pos="1392"/>
        </w:tabs>
        <w:spacing w:after="0" w:line="240" w:lineRule="auto"/>
      </w:pPr>
      <w:proofErr w:type="spellStart"/>
      <w:r w:rsidRPr="005262F0">
        <w:t>pct_bus_ev</w:t>
      </w:r>
      <w:proofErr w:type="spellEnd"/>
      <w:r w:rsidRPr="005262F0">
        <w:t xml:space="preserve">, </w:t>
      </w:r>
      <w:proofErr w:type="spellStart"/>
      <w:r w:rsidRPr="005262F0">
        <w:t>pct_moto_ev</w:t>
      </w:r>
      <w:proofErr w:type="spellEnd"/>
      <w:r w:rsidRPr="005262F0">
        <w:t xml:space="preserve"> → modérateurs d’émissions</w:t>
      </w:r>
    </w:p>
    <w:p w14:paraId="4E0026A4" w14:textId="55A96087" w:rsidR="00412E8D" w:rsidRPr="005262F0" w:rsidRDefault="00412E8D" w:rsidP="00412E8D">
      <w:pPr>
        <w:tabs>
          <w:tab w:val="left" w:pos="1392"/>
        </w:tabs>
        <w:spacing w:after="0" w:line="240" w:lineRule="auto"/>
      </w:pPr>
      <w:r w:rsidRPr="005262F0">
        <w:t>Les descripteurs spectraux sont les plus importants.</w:t>
      </w:r>
      <w:r w:rsidR="005262F0">
        <w:t xml:space="preserve"> </w:t>
      </w:r>
      <w:r w:rsidRPr="005262F0">
        <w:t>C’est la preuve finale que ton IA est topologique.</w:t>
      </w:r>
    </w:p>
    <w:p w14:paraId="093DCA94" w14:textId="77777777" w:rsidR="00412E8D" w:rsidRPr="00412E8D" w:rsidRDefault="00412E8D" w:rsidP="00DC21EA">
      <w:pPr>
        <w:tabs>
          <w:tab w:val="left" w:pos="1392"/>
        </w:tabs>
        <w:rPr>
          <w:color w:val="FF0000"/>
        </w:rPr>
      </w:pPr>
    </w:p>
    <w:p w14:paraId="7540848A" w14:textId="77777777" w:rsidR="005E2602" w:rsidRDefault="005E2602" w:rsidP="005E2602">
      <w:pPr>
        <w:tabs>
          <w:tab w:val="left" w:pos="1392"/>
        </w:tabs>
        <w:spacing w:after="0" w:line="240" w:lineRule="auto"/>
      </w:pPr>
      <w:r>
        <w:t xml:space="preserve">4-2-4 </w:t>
      </w:r>
    </w:p>
    <w:p w14:paraId="36C136FC" w14:textId="4FFA165F" w:rsidR="005E2602" w:rsidRPr="005E2602" w:rsidRDefault="005E2602" w:rsidP="005E2602">
      <w:pPr>
        <w:tabs>
          <w:tab w:val="left" w:pos="1392"/>
        </w:tabs>
        <w:spacing w:after="0" w:line="240" w:lineRule="auto"/>
      </w:pPr>
      <w:r w:rsidRPr="005E2602">
        <w:t>Tu parles de “non-normalité brute” pour Utrecht,</w:t>
      </w:r>
      <w:r>
        <w:t xml:space="preserve">  </w:t>
      </w:r>
      <w:r w:rsidRPr="005E2602">
        <w:t>mais tu utilises des matrices d’adjacence pondérées par l’impédance physique.</w:t>
      </w:r>
      <w:r>
        <w:t xml:space="preserve"> D</w:t>
      </w:r>
      <w:r w:rsidRPr="005E2602">
        <w:t>ire “non-normalité brute” peut laisser penser que tu utilises une matrice non pondérée. Ce n’est pas faux (tu calcules les deux), mais ce n’est pas explicité dans cette section.</w:t>
      </w:r>
    </w:p>
    <w:p w14:paraId="7FEF89B5" w14:textId="2250363B" w:rsidR="005E2602" w:rsidRDefault="005E2602" w:rsidP="005E2602">
      <w:pPr>
        <w:tabs>
          <w:tab w:val="left" w:pos="1392"/>
        </w:tabs>
        <w:spacing w:after="0" w:line="240" w:lineRule="auto"/>
      </w:pPr>
      <w:r w:rsidRPr="005E2602">
        <w:t>Remplace “non-normalité brute” par :</w:t>
      </w:r>
      <w:r>
        <w:t xml:space="preserve"> </w:t>
      </w:r>
      <w:r w:rsidRPr="005E2602">
        <w:t>non-normalité spectrale pondérée, qui ne capture pas les zones piétonnes exclues du graphe de transit</w:t>
      </w:r>
      <w:r>
        <w:t xml:space="preserve"> pour éviter</w:t>
      </w:r>
      <w:r w:rsidRPr="005E2602">
        <w:t xml:space="preserve"> toute confusion.</w:t>
      </w:r>
    </w:p>
    <w:p w14:paraId="5176BE33" w14:textId="77777777" w:rsidR="007A65D5" w:rsidRDefault="007A65D5" w:rsidP="005E2602">
      <w:pPr>
        <w:tabs>
          <w:tab w:val="left" w:pos="1392"/>
        </w:tabs>
        <w:spacing w:after="0" w:line="240" w:lineRule="auto"/>
      </w:pPr>
    </w:p>
    <w:p w14:paraId="5F5D14D6" w14:textId="30920D91" w:rsidR="007A65D5" w:rsidRPr="005E2602" w:rsidRDefault="007A65D5" w:rsidP="007A65D5">
      <w:pPr>
        <w:tabs>
          <w:tab w:val="left" w:pos="1392"/>
        </w:tabs>
        <w:spacing w:after="0" w:line="240" w:lineRule="auto"/>
      </w:pPr>
      <w:r>
        <w:t xml:space="preserve">4.2.5 </w:t>
      </w:r>
      <w:r w:rsidRPr="007A65D5">
        <w:t>La séparation tridimensionnelle des flux désigne la présence de voies de circulation situées sur des niveaux verticaux distincts (tunnels, ponts, viaducs), qui ne génèrent aucune interaction cinématique entre elles. Le graphe 2D extrait d’</w:t>
      </w:r>
      <w:proofErr w:type="spellStart"/>
      <w:r w:rsidRPr="007A65D5">
        <w:t>OpenStreetMap</w:t>
      </w:r>
      <w:proofErr w:type="spellEnd"/>
      <w:r w:rsidRPr="007A65D5">
        <w:t xml:space="preserve"> ne représente que les connexions de surface et ignore ces structures verticales, ce qui conduit le modèle spectral à surestimer la congestion dans les villes où les flux souterrains absorbent une part significative du trafic.</w:t>
      </w:r>
    </w:p>
    <w:p w14:paraId="780B15BE" w14:textId="5A668E3C" w:rsidR="00DC21EA" w:rsidRPr="005D36CE" w:rsidRDefault="00DC21EA" w:rsidP="005D36CE">
      <w:pPr>
        <w:tabs>
          <w:tab w:val="left" w:pos="1392"/>
        </w:tabs>
        <w:rPr>
          <w:color w:val="FF0000"/>
        </w:rPr>
      </w:pPr>
    </w:p>
    <w:p w14:paraId="5E1687C8" w14:textId="77777777" w:rsidR="005D36CE" w:rsidRPr="00233B51" w:rsidRDefault="005D36CE" w:rsidP="005D36CE">
      <w:pPr>
        <w:tabs>
          <w:tab w:val="left" w:pos="1392"/>
        </w:tabs>
      </w:pPr>
    </w:p>
    <w:p w14:paraId="0FF9E5E7" w14:textId="77777777" w:rsidR="00233B51" w:rsidRPr="00233B51" w:rsidRDefault="00233B51" w:rsidP="00233B51">
      <w:pPr>
        <w:tabs>
          <w:tab w:val="left" w:pos="1392"/>
        </w:tabs>
      </w:pPr>
    </w:p>
    <w:sectPr w:rsidR="00233B51" w:rsidRPr="00233B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masis MT Pro Light">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727B"/>
    <w:multiLevelType w:val="multilevel"/>
    <w:tmpl w:val="3D94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236B"/>
    <w:multiLevelType w:val="multilevel"/>
    <w:tmpl w:val="EA2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A1B4D"/>
    <w:multiLevelType w:val="multilevel"/>
    <w:tmpl w:val="27A6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8586E"/>
    <w:multiLevelType w:val="multilevel"/>
    <w:tmpl w:val="9C0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C5A60"/>
    <w:multiLevelType w:val="multilevel"/>
    <w:tmpl w:val="D53C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336B0"/>
    <w:multiLevelType w:val="multilevel"/>
    <w:tmpl w:val="9F5C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55DBE"/>
    <w:multiLevelType w:val="multilevel"/>
    <w:tmpl w:val="F596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54974"/>
    <w:multiLevelType w:val="multilevel"/>
    <w:tmpl w:val="4B98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A3FD4"/>
    <w:multiLevelType w:val="multilevel"/>
    <w:tmpl w:val="F6A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D1A1E"/>
    <w:multiLevelType w:val="multilevel"/>
    <w:tmpl w:val="3C7E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35C3E"/>
    <w:multiLevelType w:val="multilevel"/>
    <w:tmpl w:val="0F9E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41984"/>
    <w:multiLevelType w:val="multilevel"/>
    <w:tmpl w:val="0656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8221F"/>
    <w:multiLevelType w:val="multilevel"/>
    <w:tmpl w:val="929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D7974"/>
    <w:multiLevelType w:val="multilevel"/>
    <w:tmpl w:val="43F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52C8D"/>
    <w:multiLevelType w:val="multilevel"/>
    <w:tmpl w:val="8DD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0482F"/>
    <w:multiLevelType w:val="multilevel"/>
    <w:tmpl w:val="E4A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07F27"/>
    <w:multiLevelType w:val="multilevel"/>
    <w:tmpl w:val="887E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67F24"/>
    <w:multiLevelType w:val="multilevel"/>
    <w:tmpl w:val="CF24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029C9"/>
    <w:multiLevelType w:val="multilevel"/>
    <w:tmpl w:val="5D8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D31B6"/>
    <w:multiLevelType w:val="multilevel"/>
    <w:tmpl w:val="B50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B3CB9"/>
    <w:multiLevelType w:val="multilevel"/>
    <w:tmpl w:val="65BC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093768"/>
    <w:multiLevelType w:val="multilevel"/>
    <w:tmpl w:val="A8EC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072E5"/>
    <w:multiLevelType w:val="multilevel"/>
    <w:tmpl w:val="0BC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6644A"/>
    <w:multiLevelType w:val="multilevel"/>
    <w:tmpl w:val="5EE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96EC2"/>
    <w:multiLevelType w:val="multilevel"/>
    <w:tmpl w:val="D4D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D540C"/>
    <w:multiLevelType w:val="multilevel"/>
    <w:tmpl w:val="15A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A4BD8"/>
    <w:multiLevelType w:val="multilevel"/>
    <w:tmpl w:val="D79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A36BC"/>
    <w:multiLevelType w:val="multilevel"/>
    <w:tmpl w:val="FA8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C6611"/>
    <w:multiLevelType w:val="multilevel"/>
    <w:tmpl w:val="BE1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811F5"/>
    <w:multiLevelType w:val="multilevel"/>
    <w:tmpl w:val="2DE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D02E6"/>
    <w:multiLevelType w:val="multilevel"/>
    <w:tmpl w:val="1E26E2F2"/>
    <w:lvl w:ilvl="0">
      <w:start w:val="1"/>
      <w:numFmt w:val="decimal"/>
      <w:lvlText w:val="%1."/>
      <w:lvlJc w:val="left"/>
      <w:pPr>
        <w:ind w:left="720" w:hanging="360"/>
      </w:pPr>
    </w:lvl>
    <w:lvl w:ilvl="1">
      <w:start w:val="2"/>
      <w:numFmt w:val="decimal"/>
      <w:isLgl/>
      <w:lvlText w:val="%1.%2"/>
      <w:lvlJc w:val="left"/>
      <w:pPr>
        <w:ind w:left="936" w:hanging="57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C9C3242"/>
    <w:multiLevelType w:val="multilevel"/>
    <w:tmpl w:val="7C703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6454C"/>
    <w:multiLevelType w:val="multilevel"/>
    <w:tmpl w:val="787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515595">
    <w:abstractNumId w:val="7"/>
  </w:num>
  <w:num w:numId="2" w16cid:durableId="747922816">
    <w:abstractNumId w:val="23"/>
  </w:num>
  <w:num w:numId="3" w16cid:durableId="2173461">
    <w:abstractNumId w:val="12"/>
  </w:num>
  <w:num w:numId="4" w16cid:durableId="1900703249">
    <w:abstractNumId w:val="0"/>
  </w:num>
  <w:num w:numId="5" w16cid:durableId="2121338489">
    <w:abstractNumId w:val="10"/>
  </w:num>
  <w:num w:numId="6" w16cid:durableId="852380686">
    <w:abstractNumId w:val="22"/>
  </w:num>
  <w:num w:numId="7" w16cid:durableId="1418986743">
    <w:abstractNumId w:val="28"/>
  </w:num>
  <w:num w:numId="8" w16cid:durableId="864946022">
    <w:abstractNumId w:val="8"/>
  </w:num>
  <w:num w:numId="9" w16cid:durableId="1987733367">
    <w:abstractNumId w:val="9"/>
  </w:num>
  <w:num w:numId="10" w16cid:durableId="602804606">
    <w:abstractNumId w:val="32"/>
  </w:num>
  <w:num w:numId="11" w16cid:durableId="850146830">
    <w:abstractNumId w:val="13"/>
  </w:num>
  <w:num w:numId="12" w16cid:durableId="878131516">
    <w:abstractNumId w:val="27"/>
  </w:num>
  <w:num w:numId="13" w16cid:durableId="1559827722">
    <w:abstractNumId w:val="19"/>
  </w:num>
  <w:num w:numId="14" w16cid:durableId="2129933250">
    <w:abstractNumId w:val="15"/>
  </w:num>
  <w:num w:numId="15" w16cid:durableId="694501874">
    <w:abstractNumId w:val="17"/>
  </w:num>
  <w:num w:numId="16" w16cid:durableId="1976452236">
    <w:abstractNumId w:val="16"/>
  </w:num>
  <w:num w:numId="17" w16cid:durableId="522784379">
    <w:abstractNumId w:val="31"/>
  </w:num>
  <w:num w:numId="18" w16cid:durableId="580137849">
    <w:abstractNumId w:val="6"/>
  </w:num>
  <w:num w:numId="19" w16cid:durableId="590050235">
    <w:abstractNumId w:val="26"/>
  </w:num>
  <w:num w:numId="20" w16cid:durableId="1981416333">
    <w:abstractNumId w:val="1"/>
  </w:num>
  <w:num w:numId="21" w16cid:durableId="1478953519">
    <w:abstractNumId w:val="29"/>
  </w:num>
  <w:num w:numId="22" w16cid:durableId="1402169237">
    <w:abstractNumId w:val="25"/>
  </w:num>
  <w:num w:numId="23" w16cid:durableId="895050511">
    <w:abstractNumId w:val="18"/>
  </w:num>
  <w:num w:numId="24" w16cid:durableId="1873416375">
    <w:abstractNumId w:val="5"/>
  </w:num>
  <w:num w:numId="25" w16cid:durableId="2089686062">
    <w:abstractNumId w:val="24"/>
  </w:num>
  <w:num w:numId="26" w16cid:durableId="133648691">
    <w:abstractNumId w:val="14"/>
  </w:num>
  <w:num w:numId="27" w16cid:durableId="596061667">
    <w:abstractNumId w:val="21"/>
  </w:num>
  <w:num w:numId="28" w16cid:durableId="912590097">
    <w:abstractNumId w:val="30"/>
  </w:num>
  <w:num w:numId="29" w16cid:durableId="1014576382">
    <w:abstractNumId w:val="20"/>
  </w:num>
  <w:num w:numId="30" w16cid:durableId="1669942417">
    <w:abstractNumId w:val="11"/>
  </w:num>
  <w:num w:numId="31" w16cid:durableId="547451101">
    <w:abstractNumId w:val="3"/>
  </w:num>
  <w:num w:numId="32" w16cid:durableId="621497132">
    <w:abstractNumId w:val="2"/>
  </w:num>
  <w:num w:numId="33" w16cid:durableId="1649214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3E3"/>
    <w:rsid w:val="0002362F"/>
    <w:rsid w:val="000914A3"/>
    <w:rsid w:val="00213A60"/>
    <w:rsid w:val="00233B51"/>
    <w:rsid w:val="00412E8D"/>
    <w:rsid w:val="00461954"/>
    <w:rsid w:val="004811A6"/>
    <w:rsid w:val="004A2CF0"/>
    <w:rsid w:val="005262F0"/>
    <w:rsid w:val="005D36CE"/>
    <w:rsid w:val="005E2602"/>
    <w:rsid w:val="005F0185"/>
    <w:rsid w:val="00677D69"/>
    <w:rsid w:val="00686B64"/>
    <w:rsid w:val="00734B86"/>
    <w:rsid w:val="007A65D5"/>
    <w:rsid w:val="00804947"/>
    <w:rsid w:val="008864D1"/>
    <w:rsid w:val="009D2C08"/>
    <w:rsid w:val="00A653E3"/>
    <w:rsid w:val="00B40844"/>
    <w:rsid w:val="00D66B6B"/>
    <w:rsid w:val="00DC21EA"/>
    <w:rsid w:val="00DC64A5"/>
    <w:rsid w:val="00E21316"/>
    <w:rsid w:val="00E32362"/>
    <w:rsid w:val="00EB415E"/>
    <w:rsid w:val="00EE751C"/>
    <w:rsid w:val="00F224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8706"/>
  <w15:chartTrackingRefBased/>
  <w15:docId w15:val="{56A273EB-DF19-4D97-87DE-635A72ED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5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65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53E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53E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53E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53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53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53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53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53E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653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53E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53E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53E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53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53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53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53E3"/>
    <w:rPr>
      <w:rFonts w:eastAsiaTheme="majorEastAsia" w:cstheme="majorBidi"/>
      <w:color w:val="272727" w:themeColor="text1" w:themeTint="D8"/>
    </w:rPr>
  </w:style>
  <w:style w:type="paragraph" w:styleId="Titre">
    <w:name w:val="Title"/>
    <w:basedOn w:val="Normal"/>
    <w:next w:val="Normal"/>
    <w:link w:val="TitreCar"/>
    <w:uiPriority w:val="10"/>
    <w:qFormat/>
    <w:rsid w:val="00A65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53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53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53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53E3"/>
    <w:pPr>
      <w:spacing w:before="160"/>
      <w:jc w:val="center"/>
    </w:pPr>
    <w:rPr>
      <w:i/>
      <w:iCs/>
      <w:color w:val="404040" w:themeColor="text1" w:themeTint="BF"/>
    </w:rPr>
  </w:style>
  <w:style w:type="character" w:customStyle="1" w:styleId="CitationCar">
    <w:name w:val="Citation Car"/>
    <w:basedOn w:val="Policepardfaut"/>
    <w:link w:val="Citation"/>
    <w:uiPriority w:val="29"/>
    <w:rsid w:val="00A653E3"/>
    <w:rPr>
      <w:i/>
      <w:iCs/>
      <w:color w:val="404040" w:themeColor="text1" w:themeTint="BF"/>
    </w:rPr>
  </w:style>
  <w:style w:type="paragraph" w:styleId="Paragraphedeliste">
    <w:name w:val="List Paragraph"/>
    <w:basedOn w:val="Normal"/>
    <w:uiPriority w:val="34"/>
    <w:qFormat/>
    <w:rsid w:val="00A653E3"/>
    <w:pPr>
      <w:ind w:left="720"/>
      <w:contextualSpacing/>
    </w:pPr>
  </w:style>
  <w:style w:type="character" w:styleId="Accentuationintense">
    <w:name w:val="Intense Emphasis"/>
    <w:basedOn w:val="Policepardfaut"/>
    <w:uiPriority w:val="21"/>
    <w:qFormat/>
    <w:rsid w:val="00A653E3"/>
    <w:rPr>
      <w:i/>
      <w:iCs/>
      <w:color w:val="0F4761" w:themeColor="accent1" w:themeShade="BF"/>
    </w:rPr>
  </w:style>
  <w:style w:type="paragraph" w:styleId="Citationintense">
    <w:name w:val="Intense Quote"/>
    <w:basedOn w:val="Normal"/>
    <w:next w:val="Normal"/>
    <w:link w:val="CitationintenseCar"/>
    <w:uiPriority w:val="30"/>
    <w:qFormat/>
    <w:rsid w:val="00A65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53E3"/>
    <w:rPr>
      <w:i/>
      <w:iCs/>
      <w:color w:val="0F4761" w:themeColor="accent1" w:themeShade="BF"/>
    </w:rPr>
  </w:style>
  <w:style w:type="character" w:styleId="Rfrenceintense">
    <w:name w:val="Intense Reference"/>
    <w:basedOn w:val="Policepardfaut"/>
    <w:uiPriority w:val="32"/>
    <w:qFormat/>
    <w:rsid w:val="00A653E3"/>
    <w:rPr>
      <w:b/>
      <w:bCs/>
      <w:smallCaps/>
      <w:color w:val="0F4761" w:themeColor="accent1" w:themeShade="BF"/>
      <w:spacing w:val="5"/>
    </w:rPr>
  </w:style>
  <w:style w:type="paragraph" w:styleId="NormalWeb">
    <w:name w:val="Normal (Web)"/>
    <w:basedOn w:val="Normal"/>
    <w:uiPriority w:val="99"/>
    <w:semiHidden/>
    <w:unhideWhenUsed/>
    <w:rsid w:val="00DC21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1423</Words>
  <Characters>7830</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UZARRALDE</dc:creator>
  <cp:keywords/>
  <dc:description/>
  <cp:lastModifiedBy>Pierre UZARRALDE</cp:lastModifiedBy>
  <cp:revision>13</cp:revision>
  <dcterms:created xsi:type="dcterms:W3CDTF">2026-06-26T07:39:00Z</dcterms:created>
  <dcterms:modified xsi:type="dcterms:W3CDTF">2026-07-01T09:38:00Z</dcterms:modified>
</cp:coreProperties>
</file>