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F1D" w:rsidRPr="00630F1D" w:rsidRDefault="00630F1D" w:rsidP="00630F1D">
      <w:pPr>
        <w:shd w:val="clear" w:color="auto" w:fill="FFFFFF"/>
        <w:spacing w:beforeAutospacing="1" w:after="0" w:afterAutospacing="1" w:line="240" w:lineRule="auto"/>
        <w:outlineLvl w:val="0"/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lang w:val="en-US"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lang w:eastAsia="ru-RU"/>
        </w:rPr>
        <w:t>ТЕХНИЧЕСКОЕ</w:t>
      </w:r>
      <w:r w:rsidRPr="00630F1D"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lang w:val="en-US" w:eastAsia="ru-RU"/>
        </w:rPr>
        <w:t xml:space="preserve"> </w:t>
      </w:r>
      <w:r w:rsidRPr="00630F1D"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lang w:eastAsia="ru-RU"/>
        </w:rPr>
        <w:t>ЗАДАНИЕ</w:t>
      </w:r>
      <w:r w:rsidRPr="00630F1D"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lang w:val="en-US" w:eastAsia="ru-RU"/>
        </w:rPr>
        <w:t>: Smart Bodybuilding Pharmacology Expert System (Ultimate)</w:t>
      </w:r>
    </w:p>
    <w:p w:rsidR="00630F1D" w:rsidRPr="00630F1D" w:rsidRDefault="00630F1D" w:rsidP="00630F1D">
      <w:pP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  <w:t>1. Общие сведения</w:t>
      </w:r>
    </w:p>
    <w:p w:rsidR="00630F1D" w:rsidRPr="00630F1D" w:rsidRDefault="00630F1D" w:rsidP="00630F1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Наименование</w:t>
      </w: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val="en-US" w:eastAsia="ru-RU"/>
        </w:rPr>
        <w:t xml:space="preserve"> </w:t>
      </w: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системы</w:t>
      </w: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val="en-US" w:eastAsia="ru-RU"/>
        </w:rPr>
        <w:t>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  <w:t xml:space="preserve"> Smart Bodybuilding: Pharmacology &amp; Physiology Engine (SB-PPE).</w:t>
      </w:r>
    </w:p>
    <w:p w:rsidR="00630F1D" w:rsidRPr="00630F1D" w:rsidRDefault="00630F1D" w:rsidP="00630F1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Цель: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Создание высокоточной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симуляционной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платформы для прогнозирования фармакокинетических (PK) и фармакодинамических (PD) эффектов, оценки рисков побочных реакций и оптимизации протоколов использования фармакологических средств в бодибилдинге.</w:t>
      </w:r>
    </w:p>
    <w:p w:rsidR="00630F1D" w:rsidRPr="00630F1D" w:rsidRDefault="00630F1D" w:rsidP="00630F1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Уровень точности: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Экспертный (с погрешностью &lt;15% относительно реальных клинических данных при наличии входных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биомаркеров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).</w:t>
      </w:r>
    </w:p>
    <w:p w:rsidR="00630F1D" w:rsidRPr="00630F1D" w:rsidRDefault="00630F1D" w:rsidP="00630F1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Целевая аудитория: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Спортивные врачи,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нутрициологи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, продвинутые атлеты, исследователи.</w:t>
      </w:r>
    </w:p>
    <w:p w:rsidR="00630F1D" w:rsidRPr="00630F1D" w:rsidRDefault="00630F1D" w:rsidP="00630F1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630F1D" w:rsidRPr="00630F1D" w:rsidRDefault="00630F1D" w:rsidP="00630F1D">
      <w:pP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  <w:t>2. Расширенная база данных препаратов (130+ единиц)</w:t>
      </w:r>
    </w:p>
    <w:p w:rsidR="00630F1D" w:rsidRPr="00630F1D" w:rsidRDefault="00630F1D" w:rsidP="00630F1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Система должна содержать детализированные профили для следующих классов веществ с обновленными параметрами:</w:t>
      </w:r>
    </w:p>
    <w:p w:rsidR="00630F1D" w:rsidRPr="00630F1D" w:rsidRDefault="00630F1D" w:rsidP="00630F1D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2.1. Классификация и охват</w:t>
      </w:r>
    </w:p>
    <w:p w:rsidR="00630F1D" w:rsidRPr="00630F1D" w:rsidRDefault="00630F1D" w:rsidP="00630F1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Анаболические андрогенные стероиды (ААС):</w:t>
      </w:r>
    </w:p>
    <w:p w:rsidR="00630F1D" w:rsidRPr="00630F1D" w:rsidRDefault="00630F1D" w:rsidP="00630F1D">
      <w:pPr>
        <w:numPr>
          <w:ilvl w:val="1"/>
          <w:numId w:val="2"/>
        </w:num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i/>
          <w:iCs/>
          <w:color w:val="1D1D1F"/>
          <w:sz w:val="24"/>
          <w:szCs w:val="24"/>
          <w:lang w:eastAsia="ru-RU"/>
        </w:rPr>
        <w:t>Инъекционные: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Все эфиры тестостерона (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Пропионат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Фенилпропионат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Энантат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Ципионат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Деканоат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Ундеканоат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),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Тренболон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(Ацетат,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Энантат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Гексагидробензилкарбонат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),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Нандролон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(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Деканоат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Фенилпропионат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),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Болденон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(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Ундексиленат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),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Примоболан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(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Энантат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),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Мастерон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(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Пропионат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Энантат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), Сустанон-250/100,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Омнадрен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.</w:t>
      </w:r>
    </w:p>
    <w:p w:rsidR="00630F1D" w:rsidRPr="00630F1D" w:rsidRDefault="00630F1D" w:rsidP="00630F1D">
      <w:pPr>
        <w:numPr>
          <w:ilvl w:val="1"/>
          <w:numId w:val="2"/>
        </w:num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i/>
          <w:iCs/>
          <w:color w:val="1D1D1F"/>
          <w:sz w:val="24"/>
          <w:szCs w:val="24"/>
          <w:lang w:eastAsia="ru-RU"/>
        </w:rPr>
        <w:t>Оральные: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Метандиенон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Оксиметолон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Станозолол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Оксандролон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Хлордегидрометилтестостерон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Туринабол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Местанолон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Дростанолон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(оральный аналог),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Супердрол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(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Метастерон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),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Метилтестостерон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Даназол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.</w:t>
      </w:r>
    </w:p>
    <w:p w:rsidR="00630F1D" w:rsidRPr="00630F1D" w:rsidRDefault="00630F1D" w:rsidP="00630F1D">
      <w:pPr>
        <w:numPr>
          <w:ilvl w:val="1"/>
          <w:numId w:val="2"/>
        </w:num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630F1D">
        <w:rPr>
          <w:rFonts w:ascii="Arial" w:eastAsia="Times New Roman" w:hAnsi="Arial" w:cs="Arial"/>
          <w:i/>
          <w:iCs/>
          <w:color w:val="1D1D1F"/>
          <w:sz w:val="24"/>
          <w:szCs w:val="24"/>
          <w:lang w:eastAsia="ru-RU"/>
        </w:rPr>
        <w:t>Трансдермальные</w:t>
      </w:r>
      <w:proofErr w:type="spellEnd"/>
      <w:r w:rsidRPr="00630F1D">
        <w:rPr>
          <w:rFonts w:ascii="Arial" w:eastAsia="Times New Roman" w:hAnsi="Arial" w:cs="Arial"/>
          <w:i/>
          <w:iCs/>
          <w:color w:val="1D1D1F"/>
          <w:sz w:val="24"/>
          <w:szCs w:val="24"/>
          <w:lang w:eastAsia="ru-RU"/>
        </w:rPr>
        <w:t>/Гели: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(Параметры всасывания через кожу).</w:t>
      </w:r>
    </w:p>
    <w:p w:rsidR="00630F1D" w:rsidRPr="00630F1D" w:rsidRDefault="00630F1D" w:rsidP="00630F1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SARMs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 xml:space="preserve"> (Селективные модуляторы андрогенных рецепторов):</w:t>
      </w:r>
    </w:p>
    <w:p w:rsidR="00630F1D" w:rsidRPr="00630F1D" w:rsidRDefault="00630F1D" w:rsidP="00630F1D">
      <w:pPr>
        <w:numPr>
          <w:ilvl w:val="1"/>
          <w:numId w:val="2"/>
        </w:num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  <w:t>Ostarine (MK-2866), Ligandrol (LGD-4033), RAD-140, YK-11, S-23, Andarine (S-4), MK-677 (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Ибутаморен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  <w:t xml:space="preserve"> — 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как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  <w:t xml:space="preserve">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секретогог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  <w:t>).</w:t>
      </w:r>
    </w:p>
    <w:p w:rsidR="00630F1D" w:rsidRPr="00630F1D" w:rsidRDefault="00630F1D" w:rsidP="00630F1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Пептиды и гормоны роста:</w:t>
      </w:r>
    </w:p>
    <w:p w:rsidR="00630F1D" w:rsidRPr="00630F1D" w:rsidRDefault="00630F1D" w:rsidP="00630F1D">
      <w:pPr>
        <w:numPr>
          <w:ilvl w:val="1"/>
          <w:numId w:val="2"/>
        </w:num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Соматотропин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(HGH) различных производителей (разная очистка), IGF-1 LR3, IGF-1 DES, GHRP-2, GHRP-6, CJC-1295 (DAC/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No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DAC),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Ipamorelin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Tesamorelin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, TB-500, BPC-157, HCG, EPO (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Эпоэтин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альфа/бета), Инсулины (Короткий, Продленный, Аналог).</w:t>
      </w:r>
    </w:p>
    <w:p w:rsidR="00630F1D" w:rsidRPr="00630F1D" w:rsidRDefault="00630F1D" w:rsidP="00630F1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 xml:space="preserve">Препараты ПКТ и 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антиэстрогены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:</w:t>
      </w:r>
    </w:p>
    <w:p w:rsidR="00630F1D" w:rsidRPr="00630F1D" w:rsidRDefault="00630F1D" w:rsidP="00630F1D">
      <w:pPr>
        <w:numPr>
          <w:ilvl w:val="1"/>
          <w:numId w:val="2"/>
        </w:num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SERMs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: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Кломифен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(цитрат/фосфат),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Тамоксифен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Торемифен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.</w:t>
      </w:r>
    </w:p>
    <w:p w:rsidR="00630F1D" w:rsidRPr="00630F1D" w:rsidRDefault="00630F1D" w:rsidP="00630F1D">
      <w:pPr>
        <w:numPr>
          <w:ilvl w:val="1"/>
          <w:numId w:val="2"/>
        </w:num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Ингибиторы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ароматазы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(ИА):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Анастрозол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Летрозол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Эксеместан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.</w:t>
      </w:r>
    </w:p>
    <w:p w:rsidR="00630F1D" w:rsidRPr="00630F1D" w:rsidRDefault="00630F1D" w:rsidP="00630F1D">
      <w:pPr>
        <w:numPr>
          <w:ilvl w:val="1"/>
          <w:numId w:val="2"/>
        </w:num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Ингибиторы 5-альфа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редуктазы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: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Финастерид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Дутастерид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.</w:t>
      </w:r>
    </w:p>
    <w:p w:rsidR="00630F1D" w:rsidRPr="00630F1D" w:rsidRDefault="00630F1D" w:rsidP="00630F1D">
      <w:pPr>
        <w:numPr>
          <w:ilvl w:val="1"/>
          <w:numId w:val="2"/>
        </w:num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lastRenderedPageBreak/>
        <w:t xml:space="preserve">Агонисты дофамина: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Каберголин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Прамипексол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.</w:t>
      </w:r>
    </w:p>
    <w:p w:rsidR="00630F1D" w:rsidRPr="00630F1D" w:rsidRDefault="00630F1D" w:rsidP="00630F1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 xml:space="preserve">Препараты поддержки и 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кардио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-протекции:</w:t>
      </w:r>
    </w:p>
    <w:p w:rsidR="00630F1D" w:rsidRPr="00630F1D" w:rsidRDefault="00630F1D" w:rsidP="00630F1D">
      <w:pPr>
        <w:numPr>
          <w:ilvl w:val="1"/>
          <w:numId w:val="2"/>
        </w:num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Антигипертензивные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: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Телмисартан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Лизиноприл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Амлодипин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Клонидин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.</w:t>
      </w:r>
    </w:p>
    <w:p w:rsidR="00630F1D" w:rsidRPr="00630F1D" w:rsidRDefault="00630F1D" w:rsidP="00630F1D">
      <w:pPr>
        <w:numPr>
          <w:ilvl w:val="1"/>
          <w:numId w:val="2"/>
        </w:num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Гиполипидемические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: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Аторвастатин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Розувастатин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Эзетимиб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Берберин,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Поликосанол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.</w:t>
      </w:r>
    </w:p>
    <w:p w:rsidR="00630F1D" w:rsidRPr="00630F1D" w:rsidRDefault="00630F1D" w:rsidP="00630F1D">
      <w:pPr>
        <w:numPr>
          <w:ilvl w:val="1"/>
          <w:numId w:val="2"/>
        </w:num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Гепатопротекторы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: NAC, TUDCA,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SAMe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Силимарин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.</w:t>
      </w:r>
    </w:p>
    <w:p w:rsidR="00630F1D" w:rsidRPr="00630F1D" w:rsidRDefault="00630F1D" w:rsidP="00630F1D">
      <w:pPr>
        <w:numPr>
          <w:ilvl w:val="1"/>
          <w:numId w:val="2"/>
        </w:num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Антикоагулянты/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Антиагреганты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: Аспирин,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Варфарин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(с осторожностью),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Пентоксифиллин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.</w:t>
      </w:r>
    </w:p>
    <w:p w:rsidR="00630F1D" w:rsidRPr="00630F1D" w:rsidRDefault="00630F1D" w:rsidP="00630F1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 xml:space="preserve">Стимуляторы и 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жиросжигатели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:</w:t>
      </w:r>
    </w:p>
    <w:p w:rsidR="00630F1D" w:rsidRPr="00630F1D" w:rsidRDefault="00630F1D" w:rsidP="00630F1D">
      <w:pPr>
        <w:numPr>
          <w:ilvl w:val="1"/>
          <w:numId w:val="2"/>
        </w:num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Кленбутерол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Сальбутамол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Эфедрин (комплексы),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Йохимбин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Тироксин (T4),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Лиотиронин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(T3), DNP (с экстремальным предупреждением о токсичности).</w:t>
      </w:r>
    </w:p>
    <w:p w:rsidR="00630F1D" w:rsidRPr="00630F1D" w:rsidRDefault="00630F1D" w:rsidP="00630F1D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2.2. Параметры каждого препарата (минимум 50 точек данных)</w:t>
      </w:r>
    </w:p>
    <w:p w:rsidR="00630F1D" w:rsidRPr="00630F1D" w:rsidRDefault="00630F1D" w:rsidP="00630F1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PK (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Фармакокинетика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):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Период полувыведения (</w:t>
      </w:r>
      <w:r w:rsidRPr="00630F1D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T1/2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T</w:t>
      </w:r>
      <w:r w:rsidRPr="00630F1D">
        <w:rPr>
          <w:rFonts w:ascii="Arial" w:eastAsia="Times New Roman" w:hAnsi="Arial" w:cs="Arial"/>
          <w:color w:val="1D1D1F"/>
          <w:sz w:val="20"/>
          <w:szCs w:val="20"/>
          <w:lang w:eastAsia="ru-RU"/>
        </w:rPr>
        <w:t>1/2</w:t>
      </w:r>
      <w:r w:rsidRPr="00630F1D">
        <w:rPr>
          <w:rFonts w:ascii="Arial" w:eastAsia="Times New Roman" w:hAnsi="Arial" w:cs="Arial"/>
          <w:color w:val="1D1D1F"/>
          <w:sz w:val="2"/>
          <w:szCs w:val="2"/>
          <w:lang w:eastAsia="ru-RU"/>
        </w:rPr>
        <w:t>​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), время достижения пика (</w:t>
      </w:r>
      <w:proofErr w:type="spellStart"/>
      <w:r w:rsidRPr="00630F1D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Tmax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T</w:t>
      </w:r>
      <w:r w:rsidRPr="00630F1D">
        <w:rPr>
          <w:rFonts w:ascii="Arial" w:eastAsia="Times New Roman" w:hAnsi="Arial" w:cs="Arial"/>
          <w:i/>
          <w:iCs/>
          <w:color w:val="1D1D1F"/>
          <w:sz w:val="20"/>
          <w:szCs w:val="20"/>
          <w:lang w:eastAsia="ru-RU"/>
        </w:rPr>
        <w:t>max</w:t>
      </w:r>
      <w:proofErr w:type="spellEnd"/>
      <w:r w:rsidRPr="00630F1D">
        <w:rPr>
          <w:rFonts w:ascii="Arial" w:eastAsia="Times New Roman" w:hAnsi="Arial" w:cs="Arial"/>
          <w:color w:val="1D1D1F"/>
          <w:sz w:val="2"/>
          <w:szCs w:val="2"/>
          <w:lang w:eastAsia="ru-RU"/>
        </w:rPr>
        <w:t>​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),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биодоступность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(%), связывание с белками плазмы (%), объем распределения (</w:t>
      </w:r>
      <w:proofErr w:type="spellStart"/>
      <w:r w:rsidRPr="00630F1D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Vd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V</w:t>
      </w:r>
      <w:r w:rsidRPr="00630F1D">
        <w:rPr>
          <w:rFonts w:ascii="Arial" w:eastAsia="Times New Roman" w:hAnsi="Arial" w:cs="Arial"/>
          <w:i/>
          <w:iCs/>
          <w:color w:val="1D1D1F"/>
          <w:sz w:val="20"/>
          <w:szCs w:val="20"/>
          <w:lang w:eastAsia="ru-RU"/>
        </w:rPr>
        <w:t>d</w:t>
      </w:r>
      <w:proofErr w:type="spellEnd"/>
      <w:r w:rsidRPr="00630F1D">
        <w:rPr>
          <w:rFonts w:ascii="Arial" w:eastAsia="Times New Roman" w:hAnsi="Arial" w:cs="Arial"/>
          <w:color w:val="1D1D1F"/>
          <w:sz w:val="2"/>
          <w:szCs w:val="2"/>
          <w:lang w:eastAsia="ru-RU"/>
        </w:rPr>
        <w:t>​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), путь метаболизма (CYP450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изоформы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), путь выведения.</w:t>
      </w:r>
    </w:p>
    <w:p w:rsidR="00630F1D" w:rsidRPr="00630F1D" w:rsidRDefault="00630F1D" w:rsidP="00630F1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PD (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Фармакодинамика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):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Аффинность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к андрогенным рецепторам (AR),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аффинность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к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прогестероновым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рецепторам (PR), индекс ароматизации (%), индекс 5-альфа восстановления,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гепатотоксичность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(класс), влияние на липидный профиль (ЛПНП/ЛПВП), влияние на гематокрит,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нейротоксичность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.</w:t>
      </w:r>
    </w:p>
    <w:p w:rsidR="00630F1D" w:rsidRPr="00630F1D" w:rsidRDefault="00630F1D" w:rsidP="00630F1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Взаимодействия: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Синергия/антагонизм с другими препаратами из базы.</w:t>
      </w:r>
    </w:p>
    <w:p w:rsidR="00630F1D" w:rsidRPr="00630F1D" w:rsidRDefault="00630F1D" w:rsidP="00630F1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630F1D" w:rsidRPr="00630F1D" w:rsidRDefault="00630F1D" w:rsidP="00630F1D">
      <w:pP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  <w:t>3. Усиленная математическая модель (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  <w:t>Core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  <w:t xml:space="preserve"> 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  <w:t>Engine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  <w:t>)</w:t>
      </w:r>
    </w:p>
    <w:p w:rsidR="00630F1D" w:rsidRPr="00630F1D" w:rsidRDefault="00630F1D" w:rsidP="00630F1D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 xml:space="preserve">3.1. 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Фармакокинетика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 xml:space="preserve"> (PK 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Model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)</w:t>
      </w:r>
    </w:p>
    <w:p w:rsidR="00630F1D" w:rsidRPr="00630F1D" w:rsidRDefault="00630F1D" w:rsidP="00630F1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Переход от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однокомпартментной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к 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двухкомпартментной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 xml:space="preserve"> модели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с учетом депо-эффекта для эфиров: </w:t>
      </w:r>
      <w:r w:rsidRPr="00630F1D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C(t)=∑iDi</w:t>
      </w:r>
      <w:r w:rsidRPr="00630F1D">
        <w:rPr>
          <w:rFonts w:ascii="Cambria Math" w:eastAsia="Times New Roman" w:hAnsi="Cambria Math" w:cs="Cambria Math"/>
          <w:color w:val="1D1D1F"/>
          <w:sz w:val="29"/>
          <w:szCs w:val="29"/>
          <w:bdr w:val="none" w:sz="0" w:space="0" w:color="auto" w:frame="1"/>
          <w:lang w:eastAsia="ru-RU"/>
        </w:rPr>
        <w:t>⋅</w:t>
      </w:r>
      <w:r w:rsidRPr="00630F1D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FVd</w:t>
      </w:r>
      <w:r w:rsidRPr="00630F1D">
        <w:rPr>
          <w:rFonts w:ascii="Cambria Math" w:eastAsia="Times New Roman" w:hAnsi="Cambria Math" w:cs="Cambria Math"/>
          <w:color w:val="1D1D1F"/>
          <w:sz w:val="29"/>
          <w:szCs w:val="29"/>
          <w:bdr w:val="none" w:sz="0" w:space="0" w:color="auto" w:frame="1"/>
          <w:lang w:eastAsia="ru-RU"/>
        </w:rPr>
        <w:t>⋅</w:t>
      </w:r>
      <w:r w:rsidRPr="00630F1D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(k21−α)/(β−</w:t>
      </w:r>
      <w:proofErr w:type="gramStart"/>
      <w:r w:rsidRPr="00630F1D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α)</w:t>
      </w:r>
      <w:r w:rsidRPr="00630F1D">
        <w:rPr>
          <w:rFonts w:ascii="Cambria Math" w:eastAsia="Times New Roman" w:hAnsi="Cambria Math" w:cs="Cambria Math"/>
          <w:color w:val="1D1D1F"/>
          <w:sz w:val="29"/>
          <w:szCs w:val="29"/>
          <w:bdr w:val="none" w:sz="0" w:space="0" w:color="auto" w:frame="1"/>
          <w:lang w:eastAsia="ru-RU"/>
        </w:rPr>
        <w:t>⋅</w:t>
      </w:r>
      <w:proofErr w:type="gramEnd"/>
      <w:r w:rsidRPr="00630F1D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(e−αt−e−βt)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C</w:t>
      </w:r>
      <w:r w:rsidRPr="00630F1D">
        <w:rPr>
          <w:rFonts w:ascii="Arial" w:eastAsia="Times New Roman" w:hAnsi="Arial" w:cs="Arial"/>
          <w:color w:val="1D1D1F"/>
          <w:sz w:val="29"/>
          <w:szCs w:val="29"/>
          <w:lang w:eastAsia="ru-RU"/>
        </w:rPr>
        <w:t>(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t</w:t>
      </w:r>
      <w:r w:rsidRPr="00630F1D">
        <w:rPr>
          <w:rFonts w:ascii="Arial" w:eastAsia="Times New Roman" w:hAnsi="Arial" w:cs="Arial"/>
          <w:color w:val="1D1D1F"/>
          <w:sz w:val="29"/>
          <w:szCs w:val="29"/>
          <w:lang w:eastAsia="ru-RU"/>
        </w:rPr>
        <w:t>)=∑</w:t>
      </w:r>
      <w:r w:rsidRPr="00630F1D">
        <w:rPr>
          <w:rFonts w:ascii="Arial" w:eastAsia="Times New Roman" w:hAnsi="Arial" w:cs="Arial"/>
          <w:i/>
          <w:iCs/>
          <w:color w:val="1D1D1F"/>
          <w:sz w:val="20"/>
          <w:szCs w:val="20"/>
          <w:lang w:eastAsia="ru-RU"/>
        </w:rPr>
        <w:t>i</w:t>
      </w:r>
      <w:r w:rsidRPr="00630F1D">
        <w:rPr>
          <w:rFonts w:ascii="Arial" w:eastAsia="Times New Roman" w:hAnsi="Arial" w:cs="Arial"/>
          <w:color w:val="1D1D1F"/>
          <w:sz w:val="2"/>
          <w:szCs w:val="2"/>
          <w:lang w:eastAsia="ru-RU"/>
        </w:rPr>
        <w:t>​</w:t>
      </w:r>
      <w:r w:rsidRPr="00630F1D">
        <w:rPr>
          <w:rFonts w:ascii="Arial" w:eastAsia="Times New Roman" w:hAnsi="Arial" w:cs="Arial"/>
          <w:i/>
          <w:iCs/>
          <w:color w:val="1D1D1F"/>
          <w:sz w:val="20"/>
          <w:szCs w:val="20"/>
          <w:lang w:eastAsia="ru-RU"/>
        </w:rPr>
        <w:t>V</w:t>
      </w:r>
      <w:r w:rsidRPr="00630F1D">
        <w:rPr>
          <w:rFonts w:ascii="Arial" w:eastAsia="Times New Roman" w:hAnsi="Arial" w:cs="Arial"/>
          <w:i/>
          <w:iCs/>
          <w:color w:val="1D1D1F"/>
          <w:sz w:val="14"/>
          <w:szCs w:val="14"/>
          <w:lang w:eastAsia="ru-RU"/>
        </w:rPr>
        <w:t>d</w:t>
      </w:r>
      <w:r w:rsidRPr="00630F1D">
        <w:rPr>
          <w:rFonts w:ascii="Arial" w:eastAsia="Times New Roman" w:hAnsi="Arial" w:cs="Arial"/>
          <w:color w:val="1D1D1F"/>
          <w:sz w:val="2"/>
          <w:szCs w:val="2"/>
          <w:lang w:eastAsia="ru-RU"/>
        </w:rPr>
        <w:t>​</w:t>
      </w:r>
      <w:r w:rsidRPr="00630F1D">
        <w:rPr>
          <w:rFonts w:ascii="Arial" w:eastAsia="Times New Roman" w:hAnsi="Arial" w:cs="Arial"/>
          <w:i/>
          <w:iCs/>
          <w:color w:val="1D1D1F"/>
          <w:sz w:val="20"/>
          <w:szCs w:val="20"/>
          <w:lang w:eastAsia="ru-RU"/>
        </w:rPr>
        <w:t>D</w:t>
      </w:r>
      <w:r w:rsidRPr="00630F1D">
        <w:rPr>
          <w:rFonts w:ascii="Arial" w:eastAsia="Times New Roman" w:hAnsi="Arial" w:cs="Arial"/>
          <w:i/>
          <w:iCs/>
          <w:color w:val="1D1D1F"/>
          <w:sz w:val="14"/>
          <w:szCs w:val="14"/>
          <w:lang w:eastAsia="ru-RU"/>
        </w:rPr>
        <w:t>i</w:t>
      </w:r>
      <w:r w:rsidRPr="00630F1D">
        <w:rPr>
          <w:rFonts w:ascii="Arial" w:eastAsia="Times New Roman" w:hAnsi="Arial" w:cs="Arial"/>
          <w:color w:val="1D1D1F"/>
          <w:sz w:val="2"/>
          <w:szCs w:val="2"/>
          <w:lang w:eastAsia="ru-RU"/>
        </w:rPr>
        <w:t>​</w:t>
      </w:r>
      <w:r w:rsidRPr="00630F1D">
        <w:rPr>
          <w:rFonts w:ascii="Cambria Math" w:eastAsia="Times New Roman" w:hAnsi="Cambria Math" w:cs="Cambria Math"/>
          <w:color w:val="1D1D1F"/>
          <w:sz w:val="20"/>
          <w:szCs w:val="20"/>
          <w:lang w:eastAsia="ru-RU"/>
        </w:rPr>
        <w:t>⋅</w:t>
      </w:r>
      <w:r w:rsidRPr="00630F1D">
        <w:rPr>
          <w:rFonts w:ascii="Arial" w:eastAsia="Times New Roman" w:hAnsi="Arial" w:cs="Arial"/>
          <w:i/>
          <w:iCs/>
          <w:color w:val="1D1D1F"/>
          <w:sz w:val="20"/>
          <w:szCs w:val="20"/>
          <w:lang w:eastAsia="ru-RU"/>
        </w:rPr>
        <w:t>F</w:t>
      </w:r>
      <w:r w:rsidRPr="00630F1D">
        <w:rPr>
          <w:rFonts w:ascii="Arial" w:eastAsia="Times New Roman" w:hAnsi="Arial" w:cs="Arial"/>
          <w:color w:val="1D1D1F"/>
          <w:sz w:val="2"/>
          <w:szCs w:val="2"/>
          <w:lang w:eastAsia="ru-RU"/>
        </w:rPr>
        <w:t>​</w:t>
      </w:r>
      <w:r w:rsidRPr="00630F1D">
        <w:rPr>
          <w:rFonts w:ascii="Cambria Math" w:eastAsia="Times New Roman" w:hAnsi="Cambria Math" w:cs="Cambria Math"/>
          <w:color w:val="1D1D1F"/>
          <w:sz w:val="29"/>
          <w:szCs w:val="29"/>
          <w:lang w:eastAsia="ru-RU"/>
        </w:rPr>
        <w:t>⋅</w:t>
      </w:r>
      <w:r w:rsidRPr="00630F1D">
        <w:rPr>
          <w:rFonts w:ascii="Arial" w:eastAsia="Times New Roman" w:hAnsi="Arial" w:cs="Arial"/>
          <w:color w:val="1D1D1F"/>
          <w:sz w:val="29"/>
          <w:szCs w:val="29"/>
          <w:lang w:eastAsia="ru-RU"/>
        </w:rPr>
        <w:t>(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k</w:t>
      </w:r>
      <w:r w:rsidRPr="00630F1D">
        <w:rPr>
          <w:rFonts w:ascii="Arial" w:eastAsia="Times New Roman" w:hAnsi="Arial" w:cs="Arial"/>
          <w:color w:val="1D1D1F"/>
          <w:sz w:val="20"/>
          <w:szCs w:val="20"/>
          <w:lang w:eastAsia="ru-RU"/>
        </w:rPr>
        <w:t>21</w:t>
      </w:r>
      <w:r w:rsidRPr="00630F1D">
        <w:rPr>
          <w:rFonts w:ascii="Arial" w:eastAsia="Times New Roman" w:hAnsi="Arial" w:cs="Arial"/>
          <w:color w:val="1D1D1F"/>
          <w:sz w:val="2"/>
          <w:szCs w:val="2"/>
          <w:lang w:eastAsia="ru-RU"/>
        </w:rPr>
        <w:t>​</w:t>
      </w:r>
      <w:r w:rsidRPr="00630F1D">
        <w:rPr>
          <w:rFonts w:ascii="Arial" w:eastAsia="Times New Roman" w:hAnsi="Arial" w:cs="Arial"/>
          <w:color w:val="1D1D1F"/>
          <w:sz w:val="29"/>
          <w:szCs w:val="29"/>
          <w:lang w:eastAsia="ru-RU"/>
        </w:rPr>
        <w:t>−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α</w:t>
      </w:r>
      <w:r w:rsidRPr="00630F1D">
        <w:rPr>
          <w:rFonts w:ascii="Arial" w:eastAsia="Times New Roman" w:hAnsi="Arial" w:cs="Arial"/>
          <w:color w:val="1D1D1F"/>
          <w:sz w:val="29"/>
          <w:szCs w:val="29"/>
          <w:lang w:eastAsia="ru-RU"/>
        </w:rPr>
        <w:t>)/(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β</w:t>
      </w:r>
      <w:r w:rsidRPr="00630F1D">
        <w:rPr>
          <w:rFonts w:ascii="Arial" w:eastAsia="Times New Roman" w:hAnsi="Arial" w:cs="Arial"/>
          <w:color w:val="1D1D1F"/>
          <w:sz w:val="29"/>
          <w:szCs w:val="29"/>
          <w:lang w:eastAsia="ru-RU"/>
        </w:rPr>
        <w:t>−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α</w:t>
      </w:r>
      <w:r w:rsidRPr="00630F1D">
        <w:rPr>
          <w:rFonts w:ascii="Arial" w:eastAsia="Times New Roman" w:hAnsi="Arial" w:cs="Arial"/>
          <w:color w:val="1D1D1F"/>
          <w:sz w:val="29"/>
          <w:szCs w:val="29"/>
          <w:lang w:eastAsia="ru-RU"/>
        </w:rPr>
        <w:t>)</w:t>
      </w:r>
      <w:r w:rsidRPr="00630F1D">
        <w:rPr>
          <w:rFonts w:ascii="Cambria Math" w:eastAsia="Times New Roman" w:hAnsi="Cambria Math" w:cs="Cambria Math"/>
          <w:color w:val="1D1D1F"/>
          <w:sz w:val="29"/>
          <w:szCs w:val="29"/>
          <w:lang w:eastAsia="ru-RU"/>
        </w:rPr>
        <w:t>⋅</w:t>
      </w:r>
      <w:r w:rsidRPr="00630F1D">
        <w:rPr>
          <w:rFonts w:ascii="Arial" w:eastAsia="Times New Roman" w:hAnsi="Arial" w:cs="Arial"/>
          <w:color w:val="1D1D1F"/>
          <w:sz w:val="29"/>
          <w:szCs w:val="29"/>
          <w:lang w:eastAsia="ru-RU"/>
        </w:rPr>
        <w:t>(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e</w:t>
      </w:r>
      <w:r w:rsidRPr="00630F1D">
        <w:rPr>
          <w:rFonts w:ascii="Arial" w:eastAsia="Times New Roman" w:hAnsi="Arial" w:cs="Arial"/>
          <w:color w:val="1D1D1F"/>
          <w:sz w:val="20"/>
          <w:szCs w:val="20"/>
          <w:lang w:eastAsia="ru-RU"/>
        </w:rPr>
        <w:t>−</w:t>
      </w:r>
      <w:r w:rsidRPr="00630F1D">
        <w:rPr>
          <w:rFonts w:ascii="Arial" w:eastAsia="Times New Roman" w:hAnsi="Arial" w:cs="Arial"/>
          <w:i/>
          <w:iCs/>
          <w:color w:val="1D1D1F"/>
          <w:sz w:val="20"/>
          <w:szCs w:val="20"/>
          <w:lang w:eastAsia="ru-RU"/>
        </w:rPr>
        <w:t>αt</w:t>
      </w:r>
      <w:r w:rsidRPr="00630F1D">
        <w:rPr>
          <w:rFonts w:ascii="Arial" w:eastAsia="Times New Roman" w:hAnsi="Arial" w:cs="Arial"/>
          <w:color w:val="1D1D1F"/>
          <w:sz w:val="29"/>
          <w:szCs w:val="29"/>
          <w:lang w:eastAsia="ru-RU"/>
        </w:rPr>
        <w:t>−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e</w:t>
      </w:r>
      <w:r w:rsidRPr="00630F1D">
        <w:rPr>
          <w:rFonts w:ascii="Arial" w:eastAsia="Times New Roman" w:hAnsi="Arial" w:cs="Arial"/>
          <w:color w:val="1D1D1F"/>
          <w:sz w:val="20"/>
          <w:szCs w:val="20"/>
          <w:lang w:eastAsia="ru-RU"/>
        </w:rPr>
        <w:t>−</w:t>
      </w:r>
      <w:r w:rsidRPr="00630F1D">
        <w:rPr>
          <w:rFonts w:ascii="Arial" w:eastAsia="Times New Roman" w:hAnsi="Arial" w:cs="Arial"/>
          <w:i/>
          <w:iCs/>
          <w:color w:val="1D1D1F"/>
          <w:sz w:val="20"/>
          <w:szCs w:val="20"/>
          <w:lang w:eastAsia="ru-RU"/>
        </w:rPr>
        <w:t>βt</w:t>
      </w:r>
      <w:r w:rsidRPr="00630F1D">
        <w:rPr>
          <w:rFonts w:ascii="Arial" w:eastAsia="Times New Roman" w:hAnsi="Arial" w:cs="Arial"/>
          <w:color w:val="1D1D1F"/>
          <w:sz w:val="29"/>
          <w:szCs w:val="29"/>
          <w:lang w:eastAsia="ru-RU"/>
        </w:rPr>
        <w:t>)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Где учитывается:</w:t>
      </w:r>
    </w:p>
    <w:p w:rsidR="00630F1D" w:rsidRPr="00630F1D" w:rsidRDefault="00630F1D" w:rsidP="00630F1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Кинетика высвобождения из масляного депо (для инъекций).</w:t>
      </w:r>
    </w:p>
    <w:p w:rsidR="00630F1D" w:rsidRPr="00630F1D" w:rsidRDefault="00630F1D" w:rsidP="00630F1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Накопление при повторных введениях (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Steady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State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calculation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).</w:t>
      </w:r>
    </w:p>
    <w:p w:rsidR="00630F1D" w:rsidRPr="00630F1D" w:rsidRDefault="00630F1D" w:rsidP="00630F1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Индивидуальный клиренс на основе генетики.</w:t>
      </w:r>
    </w:p>
    <w:p w:rsidR="00630F1D" w:rsidRPr="00630F1D" w:rsidRDefault="00630F1D" w:rsidP="00630F1D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 xml:space="preserve">3.2. 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Фармакодинамика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 xml:space="preserve"> (PD 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Model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)</w:t>
      </w:r>
    </w:p>
    <w:p w:rsidR="00630F1D" w:rsidRPr="00630F1D" w:rsidRDefault="00630F1D" w:rsidP="00630F1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Использование модифицированного уравнения Хилла с временными задержками: </w:t>
      </w:r>
      <w:r w:rsidRPr="00630F1D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E(t)=E0+Emax</w:t>
      </w:r>
      <w:r w:rsidRPr="00630F1D">
        <w:rPr>
          <w:rFonts w:ascii="Cambria Math" w:eastAsia="Times New Roman" w:hAnsi="Cambria Math" w:cs="Cambria Math"/>
          <w:color w:val="1D1D1F"/>
          <w:sz w:val="29"/>
          <w:szCs w:val="29"/>
          <w:bdr w:val="none" w:sz="0" w:space="0" w:color="auto" w:frame="1"/>
          <w:lang w:eastAsia="ru-RU"/>
        </w:rPr>
        <w:t>⋅</w:t>
      </w:r>
      <w:r w:rsidRPr="00630F1D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C(t)nEC50n+C(t)n</w:t>
      </w:r>
      <w:r w:rsidRPr="00630F1D">
        <w:rPr>
          <w:rFonts w:ascii="Cambria Math" w:eastAsia="Times New Roman" w:hAnsi="Cambria Math" w:cs="Cambria Math"/>
          <w:color w:val="1D1D1F"/>
          <w:sz w:val="29"/>
          <w:szCs w:val="29"/>
          <w:bdr w:val="none" w:sz="0" w:space="0" w:color="auto" w:frame="1"/>
          <w:lang w:eastAsia="ru-RU"/>
        </w:rPr>
        <w:t>⋅</w:t>
      </w:r>
      <w:r w:rsidRPr="00630F1D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(1−Tolerance(t</w:t>
      </w:r>
      <w:proofErr w:type="gramStart"/>
      <w:r w:rsidRPr="00630F1D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))</w:t>
      </w:r>
      <w:r w:rsidRPr="00630F1D">
        <w:rPr>
          <w:rFonts w:ascii="Cambria Math" w:eastAsia="Times New Roman" w:hAnsi="Cambria Math" w:cs="Cambria Math"/>
          <w:color w:val="1D1D1F"/>
          <w:sz w:val="29"/>
          <w:szCs w:val="29"/>
          <w:bdr w:val="none" w:sz="0" w:space="0" w:color="auto" w:frame="1"/>
          <w:lang w:eastAsia="ru-RU"/>
        </w:rPr>
        <w:t>⋅</w:t>
      </w:r>
      <w:proofErr w:type="gramEnd"/>
      <w:r w:rsidRPr="00630F1D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GeneticFactor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E</w:t>
      </w:r>
      <w:r w:rsidRPr="00630F1D">
        <w:rPr>
          <w:rFonts w:ascii="Arial" w:eastAsia="Times New Roman" w:hAnsi="Arial" w:cs="Arial"/>
          <w:color w:val="1D1D1F"/>
          <w:sz w:val="29"/>
          <w:szCs w:val="29"/>
          <w:lang w:eastAsia="ru-RU"/>
        </w:rPr>
        <w:t>(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t</w:t>
      </w:r>
      <w:r w:rsidRPr="00630F1D">
        <w:rPr>
          <w:rFonts w:ascii="Arial" w:eastAsia="Times New Roman" w:hAnsi="Arial" w:cs="Arial"/>
          <w:color w:val="1D1D1F"/>
          <w:sz w:val="29"/>
          <w:szCs w:val="29"/>
          <w:lang w:eastAsia="ru-RU"/>
        </w:rPr>
        <w:t>)=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E</w:t>
      </w:r>
      <w:r w:rsidRPr="00630F1D">
        <w:rPr>
          <w:rFonts w:ascii="Arial" w:eastAsia="Times New Roman" w:hAnsi="Arial" w:cs="Arial"/>
          <w:color w:val="1D1D1F"/>
          <w:sz w:val="20"/>
          <w:szCs w:val="20"/>
          <w:lang w:eastAsia="ru-RU"/>
        </w:rPr>
        <w:t>0</w:t>
      </w:r>
      <w:r w:rsidRPr="00630F1D">
        <w:rPr>
          <w:rFonts w:ascii="Arial" w:eastAsia="Times New Roman" w:hAnsi="Arial" w:cs="Arial"/>
          <w:color w:val="1D1D1F"/>
          <w:sz w:val="2"/>
          <w:szCs w:val="2"/>
          <w:lang w:eastAsia="ru-RU"/>
        </w:rPr>
        <w:t>​</w:t>
      </w:r>
      <w:r w:rsidRPr="00630F1D">
        <w:rPr>
          <w:rFonts w:ascii="Arial" w:eastAsia="Times New Roman" w:hAnsi="Arial" w:cs="Arial"/>
          <w:color w:val="1D1D1F"/>
          <w:sz w:val="29"/>
          <w:szCs w:val="29"/>
          <w:lang w:eastAsia="ru-RU"/>
        </w:rPr>
        <w:t>+</w:t>
      </w:r>
      <w:r w:rsidRPr="00630F1D">
        <w:rPr>
          <w:rFonts w:ascii="Arial" w:eastAsia="Times New Roman" w:hAnsi="Arial" w:cs="Arial"/>
          <w:i/>
          <w:iCs/>
          <w:color w:val="1D1D1F"/>
          <w:sz w:val="20"/>
          <w:szCs w:val="20"/>
          <w:lang w:eastAsia="ru-RU"/>
        </w:rPr>
        <w:t>EC</w:t>
      </w:r>
      <w:r w:rsidRPr="00630F1D">
        <w:rPr>
          <w:rFonts w:ascii="Arial" w:eastAsia="Times New Roman" w:hAnsi="Arial" w:cs="Arial"/>
          <w:color w:val="1D1D1F"/>
          <w:sz w:val="14"/>
          <w:szCs w:val="14"/>
          <w:lang w:eastAsia="ru-RU"/>
        </w:rPr>
        <w:t>50</w:t>
      </w:r>
      <w:r w:rsidRPr="00630F1D">
        <w:rPr>
          <w:rFonts w:ascii="Arial" w:eastAsia="Times New Roman" w:hAnsi="Arial" w:cs="Arial"/>
          <w:i/>
          <w:iCs/>
          <w:color w:val="1D1D1F"/>
          <w:sz w:val="14"/>
          <w:szCs w:val="14"/>
          <w:lang w:eastAsia="ru-RU"/>
        </w:rPr>
        <w:t>n</w:t>
      </w:r>
      <w:r w:rsidRPr="00630F1D">
        <w:rPr>
          <w:rFonts w:ascii="Arial" w:eastAsia="Times New Roman" w:hAnsi="Arial" w:cs="Arial"/>
          <w:color w:val="1D1D1F"/>
          <w:sz w:val="2"/>
          <w:szCs w:val="2"/>
          <w:lang w:eastAsia="ru-RU"/>
        </w:rPr>
        <w:t>​</w:t>
      </w:r>
      <w:r w:rsidRPr="00630F1D">
        <w:rPr>
          <w:rFonts w:ascii="Arial" w:eastAsia="Times New Roman" w:hAnsi="Arial" w:cs="Arial"/>
          <w:color w:val="1D1D1F"/>
          <w:sz w:val="20"/>
          <w:szCs w:val="20"/>
          <w:lang w:eastAsia="ru-RU"/>
        </w:rPr>
        <w:t>+</w:t>
      </w:r>
      <w:r w:rsidRPr="00630F1D">
        <w:rPr>
          <w:rFonts w:ascii="Arial" w:eastAsia="Times New Roman" w:hAnsi="Arial" w:cs="Arial"/>
          <w:i/>
          <w:iCs/>
          <w:color w:val="1D1D1F"/>
          <w:sz w:val="20"/>
          <w:szCs w:val="20"/>
          <w:lang w:eastAsia="ru-RU"/>
        </w:rPr>
        <w:t>C</w:t>
      </w:r>
      <w:r w:rsidRPr="00630F1D">
        <w:rPr>
          <w:rFonts w:ascii="Arial" w:eastAsia="Times New Roman" w:hAnsi="Arial" w:cs="Arial"/>
          <w:color w:val="1D1D1F"/>
          <w:sz w:val="20"/>
          <w:szCs w:val="20"/>
          <w:lang w:eastAsia="ru-RU"/>
        </w:rPr>
        <w:t>(</w:t>
      </w:r>
      <w:r w:rsidRPr="00630F1D">
        <w:rPr>
          <w:rFonts w:ascii="Arial" w:eastAsia="Times New Roman" w:hAnsi="Arial" w:cs="Arial"/>
          <w:i/>
          <w:iCs/>
          <w:color w:val="1D1D1F"/>
          <w:sz w:val="20"/>
          <w:szCs w:val="20"/>
          <w:lang w:eastAsia="ru-RU"/>
        </w:rPr>
        <w:t>t</w:t>
      </w:r>
      <w:r w:rsidRPr="00630F1D">
        <w:rPr>
          <w:rFonts w:ascii="Arial" w:eastAsia="Times New Roman" w:hAnsi="Arial" w:cs="Arial"/>
          <w:color w:val="1D1D1F"/>
          <w:sz w:val="20"/>
          <w:szCs w:val="20"/>
          <w:lang w:eastAsia="ru-RU"/>
        </w:rPr>
        <w:t>)</w:t>
      </w:r>
      <w:r w:rsidRPr="00630F1D">
        <w:rPr>
          <w:rFonts w:ascii="Arial" w:eastAsia="Times New Roman" w:hAnsi="Arial" w:cs="Arial"/>
          <w:i/>
          <w:iCs/>
          <w:color w:val="1D1D1F"/>
          <w:sz w:val="14"/>
          <w:szCs w:val="14"/>
          <w:lang w:eastAsia="ru-RU"/>
        </w:rPr>
        <w:t>n</w:t>
      </w:r>
      <w:r w:rsidRPr="00630F1D">
        <w:rPr>
          <w:rFonts w:ascii="Arial" w:eastAsia="Times New Roman" w:hAnsi="Arial" w:cs="Arial"/>
          <w:i/>
          <w:iCs/>
          <w:color w:val="1D1D1F"/>
          <w:sz w:val="20"/>
          <w:szCs w:val="20"/>
          <w:lang w:eastAsia="ru-RU"/>
        </w:rPr>
        <w:t>E</w:t>
      </w:r>
      <w:r w:rsidRPr="00630F1D">
        <w:rPr>
          <w:rFonts w:ascii="Arial" w:eastAsia="Times New Roman" w:hAnsi="Arial" w:cs="Arial"/>
          <w:i/>
          <w:iCs/>
          <w:color w:val="1D1D1F"/>
          <w:sz w:val="14"/>
          <w:szCs w:val="14"/>
          <w:lang w:eastAsia="ru-RU"/>
        </w:rPr>
        <w:t>max</w:t>
      </w:r>
      <w:r w:rsidRPr="00630F1D">
        <w:rPr>
          <w:rFonts w:ascii="Arial" w:eastAsia="Times New Roman" w:hAnsi="Arial" w:cs="Arial"/>
          <w:color w:val="1D1D1F"/>
          <w:sz w:val="2"/>
          <w:szCs w:val="2"/>
          <w:lang w:eastAsia="ru-RU"/>
        </w:rPr>
        <w:t>​</w:t>
      </w:r>
      <w:r w:rsidRPr="00630F1D">
        <w:rPr>
          <w:rFonts w:ascii="Cambria Math" w:eastAsia="Times New Roman" w:hAnsi="Cambria Math" w:cs="Cambria Math"/>
          <w:color w:val="1D1D1F"/>
          <w:sz w:val="20"/>
          <w:szCs w:val="20"/>
          <w:lang w:eastAsia="ru-RU"/>
        </w:rPr>
        <w:t>⋅</w:t>
      </w:r>
      <w:r w:rsidRPr="00630F1D">
        <w:rPr>
          <w:rFonts w:ascii="Arial" w:eastAsia="Times New Roman" w:hAnsi="Arial" w:cs="Arial"/>
          <w:i/>
          <w:iCs/>
          <w:color w:val="1D1D1F"/>
          <w:sz w:val="20"/>
          <w:szCs w:val="20"/>
          <w:lang w:eastAsia="ru-RU"/>
        </w:rPr>
        <w:t>C</w:t>
      </w:r>
      <w:r w:rsidRPr="00630F1D">
        <w:rPr>
          <w:rFonts w:ascii="Arial" w:eastAsia="Times New Roman" w:hAnsi="Arial" w:cs="Arial"/>
          <w:color w:val="1D1D1F"/>
          <w:sz w:val="20"/>
          <w:szCs w:val="20"/>
          <w:lang w:eastAsia="ru-RU"/>
        </w:rPr>
        <w:t>(</w:t>
      </w:r>
      <w:r w:rsidRPr="00630F1D">
        <w:rPr>
          <w:rFonts w:ascii="Arial" w:eastAsia="Times New Roman" w:hAnsi="Arial" w:cs="Arial"/>
          <w:i/>
          <w:iCs/>
          <w:color w:val="1D1D1F"/>
          <w:sz w:val="20"/>
          <w:szCs w:val="20"/>
          <w:lang w:eastAsia="ru-RU"/>
        </w:rPr>
        <w:t>t</w:t>
      </w:r>
      <w:r w:rsidRPr="00630F1D">
        <w:rPr>
          <w:rFonts w:ascii="Arial" w:eastAsia="Times New Roman" w:hAnsi="Arial" w:cs="Arial"/>
          <w:color w:val="1D1D1F"/>
          <w:sz w:val="20"/>
          <w:szCs w:val="20"/>
          <w:lang w:eastAsia="ru-RU"/>
        </w:rPr>
        <w:t>)</w:t>
      </w:r>
      <w:r w:rsidRPr="00630F1D">
        <w:rPr>
          <w:rFonts w:ascii="Arial" w:eastAsia="Times New Roman" w:hAnsi="Arial" w:cs="Arial"/>
          <w:i/>
          <w:iCs/>
          <w:color w:val="1D1D1F"/>
          <w:sz w:val="14"/>
          <w:szCs w:val="14"/>
          <w:lang w:eastAsia="ru-RU"/>
        </w:rPr>
        <w:t>n</w:t>
      </w:r>
      <w:r w:rsidRPr="00630F1D">
        <w:rPr>
          <w:rFonts w:ascii="Arial" w:eastAsia="Times New Roman" w:hAnsi="Arial" w:cs="Arial"/>
          <w:color w:val="1D1D1F"/>
          <w:sz w:val="2"/>
          <w:szCs w:val="2"/>
          <w:lang w:eastAsia="ru-RU"/>
        </w:rPr>
        <w:t>​</w:t>
      </w:r>
      <w:r w:rsidRPr="00630F1D">
        <w:rPr>
          <w:rFonts w:ascii="Cambria Math" w:eastAsia="Times New Roman" w:hAnsi="Cambria Math" w:cs="Cambria Math"/>
          <w:color w:val="1D1D1F"/>
          <w:sz w:val="29"/>
          <w:szCs w:val="29"/>
          <w:lang w:eastAsia="ru-RU"/>
        </w:rPr>
        <w:t>⋅</w:t>
      </w:r>
      <w:r w:rsidRPr="00630F1D">
        <w:rPr>
          <w:rFonts w:ascii="Arial" w:eastAsia="Times New Roman" w:hAnsi="Arial" w:cs="Arial"/>
          <w:color w:val="1D1D1F"/>
          <w:sz w:val="29"/>
          <w:szCs w:val="29"/>
          <w:lang w:eastAsia="ru-RU"/>
        </w:rPr>
        <w:t>(1−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Tolerance</w:t>
      </w:r>
      <w:r w:rsidRPr="00630F1D">
        <w:rPr>
          <w:rFonts w:ascii="Arial" w:eastAsia="Times New Roman" w:hAnsi="Arial" w:cs="Arial"/>
          <w:color w:val="1D1D1F"/>
          <w:sz w:val="29"/>
          <w:szCs w:val="29"/>
          <w:lang w:eastAsia="ru-RU"/>
        </w:rPr>
        <w:t>(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t</w:t>
      </w:r>
      <w:r w:rsidRPr="00630F1D">
        <w:rPr>
          <w:rFonts w:ascii="Arial" w:eastAsia="Times New Roman" w:hAnsi="Arial" w:cs="Arial"/>
          <w:color w:val="1D1D1F"/>
          <w:sz w:val="29"/>
          <w:szCs w:val="29"/>
          <w:lang w:eastAsia="ru-RU"/>
        </w:rPr>
        <w:t>))</w:t>
      </w:r>
      <w:r w:rsidRPr="00630F1D">
        <w:rPr>
          <w:rFonts w:ascii="Cambria Math" w:eastAsia="Times New Roman" w:hAnsi="Cambria Math" w:cs="Cambria Math"/>
          <w:color w:val="1D1D1F"/>
          <w:sz w:val="29"/>
          <w:szCs w:val="29"/>
          <w:lang w:eastAsia="ru-RU"/>
        </w:rPr>
        <w:t>⋅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GeneticFactor</w:t>
      </w:r>
    </w:p>
    <w:p w:rsidR="00630F1D" w:rsidRPr="00630F1D" w:rsidRDefault="00630F1D" w:rsidP="00630F1D">
      <w:pPr>
        <w:shd w:val="clear" w:color="auto" w:fill="FFFFFF"/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1D1D1F"/>
          <w:spacing w:val="-5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pacing w:val="-5"/>
          <w:sz w:val="24"/>
          <w:szCs w:val="24"/>
          <w:lang w:eastAsia="ru-RU"/>
        </w:rPr>
        <w:t>Новые механики:</w:t>
      </w:r>
    </w:p>
    <w:p w:rsidR="00630F1D" w:rsidRPr="00630F1D" w:rsidRDefault="00630F1D" w:rsidP="00630F1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Динамическая толерантность (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Desensitization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):</w:t>
      </w:r>
    </w:p>
    <w:p w:rsidR="00630F1D" w:rsidRPr="00630F1D" w:rsidRDefault="00630F1D" w:rsidP="00630F1D">
      <w:pPr>
        <w:numPr>
          <w:ilvl w:val="1"/>
          <w:numId w:val="5"/>
        </w:num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Для рецепторов AR: </w:t>
      </w:r>
      <w:r w:rsidRPr="00630F1D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EC50(t)=EC50_base</w:t>
      </w:r>
      <w:r w:rsidRPr="00630F1D">
        <w:rPr>
          <w:rFonts w:ascii="Cambria Math" w:eastAsia="Times New Roman" w:hAnsi="Cambria Math" w:cs="Cambria Math"/>
          <w:color w:val="1D1D1F"/>
          <w:sz w:val="29"/>
          <w:szCs w:val="29"/>
          <w:bdr w:val="none" w:sz="0" w:space="0" w:color="auto" w:frame="1"/>
          <w:lang w:eastAsia="ru-RU"/>
        </w:rPr>
        <w:t>⋅</w:t>
      </w:r>
      <w:r w:rsidRPr="00630F1D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(1+ktol</w:t>
      </w:r>
      <w:r w:rsidRPr="00630F1D">
        <w:rPr>
          <w:rFonts w:ascii="Cambria Math" w:eastAsia="Times New Roman" w:hAnsi="Cambria Math" w:cs="Cambria Math"/>
          <w:color w:val="1D1D1F"/>
          <w:sz w:val="29"/>
          <w:szCs w:val="29"/>
          <w:bdr w:val="none" w:sz="0" w:space="0" w:color="auto" w:frame="1"/>
          <w:lang w:eastAsia="ru-RU"/>
        </w:rPr>
        <w:t>⋅</w:t>
      </w:r>
      <w:r w:rsidRPr="00630F1D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∫C(t)</w:t>
      </w:r>
      <w:proofErr w:type="gramStart"/>
      <w:r w:rsidRPr="00630F1D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dt)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EC</w:t>
      </w:r>
      <w:proofErr w:type="gramEnd"/>
      <w:r w:rsidRPr="00630F1D">
        <w:rPr>
          <w:rFonts w:ascii="Arial" w:eastAsia="Times New Roman" w:hAnsi="Arial" w:cs="Arial"/>
          <w:color w:val="1D1D1F"/>
          <w:sz w:val="20"/>
          <w:szCs w:val="20"/>
          <w:lang w:eastAsia="ru-RU"/>
        </w:rPr>
        <w:t>50</w:t>
      </w:r>
      <w:r w:rsidRPr="00630F1D">
        <w:rPr>
          <w:rFonts w:ascii="Arial" w:eastAsia="Times New Roman" w:hAnsi="Arial" w:cs="Arial"/>
          <w:color w:val="1D1D1F"/>
          <w:sz w:val="2"/>
          <w:szCs w:val="2"/>
          <w:lang w:eastAsia="ru-RU"/>
        </w:rPr>
        <w:t>​</w:t>
      </w:r>
      <w:r w:rsidRPr="00630F1D">
        <w:rPr>
          <w:rFonts w:ascii="Arial" w:eastAsia="Times New Roman" w:hAnsi="Arial" w:cs="Arial"/>
          <w:color w:val="1D1D1F"/>
          <w:sz w:val="29"/>
          <w:szCs w:val="29"/>
          <w:lang w:eastAsia="ru-RU"/>
        </w:rPr>
        <w:t>(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t</w:t>
      </w:r>
      <w:r w:rsidRPr="00630F1D">
        <w:rPr>
          <w:rFonts w:ascii="Arial" w:eastAsia="Times New Roman" w:hAnsi="Arial" w:cs="Arial"/>
          <w:color w:val="1D1D1F"/>
          <w:sz w:val="29"/>
          <w:szCs w:val="29"/>
          <w:lang w:eastAsia="ru-RU"/>
        </w:rPr>
        <w:t>)=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EC</w:t>
      </w:r>
      <w:r w:rsidRPr="00630F1D">
        <w:rPr>
          <w:rFonts w:ascii="Arial" w:eastAsia="Times New Roman" w:hAnsi="Arial" w:cs="Arial"/>
          <w:color w:val="1D1D1F"/>
          <w:sz w:val="20"/>
          <w:szCs w:val="20"/>
          <w:lang w:eastAsia="ru-RU"/>
        </w:rPr>
        <w:t>50_</w:t>
      </w:r>
      <w:r w:rsidRPr="00630F1D">
        <w:rPr>
          <w:rFonts w:ascii="Arial" w:eastAsia="Times New Roman" w:hAnsi="Arial" w:cs="Arial"/>
          <w:i/>
          <w:iCs/>
          <w:color w:val="1D1D1F"/>
          <w:sz w:val="20"/>
          <w:szCs w:val="20"/>
          <w:lang w:eastAsia="ru-RU"/>
        </w:rPr>
        <w:t>base</w:t>
      </w:r>
      <w:r w:rsidRPr="00630F1D">
        <w:rPr>
          <w:rFonts w:ascii="Arial" w:eastAsia="Times New Roman" w:hAnsi="Arial" w:cs="Arial"/>
          <w:color w:val="1D1D1F"/>
          <w:sz w:val="2"/>
          <w:szCs w:val="2"/>
          <w:lang w:eastAsia="ru-RU"/>
        </w:rPr>
        <w:t>​</w:t>
      </w:r>
      <w:r w:rsidRPr="00630F1D">
        <w:rPr>
          <w:rFonts w:ascii="Cambria Math" w:eastAsia="Times New Roman" w:hAnsi="Cambria Math" w:cs="Cambria Math"/>
          <w:color w:val="1D1D1F"/>
          <w:sz w:val="29"/>
          <w:szCs w:val="29"/>
          <w:lang w:eastAsia="ru-RU"/>
        </w:rPr>
        <w:t>⋅</w:t>
      </w:r>
      <w:r w:rsidRPr="00630F1D">
        <w:rPr>
          <w:rFonts w:ascii="Arial" w:eastAsia="Times New Roman" w:hAnsi="Arial" w:cs="Arial"/>
          <w:color w:val="1D1D1F"/>
          <w:sz w:val="29"/>
          <w:szCs w:val="29"/>
          <w:lang w:eastAsia="ru-RU"/>
        </w:rPr>
        <w:t>(1+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k</w:t>
      </w:r>
      <w:r w:rsidRPr="00630F1D">
        <w:rPr>
          <w:rFonts w:ascii="Arial" w:eastAsia="Times New Roman" w:hAnsi="Arial" w:cs="Arial"/>
          <w:i/>
          <w:iCs/>
          <w:color w:val="1D1D1F"/>
          <w:sz w:val="20"/>
          <w:szCs w:val="20"/>
          <w:lang w:eastAsia="ru-RU"/>
        </w:rPr>
        <w:t>tol</w:t>
      </w:r>
      <w:r w:rsidRPr="00630F1D">
        <w:rPr>
          <w:rFonts w:ascii="Arial" w:eastAsia="Times New Roman" w:hAnsi="Arial" w:cs="Arial"/>
          <w:color w:val="1D1D1F"/>
          <w:sz w:val="2"/>
          <w:szCs w:val="2"/>
          <w:lang w:eastAsia="ru-RU"/>
        </w:rPr>
        <w:t>​</w:t>
      </w:r>
      <w:r w:rsidRPr="00630F1D">
        <w:rPr>
          <w:rFonts w:ascii="Cambria Math" w:eastAsia="Times New Roman" w:hAnsi="Cambria Math" w:cs="Cambria Math"/>
          <w:color w:val="1D1D1F"/>
          <w:sz w:val="29"/>
          <w:szCs w:val="29"/>
          <w:lang w:eastAsia="ru-RU"/>
        </w:rPr>
        <w:t>⋅</w:t>
      </w:r>
      <w:r w:rsidRPr="00630F1D">
        <w:rPr>
          <w:rFonts w:ascii="Arial" w:eastAsia="Times New Roman" w:hAnsi="Arial" w:cs="Arial"/>
          <w:color w:val="1D1D1F"/>
          <w:sz w:val="29"/>
          <w:szCs w:val="29"/>
          <w:lang w:eastAsia="ru-RU"/>
        </w:rPr>
        <w:t>∫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C</w:t>
      </w:r>
      <w:r w:rsidRPr="00630F1D">
        <w:rPr>
          <w:rFonts w:ascii="Arial" w:eastAsia="Times New Roman" w:hAnsi="Arial" w:cs="Arial"/>
          <w:color w:val="1D1D1F"/>
          <w:sz w:val="29"/>
          <w:szCs w:val="29"/>
          <w:lang w:eastAsia="ru-RU"/>
        </w:rPr>
        <w:t>(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t</w:t>
      </w:r>
      <w:r w:rsidRPr="00630F1D">
        <w:rPr>
          <w:rFonts w:ascii="Arial" w:eastAsia="Times New Roman" w:hAnsi="Arial" w:cs="Arial"/>
          <w:color w:val="1D1D1F"/>
          <w:sz w:val="29"/>
          <w:szCs w:val="29"/>
          <w:lang w:eastAsia="ru-RU"/>
        </w:rPr>
        <w:t>)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dt</w:t>
      </w:r>
      <w:r w:rsidRPr="00630F1D">
        <w:rPr>
          <w:rFonts w:ascii="Arial" w:eastAsia="Times New Roman" w:hAnsi="Arial" w:cs="Arial"/>
          <w:color w:val="1D1D1F"/>
          <w:sz w:val="29"/>
          <w:szCs w:val="29"/>
          <w:lang w:eastAsia="ru-RU"/>
        </w:rPr>
        <w:t>)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.</w:t>
      </w:r>
    </w:p>
    <w:p w:rsidR="00630F1D" w:rsidRPr="00630F1D" w:rsidRDefault="00630F1D" w:rsidP="00630F1D">
      <w:pPr>
        <w:numPr>
          <w:ilvl w:val="1"/>
          <w:numId w:val="5"/>
        </w:num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lastRenderedPageBreak/>
        <w:t xml:space="preserve">Для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нейромедиаторов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(дофамин/серотонин): учет истощения запасов при длительном приеме стимуляторов.</w:t>
      </w:r>
    </w:p>
    <w:p w:rsidR="00630F1D" w:rsidRPr="00630F1D" w:rsidRDefault="00630F1D" w:rsidP="00630F1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Эффект запаздывания (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Hysteresis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/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Tau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):</w:t>
      </w:r>
    </w:p>
    <w:p w:rsidR="00630F1D" w:rsidRPr="00630F1D" w:rsidRDefault="00630F1D" w:rsidP="00630F1D">
      <w:pPr>
        <w:numPr>
          <w:ilvl w:val="1"/>
          <w:numId w:val="5"/>
        </w:num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Раздельные константы </w:t>
      </w:r>
      <w:proofErr w:type="spellStart"/>
      <w:r w:rsidRPr="00630F1D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τ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τ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для разных систем:</w:t>
      </w:r>
    </w:p>
    <w:p w:rsidR="00630F1D" w:rsidRPr="00630F1D" w:rsidRDefault="00630F1D" w:rsidP="00630F1D">
      <w:pPr>
        <w:numPr>
          <w:ilvl w:val="2"/>
          <w:numId w:val="5"/>
        </w:num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Липиды: </w:t>
      </w:r>
      <w:r w:rsidRPr="00630F1D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τ=21−28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τ</w:t>
      </w:r>
      <w:r w:rsidRPr="00630F1D">
        <w:rPr>
          <w:rFonts w:ascii="Arial" w:eastAsia="Times New Roman" w:hAnsi="Arial" w:cs="Arial"/>
          <w:color w:val="1D1D1F"/>
          <w:sz w:val="29"/>
          <w:szCs w:val="29"/>
          <w:lang w:eastAsia="ru-RU"/>
        </w:rPr>
        <w:t>=21−28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дней (медленный оборот).</w:t>
      </w:r>
    </w:p>
    <w:p w:rsidR="00630F1D" w:rsidRPr="00630F1D" w:rsidRDefault="00630F1D" w:rsidP="00630F1D">
      <w:pPr>
        <w:numPr>
          <w:ilvl w:val="2"/>
          <w:numId w:val="5"/>
        </w:num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Гипертрофия ЛЖ: </w:t>
      </w:r>
      <w:r w:rsidRPr="00630F1D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τ=45−60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τ</w:t>
      </w:r>
      <w:r w:rsidRPr="00630F1D">
        <w:rPr>
          <w:rFonts w:ascii="Arial" w:eastAsia="Times New Roman" w:hAnsi="Arial" w:cs="Arial"/>
          <w:color w:val="1D1D1F"/>
          <w:sz w:val="29"/>
          <w:szCs w:val="29"/>
          <w:lang w:eastAsia="ru-RU"/>
        </w:rPr>
        <w:t>=45−60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дней.</w:t>
      </w:r>
    </w:p>
    <w:p w:rsidR="00630F1D" w:rsidRPr="00630F1D" w:rsidRDefault="00630F1D" w:rsidP="00630F1D">
      <w:pPr>
        <w:numPr>
          <w:ilvl w:val="2"/>
          <w:numId w:val="5"/>
        </w:num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Гематокрит: </w:t>
      </w:r>
      <w:r w:rsidRPr="00630F1D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τ=10−14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τ</w:t>
      </w:r>
      <w:r w:rsidRPr="00630F1D">
        <w:rPr>
          <w:rFonts w:ascii="Arial" w:eastAsia="Times New Roman" w:hAnsi="Arial" w:cs="Arial"/>
          <w:color w:val="1D1D1F"/>
          <w:sz w:val="29"/>
          <w:szCs w:val="29"/>
          <w:lang w:eastAsia="ru-RU"/>
        </w:rPr>
        <w:t>=10−14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дней (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эритропоэз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).</w:t>
      </w:r>
    </w:p>
    <w:p w:rsidR="00630F1D" w:rsidRPr="00630F1D" w:rsidRDefault="00630F1D" w:rsidP="00630F1D">
      <w:pPr>
        <w:numPr>
          <w:ilvl w:val="2"/>
          <w:numId w:val="5"/>
        </w:num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Подавление оси ГГЯ: </w:t>
      </w:r>
      <w:r w:rsidRPr="00630F1D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τ=7−10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τ</w:t>
      </w:r>
      <w:r w:rsidRPr="00630F1D">
        <w:rPr>
          <w:rFonts w:ascii="Arial" w:eastAsia="Times New Roman" w:hAnsi="Arial" w:cs="Arial"/>
          <w:color w:val="1D1D1F"/>
          <w:sz w:val="29"/>
          <w:szCs w:val="29"/>
          <w:lang w:eastAsia="ru-RU"/>
        </w:rPr>
        <w:t>=7−10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дней (старт), восстановление </w:t>
      </w:r>
      <w:r w:rsidRPr="00630F1D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τ=30−90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τ</w:t>
      </w:r>
      <w:r w:rsidRPr="00630F1D">
        <w:rPr>
          <w:rFonts w:ascii="Arial" w:eastAsia="Times New Roman" w:hAnsi="Arial" w:cs="Arial"/>
          <w:color w:val="1D1D1F"/>
          <w:sz w:val="29"/>
          <w:szCs w:val="29"/>
          <w:lang w:eastAsia="ru-RU"/>
        </w:rPr>
        <w:t>=30−90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дней.</w:t>
      </w:r>
    </w:p>
    <w:p w:rsidR="00630F1D" w:rsidRPr="00630F1D" w:rsidRDefault="00630F1D" w:rsidP="00630F1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Ребаунд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val="en-US" w:eastAsia="ru-RU"/>
        </w:rPr>
        <w:t>-</w:t>
      </w: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синдром</w:t>
      </w: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val="en-US" w:eastAsia="ru-RU"/>
        </w:rPr>
        <w:t xml:space="preserve"> (Post-Cycle Rebound):</w:t>
      </w:r>
    </w:p>
    <w:p w:rsidR="00630F1D" w:rsidRPr="00630F1D" w:rsidRDefault="00630F1D" w:rsidP="00630F1D">
      <w:pPr>
        <w:numPr>
          <w:ilvl w:val="1"/>
          <w:numId w:val="5"/>
        </w:num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Моделирование "отскока" кортизола,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эстрадиола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и артериального давления после резкой отмены препаратов (особенно ИА,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кленбутерола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, инсулина).</w:t>
      </w:r>
    </w:p>
    <w:p w:rsidR="00630F1D" w:rsidRPr="00630F1D" w:rsidRDefault="00630F1D" w:rsidP="00630F1D">
      <w:pPr>
        <w:numPr>
          <w:ilvl w:val="1"/>
          <w:numId w:val="5"/>
        </w:num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Формула затухания: </w:t>
      </w:r>
      <w:proofErr w:type="spellStart"/>
      <w:r w:rsidRPr="00630F1D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Rpost</w:t>
      </w:r>
      <w:proofErr w:type="spellEnd"/>
      <w:r w:rsidRPr="00630F1D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(t)=</w:t>
      </w:r>
      <w:proofErr w:type="spellStart"/>
      <w:r w:rsidRPr="00630F1D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Rpeak</w:t>
      </w:r>
      <w:r w:rsidRPr="00630F1D">
        <w:rPr>
          <w:rFonts w:ascii="Cambria Math" w:eastAsia="Times New Roman" w:hAnsi="Cambria Math" w:cs="Cambria Math"/>
          <w:color w:val="1D1D1F"/>
          <w:sz w:val="29"/>
          <w:szCs w:val="29"/>
          <w:bdr w:val="none" w:sz="0" w:space="0" w:color="auto" w:frame="1"/>
          <w:lang w:eastAsia="ru-RU"/>
        </w:rPr>
        <w:t>⋅</w:t>
      </w:r>
      <w:r w:rsidRPr="00630F1D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e−λt+Bias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R</w:t>
      </w:r>
      <w:r w:rsidRPr="00630F1D">
        <w:rPr>
          <w:rFonts w:ascii="Arial" w:eastAsia="Times New Roman" w:hAnsi="Arial" w:cs="Arial"/>
          <w:i/>
          <w:iCs/>
          <w:color w:val="1D1D1F"/>
          <w:sz w:val="20"/>
          <w:szCs w:val="20"/>
          <w:lang w:eastAsia="ru-RU"/>
        </w:rPr>
        <w:t>post</w:t>
      </w:r>
      <w:proofErr w:type="spellEnd"/>
      <w:r w:rsidRPr="00630F1D">
        <w:rPr>
          <w:rFonts w:ascii="Arial" w:eastAsia="Times New Roman" w:hAnsi="Arial" w:cs="Arial"/>
          <w:color w:val="1D1D1F"/>
          <w:sz w:val="2"/>
          <w:szCs w:val="2"/>
          <w:lang w:eastAsia="ru-RU"/>
        </w:rPr>
        <w:t>​</w:t>
      </w:r>
      <w:r w:rsidRPr="00630F1D">
        <w:rPr>
          <w:rFonts w:ascii="Arial" w:eastAsia="Times New Roman" w:hAnsi="Arial" w:cs="Arial"/>
          <w:color w:val="1D1D1F"/>
          <w:sz w:val="29"/>
          <w:szCs w:val="29"/>
          <w:lang w:eastAsia="ru-RU"/>
        </w:rPr>
        <w:t>(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t</w:t>
      </w:r>
      <w:r w:rsidRPr="00630F1D">
        <w:rPr>
          <w:rFonts w:ascii="Arial" w:eastAsia="Times New Roman" w:hAnsi="Arial" w:cs="Arial"/>
          <w:color w:val="1D1D1F"/>
          <w:sz w:val="29"/>
          <w:szCs w:val="29"/>
          <w:lang w:eastAsia="ru-RU"/>
        </w:rPr>
        <w:t>)=</w:t>
      </w:r>
      <w:proofErr w:type="spellStart"/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R</w:t>
      </w:r>
      <w:r w:rsidRPr="00630F1D">
        <w:rPr>
          <w:rFonts w:ascii="Arial" w:eastAsia="Times New Roman" w:hAnsi="Arial" w:cs="Arial"/>
          <w:i/>
          <w:iCs/>
          <w:color w:val="1D1D1F"/>
          <w:sz w:val="20"/>
          <w:szCs w:val="20"/>
          <w:lang w:eastAsia="ru-RU"/>
        </w:rPr>
        <w:t>peak</w:t>
      </w:r>
      <w:proofErr w:type="spellEnd"/>
      <w:r w:rsidRPr="00630F1D">
        <w:rPr>
          <w:rFonts w:ascii="Arial" w:eastAsia="Times New Roman" w:hAnsi="Arial" w:cs="Arial"/>
          <w:color w:val="1D1D1F"/>
          <w:sz w:val="2"/>
          <w:szCs w:val="2"/>
          <w:lang w:eastAsia="ru-RU"/>
        </w:rPr>
        <w:t>​</w:t>
      </w:r>
      <w:r w:rsidRPr="00630F1D">
        <w:rPr>
          <w:rFonts w:ascii="Cambria Math" w:eastAsia="Times New Roman" w:hAnsi="Cambria Math" w:cs="Cambria Math"/>
          <w:color w:val="1D1D1F"/>
          <w:sz w:val="29"/>
          <w:szCs w:val="29"/>
          <w:lang w:eastAsia="ru-RU"/>
        </w:rPr>
        <w:t>⋅</w:t>
      </w:r>
      <w:proofErr w:type="spellStart"/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e</w:t>
      </w:r>
      <w:r w:rsidRPr="00630F1D">
        <w:rPr>
          <w:rFonts w:ascii="Arial" w:eastAsia="Times New Roman" w:hAnsi="Arial" w:cs="Arial"/>
          <w:color w:val="1D1D1F"/>
          <w:sz w:val="20"/>
          <w:szCs w:val="20"/>
          <w:lang w:eastAsia="ru-RU"/>
        </w:rPr>
        <w:t>−</w:t>
      </w:r>
      <w:r w:rsidRPr="00630F1D">
        <w:rPr>
          <w:rFonts w:ascii="Arial" w:eastAsia="Times New Roman" w:hAnsi="Arial" w:cs="Arial"/>
          <w:i/>
          <w:iCs/>
          <w:color w:val="1D1D1F"/>
          <w:sz w:val="20"/>
          <w:szCs w:val="20"/>
          <w:lang w:eastAsia="ru-RU"/>
        </w:rPr>
        <w:t>λt</w:t>
      </w:r>
      <w:r w:rsidRPr="00630F1D">
        <w:rPr>
          <w:rFonts w:ascii="Arial" w:eastAsia="Times New Roman" w:hAnsi="Arial" w:cs="Arial"/>
          <w:color w:val="1D1D1F"/>
          <w:sz w:val="29"/>
          <w:szCs w:val="29"/>
          <w:lang w:eastAsia="ru-RU"/>
        </w:rPr>
        <w:t>+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Bias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где </w:t>
      </w:r>
      <w:proofErr w:type="spellStart"/>
      <w:r w:rsidRPr="00630F1D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Bias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Bias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— уровень выше базового из-за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дисрегуляции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рецепторов.</w:t>
      </w:r>
    </w:p>
    <w:p w:rsidR="00630F1D" w:rsidRPr="00630F1D" w:rsidRDefault="00630F1D" w:rsidP="00630F1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630F1D" w:rsidRPr="00630F1D" w:rsidRDefault="00630F1D" w:rsidP="00630F1D">
      <w:pP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  <w:t>4. Генетика и Персонализация (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  <w:t>Precision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  <w:t xml:space="preserve"> 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  <w:t>Medicine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  <w:t>)</w:t>
      </w:r>
    </w:p>
    <w:p w:rsidR="00630F1D" w:rsidRPr="00630F1D" w:rsidRDefault="00630F1D" w:rsidP="00630F1D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 xml:space="preserve">4.1. Расширенная панель 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фармакогеномики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 xml:space="preserve"> (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SNPs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)</w:t>
      </w:r>
    </w:p>
    <w:p w:rsidR="00630F1D" w:rsidRPr="00630F1D" w:rsidRDefault="00630F1D" w:rsidP="00630F1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Пользователь вводит свои варианты (или выбирает вероятностный сценарий):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7"/>
        <w:gridCol w:w="1852"/>
        <w:gridCol w:w="2936"/>
        <w:gridCol w:w="3480"/>
      </w:tblGrid>
      <w:tr w:rsidR="00630F1D" w:rsidRPr="00630F1D" w:rsidTr="00630F1D">
        <w:trPr>
          <w:tblHeader/>
          <w:tblCellSpacing w:w="15" w:type="dxa"/>
        </w:trPr>
        <w:tc>
          <w:tcPr>
            <w:tcW w:w="0" w:type="auto"/>
            <w:tcBorders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Ген</w:t>
            </w:r>
          </w:p>
        </w:tc>
        <w:tc>
          <w:tcPr>
            <w:tcW w:w="0" w:type="auto"/>
            <w:tcBorders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Полиморфизм (RS ID)</w:t>
            </w:r>
          </w:p>
        </w:tc>
        <w:tc>
          <w:tcPr>
            <w:tcW w:w="0" w:type="auto"/>
            <w:tcBorders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Влияние на препарат/систему</w:t>
            </w:r>
          </w:p>
        </w:tc>
        <w:tc>
          <w:tcPr>
            <w:tcW w:w="0" w:type="auto"/>
            <w:tcBorders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Множитель риска/PK</w:t>
            </w:r>
          </w:p>
        </w:tc>
      </w:tr>
      <w:tr w:rsidR="00630F1D" w:rsidRPr="00630F1D" w:rsidTr="00630F1D">
        <w:trPr>
          <w:tblCellSpacing w:w="15" w:type="dxa"/>
        </w:trPr>
        <w:tc>
          <w:tcPr>
            <w:tcW w:w="0" w:type="auto"/>
            <w:tcBorders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CYP3A4</w:t>
            </w:r>
          </w:p>
        </w:tc>
        <w:tc>
          <w:tcPr>
            <w:tcW w:w="0" w:type="auto"/>
            <w:tcBorders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*22 (rs35599367)</w:t>
            </w:r>
          </w:p>
        </w:tc>
        <w:tc>
          <w:tcPr>
            <w:tcW w:w="0" w:type="auto"/>
            <w:tcBorders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Метаболизм тестостерона, </w:t>
            </w:r>
            <w:proofErr w:type="spellStart"/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тренболона</w:t>
            </w:r>
            <w:proofErr w:type="spellEnd"/>
          </w:p>
        </w:tc>
        <w:tc>
          <w:tcPr>
            <w:tcW w:w="0" w:type="auto"/>
            <w:tcBorders>
              <w:bottom w:val="single" w:sz="6" w:space="0" w:color="E1E3EA"/>
              <w:right w:val="nil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Клиренс ↓ 35% (Риск передозировки ↑)</w:t>
            </w:r>
          </w:p>
        </w:tc>
      </w:tr>
      <w:tr w:rsidR="00630F1D" w:rsidRPr="00630F1D" w:rsidTr="00630F1D">
        <w:trPr>
          <w:tblCellSpacing w:w="15" w:type="dxa"/>
        </w:trPr>
        <w:tc>
          <w:tcPr>
            <w:tcW w:w="0" w:type="auto"/>
            <w:tcBorders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CYP2C19</w:t>
            </w:r>
          </w:p>
        </w:tc>
        <w:tc>
          <w:tcPr>
            <w:tcW w:w="0" w:type="auto"/>
            <w:tcBorders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*2 (rs4244285), *17</w:t>
            </w:r>
          </w:p>
        </w:tc>
        <w:tc>
          <w:tcPr>
            <w:tcW w:w="0" w:type="auto"/>
            <w:tcBorders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Метаболизм </w:t>
            </w:r>
            <w:proofErr w:type="spellStart"/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кломифена</w:t>
            </w:r>
            <w:proofErr w:type="spellEnd"/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диазепама</w:t>
            </w:r>
            <w:proofErr w:type="spellEnd"/>
          </w:p>
        </w:tc>
        <w:tc>
          <w:tcPr>
            <w:tcW w:w="0" w:type="auto"/>
            <w:tcBorders>
              <w:bottom w:val="single" w:sz="6" w:space="0" w:color="E1E3EA"/>
              <w:right w:val="nil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Активность ↓ 50% или ↑ 40%</w:t>
            </w:r>
          </w:p>
        </w:tc>
      </w:tr>
      <w:tr w:rsidR="00630F1D" w:rsidRPr="00630F1D" w:rsidTr="00630F1D">
        <w:trPr>
          <w:tblCellSpacing w:w="15" w:type="dxa"/>
        </w:trPr>
        <w:tc>
          <w:tcPr>
            <w:tcW w:w="0" w:type="auto"/>
            <w:tcBorders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CYP1A2</w:t>
            </w:r>
          </w:p>
        </w:tc>
        <w:tc>
          <w:tcPr>
            <w:tcW w:w="0" w:type="auto"/>
            <w:tcBorders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*1F (rs762551)</w:t>
            </w:r>
          </w:p>
        </w:tc>
        <w:tc>
          <w:tcPr>
            <w:tcW w:w="0" w:type="auto"/>
            <w:tcBorders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Метаболизм кофеина, </w:t>
            </w:r>
            <w:proofErr w:type="spellStart"/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клозапина</w:t>
            </w:r>
            <w:proofErr w:type="spellEnd"/>
          </w:p>
        </w:tc>
        <w:tc>
          <w:tcPr>
            <w:tcW w:w="0" w:type="auto"/>
            <w:tcBorders>
              <w:bottom w:val="single" w:sz="6" w:space="0" w:color="E1E3EA"/>
              <w:right w:val="nil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Индукция ферментов при курении</w:t>
            </w:r>
          </w:p>
        </w:tc>
      </w:tr>
      <w:tr w:rsidR="00630F1D" w:rsidRPr="00630F1D" w:rsidTr="00630F1D">
        <w:trPr>
          <w:tblCellSpacing w:w="15" w:type="dxa"/>
        </w:trPr>
        <w:tc>
          <w:tcPr>
            <w:tcW w:w="0" w:type="auto"/>
            <w:tcBorders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ABCB1</w:t>
            </w:r>
          </w:p>
        </w:tc>
        <w:tc>
          <w:tcPr>
            <w:tcW w:w="0" w:type="auto"/>
            <w:tcBorders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C3435T (rs1045642)</w:t>
            </w:r>
          </w:p>
        </w:tc>
        <w:tc>
          <w:tcPr>
            <w:tcW w:w="0" w:type="auto"/>
            <w:tcBorders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Транспорт через ГЭБ и в ткани</w:t>
            </w:r>
          </w:p>
        </w:tc>
        <w:tc>
          <w:tcPr>
            <w:tcW w:w="0" w:type="auto"/>
            <w:tcBorders>
              <w:bottom w:val="single" w:sz="6" w:space="0" w:color="E1E3EA"/>
              <w:right w:val="nil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Биодоступность</w:t>
            </w:r>
            <w:proofErr w:type="spellEnd"/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тканях ↓ 20%</w:t>
            </w:r>
          </w:p>
        </w:tc>
      </w:tr>
      <w:tr w:rsidR="00630F1D" w:rsidRPr="00630F1D" w:rsidTr="00630F1D">
        <w:trPr>
          <w:tblCellSpacing w:w="15" w:type="dxa"/>
        </w:trPr>
        <w:tc>
          <w:tcPr>
            <w:tcW w:w="0" w:type="auto"/>
            <w:tcBorders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COMT</w:t>
            </w:r>
          </w:p>
        </w:tc>
        <w:tc>
          <w:tcPr>
            <w:tcW w:w="0" w:type="auto"/>
            <w:tcBorders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Val158Met (rs4680)</w:t>
            </w:r>
          </w:p>
        </w:tc>
        <w:tc>
          <w:tcPr>
            <w:tcW w:w="0" w:type="auto"/>
            <w:tcBorders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Распад катехоламинов (адреналин/дофамин)</w:t>
            </w:r>
          </w:p>
        </w:tc>
        <w:tc>
          <w:tcPr>
            <w:tcW w:w="0" w:type="auto"/>
            <w:tcBorders>
              <w:bottom w:val="single" w:sz="6" w:space="0" w:color="E1E3EA"/>
              <w:right w:val="nil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Нейротоксичность</w:t>
            </w:r>
            <w:proofErr w:type="spellEnd"/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/Агрессия ↑ 40% (</w:t>
            </w:r>
            <w:proofErr w:type="spellStart"/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Met</w:t>
            </w:r>
            <w:proofErr w:type="spellEnd"/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Met</w:t>
            </w:r>
            <w:proofErr w:type="spellEnd"/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630F1D" w:rsidRPr="00630F1D" w:rsidTr="00630F1D">
        <w:trPr>
          <w:tblCellSpacing w:w="15" w:type="dxa"/>
        </w:trPr>
        <w:tc>
          <w:tcPr>
            <w:tcW w:w="0" w:type="auto"/>
            <w:tcBorders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ESR1</w:t>
            </w:r>
          </w:p>
        </w:tc>
        <w:tc>
          <w:tcPr>
            <w:tcW w:w="0" w:type="auto"/>
            <w:tcBorders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PvuII</w:t>
            </w:r>
            <w:proofErr w:type="spellEnd"/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(rs2234693)</w:t>
            </w:r>
          </w:p>
        </w:tc>
        <w:tc>
          <w:tcPr>
            <w:tcW w:w="0" w:type="auto"/>
            <w:tcBorders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Чувствительность к эстрогенам</w:t>
            </w:r>
          </w:p>
        </w:tc>
        <w:tc>
          <w:tcPr>
            <w:tcW w:w="0" w:type="auto"/>
            <w:tcBorders>
              <w:bottom w:val="single" w:sz="6" w:space="0" w:color="E1E3EA"/>
              <w:right w:val="nil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Риск гинекомастии ↑ 30% </w:t>
            </w:r>
            <w:proofErr w:type="gramStart"/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норм</w:t>
            </w:r>
            <w:proofErr w:type="gramEnd"/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E2</w:t>
            </w:r>
          </w:p>
        </w:tc>
      </w:tr>
      <w:tr w:rsidR="00630F1D" w:rsidRPr="00630F1D" w:rsidTr="00630F1D">
        <w:trPr>
          <w:tblCellSpacing w:w="15" w:type="dxa"/>
        </w:trPr>
        <w:tc>
          <w:tcPr>
            <w:tcW w:w="0" w:type="auto"/>
            <w:tcBorders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SRD5A2</w:t>
            </w:r>
          </w:p>
        </w:tc>
        <w:tc>
          <w:tcPr>
            <w:tcW w:w="0" w:type="auto"/>
            <w:tcBorders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V89L (rs523349)</w:t>
            </w:r>
          </w:p>
        </w:tc>
        <w:tc>
          <w:tcPr>
            <w:tcW w:w="0" w:type="auto"/>
            <w:tcBorders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Активность 5-альфа </w:t>
            </w:r>
            <w:proofErr w:type="spellStart"/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редуктазы</w:t>
            </w:r>
            <w:proofErr w:type="spellEnd"/>
          </w:p>
        </w:tc>
        <w:tc>
          <w:tcPr>
            <w:tcW w:w="0" w:type="auto"/>
            <w:tcBorders>
              <w:bottom w:val="single" w:sz="6" w:space="0" w:color="E1E3EA"/>
              <w:right w:val="nil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Конверсия в ДГТ ↑ или ↓</w:t>
            </w:r>
          </w:p>
        </w:tc>
      </w:tr>
      <w:tr w:rsidR="00630F1D" w:rsidRPr="00630F1D" w:rsidTr="00630F1D">
        <w:trPr>
          <w:tblCellSpacing w:w="15" w:type="dxa"/>
        </w:trPr>
        <w:tc>
          <w:tcPr>
            <w:tcW w:w="0" w:type="auto"/>
            <w:tcBorders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AGTR1</w:t>
            </w:r>
          </w:p>
        </w:tc>
        <w:tc>
          <w:tcPr>
            <w:tcW w:w="0" w:type="auto"/>
            <w:tcBorders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A1166C (rs5186)</w:t>
            </w:r>
          </w:p>
        </w:tc>
        <w:tc>
          <w:tcPr>
            <w:tcW w:w="0" w:type="auto"/>
            <w:tcBorders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Чувствительность к </w:t>
            </w:r>
            <w:proofErr w:type="spellStart"/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ангиотензину</w:t>
            </w:r>
            <w:proofErr w:type="spellEnd"/>
          </w:p>
        </w:tc>
        <w:tc>
          <w:tcPr>
            <w:tcW w:w="0" w:type="auto"/>
            <w:tcBorders>
              <w:bottom w:val="single" w:sz="6" w:space="0" w:color="E1E3EA"/>
              <w:right w:val="nil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Риск гипертензии на курсе ↑</w:t>
            </w:r>
          </w:p>
        </w:tc>
      </w:tr>
      <w:tr w:rsidR="00630F1D" w:rsidRPr="00630F1D" w:rsidTr="00630F1D">
        <w:trPr>
          <w:tblCellSpacing w:w="15" w:type="dxa"/>
        </w:trPr>
        <w:tc>
          <w:tcPr>
            <w:tcW w:w="0" w:type="auto"/>
            <w:tcBorders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NOS3</w:t>
            </w:r>
          </w:p>
        </w:tc>
        <w:tc>
          <w:tcPr>
            <w:tcW w:w="0" w:type="auto"/>
            <w:tcBorders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G894T (rs1799983)</w:t>
            </w:r>
          </w:p>
        </w:tc>
        <w:tc>
          <w:tcPr>
            <w:tcW w:w="0" w:type="auto"/>
            <w:tcBorders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Синтез оксида азота</w:t>
            </w:r>
          </w:p>
        </w:tc>
        <w:tc>
          <w:tcPr>
            <w:tcW w:w="0" w:type="auto"/>
            <w:tcBorders>
              <w:bottom w:val="single" w:sz="6" w:space="0" w:color="E1E3EA"/>
              <w:right w:val="nil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Эффективность </w:t>
            </w:r>
            <w:proofErr w:type="spellStart"/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пампинга</w:t>
            </w:r>
            <w:proofErr w:type="spellEnd"/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/давление</w:t>
            </w:r>
          </w:p>
        </w:tc>
      </w:tr>
      <w:tr w:rsidR="00630F1D" w:rsidRPr="00630F1D" w:rsidTr="00630F1D">
        <w:trPr>
          <w:tblCellSpacing w:w="15" w:type="dxa"/>
        </w:trPr>
        <w:tc>
          <w:tcPr>
            <w:tcW w:w="0" w:type="auto"/>
            <w:tcBorders>
              <w:bottom w:val="nil"/>
              <w:right w:val="single" w:sz="6" w:space="0" w:color="E1E3EA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MTHFR</w:t>
            </w:r>
          </w:p>
        </w:tc>
        <w:tc>
          <w:tcPr>
            <w:tcW w:w="0" w:type="auto"/>
            <w:tcBorders>
              <w:bottom w:val="nil"/>
              <w:right w:val="single" w:sz="6" w:space="0" w:color="E1E3EA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C677T (rs1801133)</w:t>
            </w:r>
          </w:p>
        </w:tc>
        <w:tc>
          <w:tcPr>
            <w:tcW w:w="0" w:type="auto"/>
            <w:tcBorders>
              <w:bottom w:val="nil"/>
              <w:right w:val="single" w:sz="6" w:space="0" w:color="E1E3EA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Метаболизм </w:t>
            </w:r>
            <w:proofErr w:type="spellStart"/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гомоцистеина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vAlign w:val="center"/>
            <w:hideMark/>
          </w:tcPr>
          <w:p w:rsidR="00630F1D" w:rsidRPr="00630F1D" w:rsidRDefault="00630F1D" w:rsidP="00630F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30F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Риск тромбозов при приеме оральных ААС</w:t>
            </w:r>
          </w:p>
        </w:tc>
      </w:tr>
    </w:tbl>
    <w:p w:rsidR="00630F1D" w:rsidRPr="00630F1D" w:rsidRDefault="00630F1D" w:rsidP="00630F1D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 xml:space="preserve">4.2. 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Нутригеномика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 xml:space="preserve"> и Образ жизни</w:t>
      </w:r>
    </w:p>
    <w:p w:rsidR="00630F1D" w:rsidRPr="00630F1D" w:rsidRDefault="00630F1D" w:rsidP="00630F1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 xml:space="preserve">Витамин D (VDR 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FokI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):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Влияние на плотность костей и иммунитет.</w:t>
      </w:r>
    </w:p>
    <w:p w:rsidR="00630F1D" w:rsidRPr="00630F1D" w:rsidRDefault="00630F1D" w:rsidP="00630F1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lastRenderedPageBreak/>
        <w:t>Омега-3 индекс: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Модификатор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кардиориска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и воспаления.</w:t>
      </w:r>
    </w:p>
    <w:p w:rsidR="00630F1D" w:rsidRPr="00630F1D" w:rsidRDefault="00630F1D" w:rsidP="00630F1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HOMA-IR: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Расчет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инсулинорезистентности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(влияет на эффективность инсулина и набор жира).</w:t>
      </w:r>
    </w:p>
    <w:p w:rsidR="00630F1D" w:rsidRPr="00630F1D" w:rsidRDefault="00630F1D" w:rsidP="00630F1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Потребление алкоголя: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Множитель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гепатотоксичности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(CYP2E1 индукция).</w:t>
      </w:r>
    </w:p>
    <w:p w:rsidR="00630F1D" w:rsidRPr="00630F1D" w:rsidRDefault="00630F1D" w:rsidP="00630F1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Курение: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Индукция CYP1A2, риск тромбозов.</w:t>
      </w:r>
    </w:p>
    <w:p w:rsidR="00630F1D" w:rsidRPr="00630F1D" w:rsidRDefault="00630F1D" w:rsidP="00630F1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630F1D" w:rsidRPr="00630F1D" w:rsidRDefault="00630F1D" w:rsidP="00630F1D">
      <w:pP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  <w:t xml:space="preserve">5. Лабораторный мониторинг и 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  <w:t>Биомаркеры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  <w:t xml:space="preserve"> (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  <w:t>Dynamic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  <w:t xml:space="preserve"> 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  <w:t>Tracking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  <w:t>)</w:t>
      </w:r>
    </w:p>
    <w:p w:rsidR="00630F1D" w:rsidRPr="00630F1D" w:rsidRDefault="00630F1D" w:rsidP="00630F1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Система должна не только показывать текущее значение, но и рассчитывать </w:t>
      </w: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тренды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и </w:t>
      </w: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производные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.</w:t>
      </w:r>
    </w:p>
    <w:p w:rsidR="00630F1D" w:rsidRPr="00630F1D" w:rsidRDefault="00630F1D" w:rsidP="00630F1D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5.1. Расширенный список маркеров</w:t>
      </w:r>
    </w:p>
    <w:p w:rsidR="00630F1D" w:rsidRPr="00630F1D" w:rsidRDefault="00630F1D" w:rsidP="00630F1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Сердце: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NT-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proBNP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Тропонин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I (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hs-cTnI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), CK-MB,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Гомоцистеин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, Фибриноген.</w:t>
      </w:r>
    </w:p>
    <w:p w:rsidR="00630F1D" w:rsidRPr="00630F1D" w:rsidRDefault="00630F1D" w:rsidP="00630F1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Печень: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АЛТ, АСТ, ГГТ, Билирубин (общий/прямой), </w:t>
      </w: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FIB-4 индекс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 xml:space="preserve">APRI 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score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, Щелочная фосфатаза.</w:t>
      </w:r>
    </w:p>
    <w:p w:rsidR="00630F1D" w:rsidRPr="00630F1D" w:rsidRDefault="00630F1D" w:rsidP="00630F1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Почки: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Креатинин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Мочевина,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Цистатин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C, </w:t>
      </w: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KIM-1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NGAL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Микроальбумин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.</w:t>
      </w:r>
    </w:p>
    <w:p w:rsidR="00630F1D" w:rsidRPr="00630F1D" w:rsidRDefault="00630F1D" w:rsidP="00630F1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Липиды: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Общий холестерин, ЛПНП (прямой), ЛПВП, Триглицериды, 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ApoB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ApoA1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Липопротеин (а)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oxLDL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.</w:t>
      </w:r>
    </w:p>
    <w:p w:rsidR="00630F1D" w:rsidRPr="00630F1D" w:rsidRDefault="00630F1D" w:rsidP="00630F1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Гормоны: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Тестостерон (общий/свободный),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Эстрадиол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(чувствительный), Пролактин, ЛГ, ФСГ, ГСПГ, Кортизол, ТТГ, Т3 св., Т4 св., ИФР-1.</w:t>
      </w:r>
    </w:p>
    <w:p w:rsidR="00630F1D" w:rsidRPr="00630F1D" w:rsidRDefault="00630F1D" w:rsidP="00630F1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Кровь: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Гемоглобин, Гематокрит, Эритроциты, Тромбоциты, Лейкоцитарная формула.</w:t>
      </w:r>
    </w:p>
    <w:p w:rsidR="00630F1D" w:rsidRPr="00630F1D" w:rsidRDefault="00630F1D" w:rsidP="00630F1D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5.2. Алгоритм анализа трендов</w:t>
      </w:r>
    </w:p>
    <w:p w:rsidR="00630F1D" w:rsidRPr="00630F1D" w:rsidRDefault="00630F1D" w:rsidP="00630F1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TrendL=Lcurrent−Lbaselinetcurrent−tbaseline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Trend</w:t>
      </w:r>
      <w:r w:rsidRPr="00630F1D">
        <w:rPr>
          <w:rFonts w:ascii="Arial" w:eastAsia="Times New Roman" w:hAnsi="Arial" w:cs="Arial"/>
          <w:i/>
          <w:iCs/>
          <w:color w:val="1D1D1F"/>
          <w:sz w:val="20"/>
          <w:szCs w:val="20"/>
          <w:lang w:eastAsia="ru-RU"/>
        </w:rPr>
        <w:t>L</w:t>
      </w:r>
      <w:r w:rsidRPr="00630F1D">
        <w:rPr>
          <w:rFonts w:ascii="Arial" w:eastAsia="Times New Roman" w:hAnsi="Arial" w:cs="Arial"/>
          <w:color w:val="1D1D1F"/>
          <w:sz w:val="2"/>
          <w:szCs w:val="2"/>
          <w:lang w:eastAsia="ru-RU"/>
        </w:rPr>
        <w:t>​</w:t>
      </w:r>
      <w:r w:rsidRPr="00630F1D">
        <w:rPr>
          <w:rFonts w:ascii="Arial" w:eastAsia="Times New Roman" w:hAnsi="Arial" w:cs="Arial"/>
          <w:color w:val="1D1D1F"/>
          <w:sz w:val="29"/>
          <w:szCs w:val="29"/>
          <w:lang w:eastAsia="ru-RU"/>
        </w:rPr>
        <w:t>=</w:t>
      </w:r>
      <w:r w:rsidRPr="00630F1D">
        <w:rPr>
          <w:rFonts w:ascii="Arial" w:eastAsia="Times New Roman" w:hAnsi="Arial" w:cs="Arial"/>
          <w:i/>
          <w:iCs/>
          <w:color w:val="1D1D1F"/>
          <w:sz w:val="20"/>
          <w:szCs w:val="20"/>
          <w:lang w:eastAsia="ru-RU"/>
        </w:rPr>
        <w:t>t</w:t>
      </w:r>
      <w:r w:rsidRPr="00630F1D">
        <w:rPr>
          <w:rFonts w:ascii="Arial" w:eastAsia="Times New Roman" w:hAnsi="Arial" w:cs="Arial"/>
          <w:i/>
          <w:iCs/>
          <w:color w:val="1D1D1F"/>
          <w:sz w:val="14"/>
          <w:szCs w:val="14"/>
          <w:lang w:eastAsia="ru-RU"/>
        </w:rPr>
        <w:t>current</w:t>
      </w:r>
      <w:r w:rsidRPr="00630F1D">
        <w:rPr>
          <w:rFonts w:ascii="Arial" w:eastAsia="Times New Roman" w:hAnsi="Arial" w:cs="Arial"/>
          <w:color w:val="1D1D1F"/>
          <w:sz w:val="2"/>
          <w:szCs w:val="2"/>
          <w:lang w:eastAsia="ru-RU"/>
        </w:rPr>
        <w:t>​</w:t>
      </w:r>
      <w:r w:rsidRPr="00630F1D">
        <w:rPr>
          <w:rFonts w:ascii="Arial" w:eastAsia="Times New Roman" w:hAnsi="Arial" w:cs="Arial"/>
          <w:color w:val="1D1D1F"/>
          <w:sz w:val="20"/>
          <w:szCs w:val="20"/>
          <w:lang w:eastAsia="ru-RU"/>
        </w:rPr>
        <w:t>−</w:t>
      </w:r>
      <w:r w:rsidRPr="00630F1D">
        <w:rPr>
          <w:rFonts w:ascii="Arial" w:eastAsia="Times New Roman" w:hAnsi="Arial" w:cs="Arial"/>
          <w:i/>
          <w:iCs/>
          <w:color w:val="1D1D1F"/>
          <w:sz w:val="20"/>
          <w:szCs w:val="20"/>
          <w:lang w:eastAsia="ru-RU"/>
        </w:rPr>
        <w:t>t</w:t>
      </w:r>
      <w:r w:rsidRPr="00630F1D">
        <w:rPr>
          <w:rFonts w:ascii="Arial" w:eastAsia="Times New Roman" w:hAnsi="Arial" w:cs="Arial"/>
          <w:i/>
          <w:iCs/>
          <w:color w:val="1D1D1F"/>
          <w:sz w:val="14"/>
          <w:szCs w:val="14"/>
          <w:lang w:eastAsia="ru-RU"/>
        </w:rPr>
        <w:t>baseline</w:t>
      </w:r>
      <w:r w:rsidRPr="00630F1D">
        <w:rPr>
          <w:rFonts w:ascii="Arial" w:eastAsia="Times New Roman" w:hAnsi="Arial" w:cs="Arial"/>
          <w:color w:val="1D1D1F"/>
          <w:sz w:val="2"/>
          <w:szCs w:val="2"/>
          <w:lang w:eastAsia="ru-RU"/>
        </w:rPr>
        <w:t>​</w:t>
      </w:r>
      <w:r w:rsidRPr="00630F1D">
        <w:rPr>
          <w:rFonts w:ascii="Arial" w:eastAsia="Times New Roman" w:hAnsi="Arial" w:cs="Arial"/>
          <w:i/>
          <w:iCs/>
          <w:color w:val="1D1D1F"/>
          <w:sz w:val="20"/>
          <w:szCs w:val="20"/>
          <w:lang w:eastAsia="ru-RU"/>
        </w:rPr>
        <w:t>L</w:t>
      </w:r>
      <w:r w:rsidRPr="00630F1D">
        <w:rPr>
          <w:rFonts w:ascii="Arial" w:eastAsia="Times New Roman" w:hAnsi="Arial" w:cs="Arial"/>
          <w:i/>
          <w:iCs/>
          <w:color w:val="1D1D1F"/>
          <w:sz w:val="14"/>
          <w:szCs w:val="14"/>
          <w:lang w:eastAsia="ru-RU"/>
        </w:rPr>
        <w:t>current</w:t>
      </w:r>
      <w:r w:rsidRPr="00630F1D">
        <w:rPr>
          <w:rFonts w:ascii="Arial" w:eastAsia="Times New Roman" w:hAnsi="Arial" w:cs="Arial"/>
          <w:color w:val="1D1D1F"/>
          <w:sz w:val="2"/>
          <w:szCs w:val="2"/>
          <w:lang w:eastAsia="ru-RU"/>
        </w:rPr>
        <w:t>​</w:t>
      </w:r>
      <w:r w:rsidRPr="00630F1D">
        <w:rPr>
          <w:rFonts w:ascii="Arial" w:eastAsia="Times New Roman" w:hAnsi="Arial" w:cs="Arial"/>
          <w:color w:val="1D1D1F"/>
          <w:sz w:val="20"/>
          <w:szCs w:val="20"/>
          <w:lang w:eastAsia="ru-RU"/>
        </w:rPr>
        <w:t>−</w:t>
      </w:r>
      <w:r w:rsidRPr="00630F1D">
        <w:rPr>
          <w:rFonts w:ascii="Arial" w:eastAsia="Times New Roman" w:hAnsi="Arial" w:cs="Arial"/>
          <w:i/>
          <w:iCs/>
          <w:color w:val="1D1D1F"/>
          <w:sz w:val="20"/>
          <w:szCs w:val="20"/>
          <w:lang w:eastAsia="ru-RU"/>
        </w:rPr>
        <w:t>L</w:t>
      </w:r>
      <w:r w:rsidRPr="00630F1D">
        <w:rPr>
          <w:rFonts w:ascii="Arial" w:eastAsia="Times New Roman" w:hAnsi="Arial" w:cs="Arial"/>
          <w:i/>
          <w:iCs/>
          <w:color w:val="1D1D1F"/>
          <w:sz w:val="14"/>
          <w:szCs w:val="14"/>
          <w:lang w:eastAsia="ru-RU"/>
        </w:rPr>
        <w:t>baseline</w:t>
      </w:r>
      <w:r w:rsidRPr="00630F1D">
        <w:rPr>
          <w:rFonts w:ascii="Arial" w:eastAsia="Times New Roman" w:hAnsi="Arial" w:cs="Arial"/>
          <w:color w:val="1D1D1F"/>
          <w:sz w:val="2"/>
          <w:szCs w:val="2"/>
          <w:lang w:eastAsia="ru-RU"/>
        </w:rPr>
        <w:t>​​</w:t>
      </w:r>
    </w:p>
    <w:p w:rsidR="00630F1D" w:rsidRPr="00630F1D" w:rsidRDefault="00630F1D" w:rsidP="00630F1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Если </w:t>
      </w:r>
      <w:proofErr w:type="spellStart"/>
      <w:proofErr w:type="gramStart"/>
      <w:r w:rsidRPr="00630F1D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TrendL</w:t>
      </w:r>
      <w:proofErr w:type="spellEnd"/>
      <w:r w:rsidRPr="00630F1D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&gt;</w:t>
      </w:r>
      <w:proofErr w:type="spellStart"/>
      <w:r w:rsidRPr="00630F1D">
        <w:rPr>
          <w:rFonts w:ascii="Arial" w:eastAsia="Times New Roman" w:hAnsi="Arial" w:cs="Arial"/>
          <w:color w:val="1D1D1F"/>
          <w:sz w:val="29"/>
          <w:szCs w:val="29"/>
          <w:bdr w:val="none" w:sz="0" w:space="0" w:color="auto" w:frame="1"/>
          <w:lang w:eastAsia="ru-RU"/>
        </w:rPr>
        <w:t>Thresholdcritical</w:t>
      </w:r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Trend</w:t>
      </w:r>
      <w:r w:rsidRPr="00630F1D">
        <w:rPr>
          <w:rFonts w:ascii="Arial" w:eastAsia="Times New Roman" w:hAnsi="Arial" w:cs="Arial"/>
          <w:i/>
          <w:iCs/>
          <w:color w:val="1D1D1F"/>
          <w:sz w:val="20"/>
          <w:szCs w:val="20"/>
          <w:lang w:eastAsia="ru-RU"/>
        </w:rPr>
        <w:t>L</w:t>
      </w:r>
      <w:proofErr w:type="spellEnd"/>
      <w:r w:rsidRPr="00630F1D">
        <w:rPr>
          <w:rFonts w:ascii="Arial" w:eastAsia="Times New Roman" w:hAnsi="Arial" w:cs="Arial"/>
          <w:color w:val="1D1D1F"/>
          <w:sz w:val="2"/>
          <w:szCs w:val="2"/>
          <w:lang w:eastAsia="ru-RU"/>
        </w:rPr>
        <w:t>​</w:t>
      </w:r>
      <w:proofErr w:type="gramEnd"/>
      <w:r w:rsidRPr="00630F1D">
        <w:rPr>
          <w:rFonts w:ascii="Arial" w:eastAsia="Times New Roman" w:hAnsi="Arial" w:cs="Arial"/>
          <w:color w:val="1D1D1F"/>
          <w:sz w:val="29"/>
          <w:szCs w:val="29"/>
          <w:lang w:eastAsia="ru-RU"/>
        </w:rPr>
        <w:t>&gt;</w:t>
      </w:r>
      <w:proofErr w:type="spellStart"/>
      <w:r w:rsidRPr="00630F1D">
        <w:rPr>
          <w:rFonts w:ascii="Arial" w:eastAsia="Times New Roman" w:hAnsi="Arial" w:cs="Arial"/>
          <w:i/>
          <w:iCs/>
          <w:color w:val="1D1D1F"/>
          <w:sz w:val="29"/>
          <w:szCs w:val="29"/>
          <w:lang w:eastAsia="ru-RU"/>
        </w:rPr>
        <w:t>Threshold</w:t>
      </w:r>
      <w:r w:rsidRPr="00630F1D">
        <w:rPr>
          <w:rFonts w:ascii="Arial" w:eastAsia="Times New Roman" w:hAnsi="Arial" w:cs="Arial"/>
          <w:i/>
          <w:iCs/>
          <w:color w:val="1D1D1F"/>
          <w:sz w:val="20"/>
          <w:szCs w:val="20"/>
          <w:lang w:eastAsia="ru-RU"/>
        </w:rPr>
        <w:t>critical</w:t>
      </w:r>
      <w:proofErr w:type="spellEnd"/>
      <w:r w:rsidRPr="00630F1D">
        <w:rPr>
          <w:rFonts w:ascii="Arial" w:eastAsia="Times New Roman" w:hAnsi="Arial" w:cs="Arial"/>
          <w:color w:val="1D1D1F"/>
          <w:sz w:val="2"/>
          <w:szCs w:val="2"/>
          <w:lang w:eastAsia="ru-RU"/>
        </w:rPr>
        <w:t>​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→ Мгновенное предупреждение "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Red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Flag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".</w:t>
      </w:r>
    </w:p>
    <w:p w:rsidR="00630F1D" w:rsidRPr="00630F1D" w:rsidRDefault="00630F1D" w:rsidP="00630F1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Прогнозирование выхода за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референсные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значения через 2-4 недели при сохранении текущей динамики.</w:t>
      </w:r>
    </w:p>
    <w:p w:rsidR="00630F1D" w:rsidRPr="00630F1D" w:rsidRDefault="00630F1D" w:rsidP="00630F1D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 xml:space="preserve">5.3. Индивидуальные 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референсные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 xml:space="preserve"> интервалы</w:t>
      </w:r>
    </w:p>
    <w:p w:rsidR="00630F1D" w:rsidRPr="00630F1D" w:rsidRDefault="00630F1D" w:rsidP="00630F1D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Возможность ввода лабораторных норм конкретной клиники.</w:t>
      </w:r>
    </w:p>
    <w:p w:rsidR="00630F1D" w:rsidRPr="00630F1D" w:rsidRDefault="00630F1D" w:rsidP="00630F1D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Учет пола, возраста и этнической принадлежности.</w:t>
      </w:r>
    </w:p>
    <w:p w:rsidR="00630F1D" w:rsidRPr="00630F1D" w:rsidRDefault="00630F1D" w:rsidP="00630F1D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Режим "Атлетические нормы" (расширенные границы для принимающих ААС).</w:t>
      </w:r>
    </w:p>
    <w:p w:rsidR="00630F1D" w:rsidRPr="00630F1D" w:rsidRDefault="00630F1D" w:rsidP="00630F1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630F1D" w:rsidRPr="00630F1D" w:rsidRDefault="00630F1D" w:rsidP="00630F1D">
      <w:pP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  <w:t>6. Модуль прогнозирования побочных эффектов (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  <w:t>Side-Effect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  <w:t xml:space="preserve"> 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  <w:t>Predictor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  <w:t>)</w:t>
      </w:r>
    </w:p>
    <w:p w:rsidR="00630F1D" w:rsidRPr="00630F1D" w:rsidRDefault="00630F1D" w:rsidP="00630F1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Вероятностная оценка (0-100%) для каждого побочного эффекта на основе комплексного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скоринга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:</w:t>
      </w:r>
    </w:p>
    <w:p w:rsidR="00630F1D" w:rsidRPr="00630F1D" w:rsidRDefault="00630F1D" w:rsidP="00630F1D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lastRenderedPageBreak/>
        <w:t>Гинекомастия: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(Уровень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Эстрадиола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× Чувствительность ESR1) + (Пролактин ×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Прогестагенная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активность препаратов) + (Баланс Тестостерон/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Эстрадиол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).</w:t>
      </w:r>
    </w:p>
    <w:p w:rsidR="00630F1D" w:rsidRPr="00630F1D" w:rsidRDefault="00630F1D" w:rsidP="00630F1D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 xml:space="preserve">Андрогенная 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алопеция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(ДГТ уровень × Активность SRD5A2) + (Генетический риск облысения) × (Длительность курса).</w:t>
      </w:r>
    </w:p>
    <w:p w:rsidR="00630F1D" w:rsidRPr="00630F1D" w:rsidRDefault="00630F1D" w:rsidP="00630F1D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Акне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/Себорея: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(Андрогенный индекс) + (Инсулиноподобный фактор) + (Гигиена/Диета фактор).</w:t>
      </w:r>
    </w:p>
    <w:p w:rsidR="00630F1D" w:rsidRPr="00630F1D" w:rsidRDefault="00630F1D" w:rsidP="00630F1D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Кардиоваскулярные риски: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(ЛПНП/ЛПВП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ratio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) + (ADMA) + (Давление) + (Гематокрит) + (Курение).</w:t>
      </w:r>
    </w:p>
    <w:p w:rsidR="00630F1D" w:rsidRPr="00630F1D" w:rsidRDefault="00630F1D" w:rsidP="00630F1D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Гепатотоксичность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(Нагрузка оральными 17-aa) + (АЛТ/АСТ динамика) + (Алкоголь) + (Прием других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гепатотоксичных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лекарств).</w:t>
      </w:r>
    </w:p>
    <w:p w:rsidR="00630F1D" w:rsidRPr="00630F1D" w:rsidRDefault="00630F1D" w:rsidP="00630F1D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Нейропсихиатрические: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("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Треновый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кашель", агрессия, бессонница, тревожность) — на основе профилей COMT и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дофаминовой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нагрузки.</w:t>
      </w:r>
    </w:p>
    <w:p w:rsidR="00630F1D" w:rsidRPr="00630F1D" w:rsidRDefault="00630F1D" w:rsidP="00630F1D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Почечная недостаточность: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(СКФ тренд) + (Белок в моче) + (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Креатинин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) + (Давление).</w:t>
      </w:r>
    </w:p>
    <w:p w:rsidR="00630F1D" w:rsidRPr="00630F1D" w:rsidRDefault="00630F1D" w:rsidP="00630F1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630F1D" w:rsidRPr="00630F1D" w:rsidRDefault="00630F1D" w:rsidP="00630F1D">
      <w:pP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  <w:t>7. Сценарное моделирование и AI-оптимизация ("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  <w:t>What-If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  <w:t xml:space="preserve"> 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  <w:t>Analysis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  <w:t>")</w:t>
      </w:r>
    </w:p>
    <w:p w:rsidR="00630F1D" w:rsidRPr="00630F1D" w:rsidRDefault="00630F1D" w:rsidP="00630F1D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7.1. Мульти-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сценарность</w:t>
      </w:r>
      <w:proofErr w:type="spellEnd"/>
    </w:p>
    <w:p w:rsidR="00630F1D" w:rsidRPr="00630F1D" w:rsidRDefault="00630F1D" w:rsidP="00630F1D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Одновременный расчет и сравнение до </w:t>
      </w: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5 сценариев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.</w:t>
      </w:r>
    </w:p>
    <w:p w:rsidR="00630F1D" w:rsidRPr="00630F1D" w:rsidRDefault="00630F1D" w:rsidP="00630F1D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Визуальное наложение графиков (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Risk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Overlay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).</w:t>
      </w:r>
    </w:p>
    <w:p w:rsidR="00630F1D" w:rsidRPr="00630F1D" w:rsidRDefault="00630F1D" w:rsidP="00630F1D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Сравнительная таблица кумулятивных индексов ущерба (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Cumulative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Damage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Index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).</w:t>
      </w:r>
    </w:p>
    <w:p w:rsidR="00630F1D" w:rsidRPr="00630F1D" w:rsidRDefault="00630F1D" w:rsidP="00630F1D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7.2. AI-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Рекомендатор</w:t>
      </w:r>
      <w:proofErr w:type="spellEnd"/>
    </w:p>
    <w:p w:rsidR="00630F1D" w:rsidRPr="00630F1D" w:rsidRDefault="00630F1D" w:rsidP="00630F1D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Автоматический подбор дозировок для минимизации рисков при сохранении анаболического отклика.</w:t>
      </w:r>
    </w:p>
    <w:p w:rsidR="00630F1D" w:rsidRPr="00630F1D" w:rsidRDefault="00630F1D" w:rsidP="00630F1D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Предложения по добавлению компенсирующих препаратов (</w:t>
      </w:r>
      <w:proofErr w:type="gram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например</w:t>
      </w:r>
      <w:proofErr w:type="gram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: "Добавить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Телмисартан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20мг для снижения АД без потери эффективности").</w:t>
      </w:r>
    </w:p>
    <w:p w:rsidR="00630F1D" w:rsidRPr="00630F1D" w:rsidRDefault="00630F1D" w:rsidP="00630F1D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Оптимизация длительности курса и ПКТ.</w:t>
      </w:r>
    </w:p>
    <w:p w:rsidR="00630F1D" w:rsidRPr="00630F1D" w:rsidRDefault="00630F1D" w:rsidP="00630F1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630F1D" w:rsidRPr="00630F1D" w:rsidRDefault="00630F1D" w:rsidP="00630F1D">
      <w:pP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  <w:t xml:space="preserve">8. Интеграция и 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  <w:t>Валидация</w:t>
      </w:r>
      <w:proofErr w:type="spellEnd"/>
    </w:p>
    <w:p w:rsidR="00630F1D" w:rsidRPr="00630F1D" w:rsidRDefault="00630F1D" w:rsidP="00630F1D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8.1. API и Внешние источники</w:t>
      </w:r>
    </w:p>
    <w:p w:rsidR="00630F1D" w:rsidRPr="00630F1D" w:rsidRDefault="00630F1D" w:rsidP="00630F1D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DrugBank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 xml:space="preserve"> API: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Авто-обновление параметров препаратов.</w:t>
      </w:r>
    </w:p>
    <w:p w:rsidR="00630F1D" w:rsidRPr="00630F1D" w:rsidRDefault="00630F1D" w:rsidP="00630F1D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PubMed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/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ClinVar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Поиск свежих исследований по введенным комбинациям веществ.</w:t>
      </w:r>
    </w:p>
    <w:p w:rsidR="00630F1D" w:rsidRPr="00630F1D" w:rsidRDefault="00630F1D" w:rsidP="00630F1D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FitBit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/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Garmin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/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Apple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 xml:space="preserve"> 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Health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Импорт данных о пульсе, вариабельности сердечного ритма (HRV) и сне для коррекции оценки восстановления.</w:t>
      </w:r>
    </w:p>
    <w:p w:rsidR="00630F1D" w:rsidRPr="00630F1D" w:rsidRDefault="00630F1D" w:rsidP="00630F1D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 xml:space="preserve">8.2. Модуль 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валидации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 xml:space="preserve"> (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Bayesian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 xml:space="preserve"> 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Updating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)</w:t>
      </w:r>
    </w:p>
    <w:p w:rsidR="00630F1D" w:rsidRPr="00630F1D" w:rsidRDefault="00630F1D" w:rsidP="00630F1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Загрузка пользователем реальных анализов (CSV/PDF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парсинг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).</w:t>
      </w:r>
    </w:p>
    <w:p w:rsidR="00630F1D" w:rsidRPr="00630F1D" w:rsidRDefault="00630F1D" w:rsidP="00630F1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lastRenderedPageBreak/>
        <w:t>Расчет ошибки предсказания (MAE, RMSE).</w:t>
      </w:r>
    </w:p>
    <w:p w:rsidR="00630F1D" w:rsidRPr="00630F1D" w:rsidRDefault="00630F1D" w:rsidP="00630F1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Авто-калибровка модели: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Система подстраивает персональные коэффициенты (клиренс, чувствительность) под реальные данные пользователя, повышая точность будущих прогнозов.</w:t>
      </w:r>
    </w:p>
    <w:p w:rsidR="00630F1D" w:rsidRPr="00630F1D" w:rsidRDefault="00630F1D" w:rsidP="00630F1D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8.3. Интеграция с тренировочным процессом</w:t>
      </w:r>
    </w:p>
    <w:p w:rsidR="00630F1D" w:rsidRPr="00630F1D" w:rsidRDefault="00630F1D" w:rsidP="00630F1D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Корректировка планов тренировок на основе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фармо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-рисков:</w:t>
      </w:r>
    </w:p>
    <w:p w:rsidR="00630F1D" w:rsidRPr="00630F1D" w:rsidRDefault="00630F1D" w:rsidP="00630F1D">
      <w:pPr>
        <w:numPr>
          <w:ilvl w:val="1"/>
          <w:numId w:val="15"/>
        </w:num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Кардиориск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&gt;</w:t>
      </w:r>
      <w:proofErr w:type="gram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50% → Снижение зоны пульса, запрет HIIT.</w:t>
      </w:r>
    </w:p>
    <w:p w:rsidR="00630F1D" w:rsidRPr="00630F1D" w:rsidRDefault="00630F1D" w:rsidP="00630F1D">
      <w:pPr>
        <w:numPr>
          <w:ilvl w:val="1"/>
          <w:numId w:val="15"/>
        </w:num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gram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Гематокрит &gt;</w:t>
      </w:r>
      <w:proofErr w:type="gram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54% → Снижение весов, увеличение отдыха.</w:t>
      </w:r>
    </w:p>
    <w:p w:rsidR="00630F1D" w:rsidRPr="00630F1D" w:rsidRDefault="00630F1D" w:rsidP="00630F1D">
      <w:pPr>
        <w:numPr>
          <w:ilvl w:val="1"/>
          <w:numId w:val="15"/>
        </w:num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proofErr w:type="gram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Нейротоксичность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&gt;</w:t>
      </w:r>
      <w:proofErr w:type="gram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70% → Запрет отказных подходов, снижение объема ЦНС-затратных упражнений.</w:t>
      </w:r>
    </w:p>
    <w:p w:rsidR="00630F1D" w:rsidRPr="00630F1D" w:rsidRDefault="00630F1D" w:rsidP="00630F1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630F1D" w:rsidRPr="00630F1D" w:rsidRDefault="00630F1D" w:rsidP="00630F1D">
      <w:pP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  <w:t>9. Технические требования и Интерфейс</w:t>
      </w:r>
    </w:p>
    <w:p w:rsidR="00630F1D" w:rsidRPr="00630F1D" w:rsidRDefault="00630F1D" w:rsidP="00630F1D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Архитектура</w:t>
      </w: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val="en-US" w:eastAsia="ru-RU"/>
        </w:rPr>
        <w:t>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  <w:t xml:space="preserve"> Single Page Application (SPA).</w:t>
      </w:r>
    </w:p>
    <w:p w:rsidR="00630F1D" w:rsidRPr="00630F1D" w:rsidRDefault="00630F1D" w:rsidP="00630F1D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Язык: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TypeScript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(строгая типизация).</w:t>
      </w:r>
    </w:p>
    <w:p w:rsidR="00630F1D" w:rsidRPr="00630F1D" w:rsidRDefault="00630F1D" w:rsidP="00630F1D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Вычисления: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Web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Workers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для тяжелых расчетов (Монте-Карло симуляции, RK4 интегрирование) без блокировки UI.</w:t>
      </w:r>
    </w:p>
    <w:p w:rsidR="00630F1D" w:rsidRPr="00630F1D" w:rsidRDefault="00630F1D" w:rsidP="00630F1D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Визуализация: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Interactive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Charts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(Chart.js / D3.js) с зумом,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tooltips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и экспортом.</w:t>
      </w:r>
    </w:p>
    <w:p w:rsidR="00630F1D" w:rsidRPr="00630F1D" w:rsidRDefault="00630F1D" w:rsidP="00630F1D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Отчетность: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Генерация PDF-отчетов с графиками, таблицами рисков и рекомендациями врача.</w:t>
      </w:r>
    </w:p>
    <w:p w:rsidR="00630F1D" w:rsidRPr="00630F1D" w:rsidRDefault="00630F1D" w:rsidP="00630F1D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Безопасность: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Локальное хранение данных (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LocalStorage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/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IndexedDB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) с возможностью шифрования. Никакие медицинские данные не отправляются на сервер без явного согласия.</w:t>
      </w:r>
    </w:p>
    <w:p w:rsidR="00630F1D" w:rsidRPr="00630F1D" w:rsidRDefault="00630F1D" w:rsidP="00630F1D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Производительность: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Расчет одного сценария на 52 недели </w:t>
      </w:r>
      <w:proofErr w:type="gram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&lt; 1</w:t>
      </w:r>
      <w:proofErr w:type="gram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секунды.</w:t>
      </w:r>
    </w:p>
    <w:p w:rsidR="00630F1D" w:rsidRPr="00630F1D" w:rsidRDefault="00630F1D" w:rsidP="00630F1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630F1D" w:rsidRPr="00630F1D" w:rsidRDefault="00630F1D" w:rsidP="00630F1D">
      <w:pP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  <w:t>10. Этапы реализации (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  <w:t>Roadmap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lang w:eastAsia="ru-RU"/>
        </w:rPr>
        <w:t>)</w:t>
      </w:r>
    </w:p>
    <w:p w:rsidR="00630F1D" w:rsidRPr="00630F1D" w:rsidRDefault="00630F1D" w:rsidP="00630F1D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Phase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 xml:space="preserve"> 1 (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Core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):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База 60 препаратов, 2-компартментная PK, базовая генетика, графики.</w:t>
      </w:r>
    </w:p>
    <w:p w:rsidR="00630F1D" w:rsidRPr="00630F1D" w:rsidRDefault="00630F1D" w:rsidP="00630F1D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Phase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 xml:space="preserve"> 2 (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Advanced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):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Добавление остальных 70 препаратов, модуль трендов лаб. данных,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ребаунд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-эффекты, толерантность.</w:t>
      </w:r>
    </w:p>
    <w:p w:rsidR="00630F1D" w:rsidRPr="00630F1D" w:rsidRDefault="00630F1D" w:rsidP="00630F1D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Phase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 xml:space="preserve"> 3 (AI &amp; 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Integration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):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Модуль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валидации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,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Bayesian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update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, интеграция с внешними API, экспорт PDF.</w:t>
      </w:r>
    </w:p>
    <w:p w:rsidR="00630F1D" w:rsidRPr="00630F1D" w:rsidRDefault="00630F1D" w:rsidP="00630F1D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Phase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 xml:space="preserve"> 4 (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Ecosystem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):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Интеграция с тренерами, мобильная адаптация, PWA.</w:t>
      </w:r>
    </w:p>
    <w:p w:rsidR="00630F1D" w:rsidRPr="00630F1D" w:rsidRDefault="00630F1D" w:rsidP="00630F1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630F1D" w:rsidRPr="00630F1D" w:rsidRDefault="00630F1D" w:rsidP="00630F1D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630F1D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  <w:t>Дополнительные научные обоснования (для разработчика):</w:t>
      </w:r>
    </w:p>
    <w:p w:rsidR="00630F1D" w:rsidRPr="00630F1D" w:rsidRDefault="00630F1D" w:rsidP="00630F1D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Использовать уравнения 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Michaelis-Menten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для ферментов с насыщаемой кинетикой (при высоких дозах оральных стероидов).</w:t>
      </w:r>
    </w:p>
    <w:p w:rsidR="00630F1D" w:rsidRPr="00630F1D" w:rsidRDefault="00630F1D" w:rsidP="00630F1D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Учесть циркадные ритмы при моделировании кортизола и тестостерона.</w:t>
      </w:r>
    </w:p>
    <w:p w:rsidR="00630F1D" w:rsidRPr="00630F1D" w:rsidRDefault="00630F1D" w:rsidP="00630F1D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Внедрить понятие </w:t>
      </w:r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"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Stack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 xml:space="preserve"> 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Synergy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 xml:space="preserve"> 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Coefficient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"</w:t>
      </w: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для комбинаций (например, Тестостерон + Дека дают больший эффект, чем сумма отдельных, но и риск </w:t>
      </w:r>
      <w:proofErr w:type="spellStart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>пролактинового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побочного растет нелинейно).</w:t>
      </w:r>
    </w:p>
    <w:p w:rsidR="00630F1D" w:rsidRPr="00630F1D" w:rsidRDefault="00630F1D" w:rsidP="00630F1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lastRenderedPageBreak/>
        <w:t xml:space="preserve">Это ТЗ представляет собой стандарт уровня 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Medical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 xml:space="preserve"> 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Grade</w:t>
      </w:r>
      <w:proofErr w:type="spellEnd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 xml:space="preserve"> </w:t>
      </w:r>
      <w:proofErr w:type="spellStart"/>
      <w:r w:rsidRPr="00630F1D">
        <w:rPr>
          <w:rFonts w:ascii="Arial" w:eastAsia="Times New Roman" w:hAnsi="Arial" w:cs="Arial"/>
          <w:b/>
          <w:bCs/>
          <w:color w:val="1D1D1F"/>
          <w:sz w:val="24"/>
          <w:szCs w:val="24"/>
          <w:lang w:eastAsia="ru-RU"/>
        </w:rPr>
        <w:t>Software</w:t>
      </w:r>
      <w:proofErr w:type="spellEnd"/>
      <w:r w:rsidRPr="00630F1D">
        <w:rPr>
          <w:rFonts w:ascii="Arial" w:eastAsia="Times New Roman" w:hAnsi="Arial" w:cs="Arial"/>
          <w:color w:val="1D1D1F"/>
          <w:sz w:val="24"/>
          <w:szCs w:val="24"/>
          <w:lang w:eastAsia="ru-RU"/>
        </w:rPr>
        <w:t xml:space="preserve"> для спортивной сферы, превосходящий любые существующие калькуляторы циклов.</w:t>
      </w:r>
    </w:p>
    <w:p w:rsidR="00495E37" w:rsidRDefault="00495E37">
      <w:bookmarkStart w:id="0" w:name="_GoBack"/>
      <w:bookmarkEnd w:id="0"/>
    </w:p>
    <w:sectPr w:rsidR="00495E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D24F3"/>
    <w:multiLevelType w:val="multilevel"/>
    <w:tmpl w:val="5F48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048F0"/>
    <w:multiLevelType w:val="multilevel"/>
    <w:tmpl w:val="E1D41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F866A6"/>
    <w:multiLevelType w:val="multilevel"/>
    <w:tmpl w:val="89864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5A2633"/>
    <w:multiLevelType w:val="multilevel"/>
    <w:tmpl w:val="541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721BFA"/>
    <w:multiLevelType w:val="multilevel"/>
    <w:tmpl w:val="0DC2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C29F2"/>
    <w:multiLevelType w:val="multilevel"/>
    <w:tmpl w:val="C62E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D52C5"/>
    <w:multiLevelType w:val="multilevel"/>
    <w:tmpl w:val="3E8A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31FE7"/>
    <w:multiLevelType w:val="multilevel"/>
    <w:tmpl w:val="139E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77C42"/>
    <w:multiLevelType w:val="multilevel"/>
    <w:tmpl w:val="8F66D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D42F2B"/>
    <w:multiLevelType w:val="multilevel"/>
    <w:tmpl w:val="5D8A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66677"/>
    <w:multiLevelType w:val="multilevel"/>
    <w:tmpl w:val="7F8C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37E65"/>
    <w:multiLevelType w:val="multilevel"/>
    <w:tmpl w:val="7FAC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B51512"/>
    <w:multiLevelType w:val="multilevel"/>
    <w:tmpl w:val="0356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C73874"/>
    <w:multiLevelType w:val="multilevel"/>
    <w:tmpl w:val="EABC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67201D"/>
    <w:multiLevelType w:val="multilevel"/>
    <w:tmpl w:val="4C0C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B62121"/>
    <w:multiLevelType w:val="multilevel"/>
    <w:tmpl w:val="740E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291971"/>
    <w:multiLevelType w:val="multilevel"/>
    <w:tmpl w:val="95F8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1756DB"/>
    <w:multiLevelType w:val="multilevel"/>
    <w:tmpl w:val="AC4A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13"/>
  </w:num>
  <w:num w:numId="4">
    <w:abstractNumId w:val="4"/>
  </w:num>
  <w:num w:numId="5">
    <w:abstractNumId w:val="2"/>
  </w:num>
  <w:num w:numId="6">
    <w:abstractNumId w:val="15"/>
  </w:num>
  <w:num w:numId="7">
    <w:abstractNumId w:val="16"/>
  </w:num>
  <w:num w:numId="8">
    <w:abstractNumId w:val="5"/>
  </w:num>
  <w:num w:numId="9">
    <w:abstractNumId w:val="0"/>
  </w:num>
  <w:num w:numId="10">
    <w:abstractNumId w:val="3"/>
  </w:num>
  <w:num w:numId="11">
    <w:abstractNumId w:val="17"/>
  </w:num>
  <w:num w:numId="12">
    <w:abstractNumId w:val="9"/>
  </w:num>
  <w:num w:numId="13">
    <w:abstractNumId w:val="11"/>
  </w:num>
  <w:num w:numId="14">
    <w:abstractNumId w:val="6"/>
  </w:num>
  <w:num w:numId="15">
    <w:abstractNumId w:val="10"/>
  </w:num>
  <w:num w:numId="16">
    <w:abstractNumId w:val="14"/>
  </w:num>
  <w:num w:numId="17">
    <w:abstractNumId w:val="8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F1D"/>
    <w:rsid w:val="00495E37"/>
    <w:rsid w:val="00630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EBC476-3261-4456-9337-617A2A3E2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30F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30F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30F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30F1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0F1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30F1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30F1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30F1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qwen-markdown-text">
    <w:name w:val="qwen-markdown-text"/>
    <w:basedOn w:val="a0"/>
    <w:rsid w:val="00630F1D"/>
  </w:style>
  <w:style w:type="character" w:customStyle="1" w:styleId="katex-mathml">
    <w:name w:val="katex-mathml"/>
    <w:basedOn w:val="a0"/>
    <w:rsid w:val="00630F1D"/>
  </w:style>
  <w:style w:type="character" w:customStyle="1" w:styleId="mord">
    <w:name w:val="mord"/>
    <w:basedOn w:val="a0"/>
    <w:rsid w:val="00630F1D"/>
  </w:style>
  <w:style w:type="character" w:customStyle="1" w:styleId="vlist-s">
    <w:name w:val="vlist-s"/>
    <w:basedOn w:val="a0"/>
    <w:rsid w:val="00630F1D"/>
  </w:style>
  <w:style w:type="character" w:customStyle="1" w:styleId="mopen">
    <w:name w:val="mopen"/>
    <w:basedOn w:val="a0"/>
    <w:rsid w:val="00630F1D"/>
  </w:style>
  <w:style w:type="character" w:customStyle="1" w:styleId="mclose">
    <w:name w:val="mclose"/>
    <w:basedOn w:val="a0"/>
    <w:rsid w:val="00630F1D"/>
  </w:style>
  <w:style w:type="character" w:customStyle="1" w:styleId="mrel">
    <w:name w:val="mrel"/>
    <w:basedOn w:val="a0"/>
    <w:rsid w:val="00630F1D"/>
  </w:style>
  <w:style w:type="character" w:customStyle="1" w:styleId="mop">
    <w:name w:val="mop"/>
    <w:basedOn w:val="a0"/>
    <w:rsid w:val="00630F1D"/>
  </w:style>
  <w:style w:type="character" w:customStyle="1" w:styleId="mbin">
    <w:name w:val="mbin"/>
    <w:basedOn w:val="a0"/>
    <w:rsid w:val="00630F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1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1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4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3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8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6877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7259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0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66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54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53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81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95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69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03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43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86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02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20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22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94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3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75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96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8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66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67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27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71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14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22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16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66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28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31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8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91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78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04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99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0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51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44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69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90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65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6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90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28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9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1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3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64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6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5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8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5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1719</Words>
  <Characters>9804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Лукашов Александр Сергеевич</dc:creator>
  <cp:keywords/>
  <dc:description/>
  <cp:lastModifiedBy>Лукашов Александр Сергеевич</cp:lastModifiedBy>
  <cp:revision>1</cp:revision>
  <dcterms:created xsi:type="dcterms:W3CDTF">2026-05-21T05:35:00Z</dcterms:created>
  <dcterms:modified xsi:type="dcterms:W3CDTF">2026-05-21T06:05:00Z</dcterms:modified>
</cp:coreProperties>
</file>