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FAC9" w14:textId="778EC32C" w:rsidR="00496ECC" w:rsidRDefault="00496ECC" w:rsidP="003A10C0">
      <w:pPr>
        <w:pStyle w:val="Heading1"/>
      </w:pPr>
      <w:r>
        <w:t xml:space="preserve">Homework: Apply </w:t>
      </w:r>
      <w:r w:rsidR="006F46D1">
        <w:t>Daubert Standard to Digital Forensics</w:t>
      </w:r>
      <w:r w:rsidR="00252312">
        <w:t xml:space="preserve"> Tests</w:t>
      </w:r>
    </w:p>
    <w:p w14:paraId="3092E931" w14:textId="77777777" w:rsidR="003A10C0" w:rsidRPr="003A10C0" w:rsidRDefault="003A10C0" w:rsidP="003A10C0"/>
    <w:p w14:paraId="7CAC2EA3" w14:textId="49EC1331" w:rsidR="00496ECC" w:rsidRDefault="000A3586" w:rsidP="003A10C0">
      <w:pPr>
        <w:pStyle w:val="Heading2"/>
      </w:pPr>
      <w:r>
        <w:t xml:space="preserve">Learning Objectives: </w:t>
      </w:r>
      <w:r w:rsidR="006F46D1">
        <w:t xml:space="preserve">Students will be able to </w:t>
      </w:r>
      <w:r w:rsidR="003A10C0">
        <w:t>…</w:t>
      </w:r>
    </w:p>
    <w:p w14:paraId="558984AB" w14:textId="1E5A6404" w:rsidR="00C648E1" w:rsidRDefault="00C648E1" w:rsidP="000A3586">
      <w:pPr>
        <w:pStyle w:val="ListParagraph"/>
        <w:numPr>
          <w:ilvl w:val="0"/>
          <w:numId w:val="2"/>
        </w:numPr>
      </w:pPr>
      <w:r>
        <w:t>Summarize what the Daubert Standard is.</w:t>
      </w:r>
    </w:p>
    <w:p w14:paraId="3260A13C" w14:textId="747FF5AE" w:rsidR="006F46D1" w:rsidRDefault="006F46D1" w:rsidP="000A3586">
      <w:pPr>
        <w:pStyle w:val="ListParagraph"/>
        <w:numPr>
          <w:ilvl w:val="0"/>
          <w:numId w:val="2"/>
        </w:numPr>
      </w:pPr>
      <w:r>
        <w:t xml:space="preserve">Given a digital forensic test, </w:t>
      </w:r>
      <w:r w:rsidR="00934228">
        <w:t>justify the test according to</w:t>
      </w:r>
      <w:r>
        <w:t xml:space="preserve"> the </w:t>
      </w:r>
      <w:r w:rsidR="00C648E1">
        <w:t xml:space="preserve">five </w:t>
      </w:r>
      <w:r>
        <w:t xml:space="preserve">Daubert Standard </w:t>
      </w:r>
      <w:r w:rsidR="003D4A59">
        <w:t>questions.</w:t>
      </w:r>
    </w:p>
    <w:p w14:paraId="439EC858" w14:textId="678FF87E" w:rsidR="000A3586" w:rsidRDefault="006F46D1" w:rsidP="00BB2871">
      <w:pPr>
        <w:pStyle w:val="ListParagraph"/>
        <w:numPr>
          <w:ilvl w:val="0"/>
          <w:numId w:val="2"/>
        </w:numPr>
      </w:pPr>
      <w:r>
        <w:t xml:space="preserve">Reflect on </w:t>
      </w:r>
      <w:r w:rsidR="000A3586">
        <w:t xml:space="preserve">possible challenges to a digital forensic test according to Daubert Standard. </w:t>
      </w:r>
    </w:p>
    <w:p w14:paraId="0A590334" w14:textId="10AB8534" w:rsidR="000A3586" w:rsidRDefault="000A3586" w:rsidP="003A10C0">
      <w:pPr>
        <w:pStyle w:val="Heading2"/>
      </w:pPr>
      <w:r>
        <w:t xml:space="preserve">Scenario: </w:t>
      </w:r>
    </w:p>
    <w:p w14:paraId="25C13E0E" w14:textId="5A0C8F07" w:rsidR="00133658" w:rsidRDefault="00133658">
      <w:r>
        <w:t xml:space="preserve">You work </w:t>
      </w:r>
      <w:r w:rsidR="005E26DE">
        <w:t>with</w:t>
      </w:r>
      <w:r>
        <w:t xml:space="preserve"> law enforcement </w:t>
      </w:r>
      <w:r w:rsidR="005E26DE">
        <w:t>as a digital forensic professional. In a criminal case, t</w:t>
      </w:r>
      <w:r>
        <w:t xml:space="preserve">he </w:t>
      </w:r>
      <w:r w:rsidR="000A3586">
        <w:t>prosecuting</w:t>
      </w:r>
      <w:r>
        <w:t xml:space="preserve"> attorney has a digital forensic expert that claims she </w:t>
      </w:r>
      <w:r w:rsidR="00AD6770">
        <w:t xml:space="preserve">can </w:t>
      </w:r>
      <w:r w:rsidR="00045E5B">
        <w:t xml:space="preserve">discover guilty knowledge by administering a guilty knowledge test to a suspect. </w:t>
      </w:r>
      <w:r>
        <w:t xml:space="preserve">The judge may </w:t>
      </w:r>
      <w:r w:rsidR="0024321E">
        <w:t xml:space="preserve">not allow the expert witness </w:t>
      </w:r>
      <w:r w:rsidR="005E26DE">
        <w:t xml:space="preserve">or guilty knowledge test results </w:t>
      </w:r>
      <w:r w:rsidR="0024321E">
        <w:t>because of the Daubert Standard. Your job is to prepare the expert witness</w:t>
      </w:r>
      <w:r w:rsidR="005E26DE">
        <w:t>’ evidence</w:t>
      </w:r>
      <w:r w:rsidR="0024321E">
        <w:t xml:space="preserve"> to be permitted in court. </w:t>
      </w:r>
    </w:p>
    <w:p w14:paraId="0CE0DC5D" w14:textId="702495F0" w:rsidR="0016605C" w:rsidRDefault="0016605C" w:rsidP="003A10C0">
      <w:pPr>
        <w:pStyle w:val="Heading2"/>
      </w:pPr>
      <w:r>
        <w:t xml:space="preserve">Learning Task: </w:t>
      </w:r>
    </w:p>
    <w:p w14:paraId="78669BCC" w14:textId="2AD906D7" w:rsidR="0016605C" w:rsidRDefault="0016605C" w:rsidP="003A10C0">
      <w:pPr>
        <w:pStyle w:val="ListParagraph"/>
        <w:numPr>
          <w:ilvl w:val="0"/>
          <w:numId w:val="5"/>
        </w:numPr>
      </w:pPr>
      <w:r>
        <w:t xml:space="preserve">Ask </w:t>
      </w:r>
      <w:hyperlink r:id="rId7" w:history="1">
        <w:r w:rsidRPr="003711A2">
          <w:rPr>
            <w:rStyle w:val="Hyperlink"/>
          </w:rPr>
          <w:t>Google</w:t>
        </w:r>
        <w:r w:rsidR="00F91CE8" w:rsidRPr="003711A2">
          <w:rPr>
            <w:rStyle w:val="Hyperlink"/>
          </w:rPr>
          <w:t xml:space="preserve"> </w:t>
        </w:r>
        <w:r w:rsidRPr="003711A2">
          <w:rPr>
            <w:rStyle w:val="Hyperlink"/>
          </w:rPr>
          <w:t>Bard</w:t>
        </w:r>
      </w:hyperlink>
      <w:r>
        <w:t xml:space="preserve"> for a summary of </w:t>
      </w:r>
      <w:r w:rsidR="00C77ACD">
        <w:t xml:space="preserve">what a guilty knowledge test </w:t>
      </w:r>
      <w:r w:rsidR="00AD6770">
        <w:t xml:space="preserve">or concealed knowledge test </w:t>
      </w:r>
      <w:r w:rsidR="00C77ACD">
        <w:t>is</w:t>
      </w:r>
      <w:r w:rsidR="00F91CE8">
        <w:t>.</w:t>
      </w:r>
    </w:p>
    <w:p w14:paraId="4B5C938B" w14:textId="253F8167" w:rsidR="00F91CE8" w:rsidRDefault="00F91CE8" w:rsidP="003A10C0">
      <w:pPr>
        <w:pStyle w:val="ListParagraph"/>
        <w:numPr>
          <w:ilvl w:val="0"/>
          <w:numId w:val="5"/>
        </w:numPr>
      </w:pPr>
      <w:r>
        <w:t xml:space="preserve">Ask Google Bard for an example of a guilty knowledge test. </w:t>
      </w:r>
    </w:p>
    <w:p w14:paraId="5A0F7030" w14:textId="03884A67" w:rsidR="00291F73" w:rsidRDefault="00291F73" w:rsidP="003A10C0">
      <w:pPr>
        <w:pStyle w:val="ListParagraph"/>
        <w:numPr>
          <w:ilvl w:val="0"/>
          <w:numId w:val="5"/>
        </w:numPr>
      </w:pPr>
      <w:r>
        <w:t xml:space="preserve">Read this </w:t>
      </w:r>
      <w:r w:rsidR="00954FBE">
        <w:t xml:space="preserve">article by </w:t>
      </w:r>
      <w:hyperlink r:id="rId8" w:anchor=":~:text=The%20Daubert%20case%20introduced%20a,pseudoscientific%20or%20unreliable%20expert%20testimony." w:history="1">
        <w:r w:rsidR="00954FBE" w:rsidRPr="00954FBE">
          <w:rPr>
            <w:rStyle w:val="Hyperlink"/>
          </w:rPr>
          <w:t>Cornell Law School on Daubert Standard</w:t>
        </w:r>
      </w:hyperlink>
    </w:p>
    <w:p w14:paraId="7409F343" w14:textId="5A5D8EC5" w:rsidR="005E26DE" w:rsidRDefault="005E26DE" w:rsidP="003A10C0">
      <w:pPr>
        <w:pStyle w:val="Heading2"/>
      </w:pPr>
      <w:r>
        <w:t xml:space="preserve">Assignment Task: </w:t>
      </w:r>
    </w:p>
    <w:p w14:paraId="0435C599" w14:textId="6484E9F6" w:rsidR="00CA1DDD" w:rsidRDefault="002B5011" w:rsidP="00CA1DDD">
      <w:pPr>
        <w:pStyle w:val="ListParagraph"/>
        <w:numPr>
          <w:ilvl w:val="0"/>
          <w:numId w:val="3"/>
        </w:numPr>
      </w:pPr>
      <w:r>
        <w:t>In your own words, w</w:t>
      </w:r>
      <w:r w:rsidR="00850B10">
        <w:t>rite a</w:t>
      </w:r>
      <w:r w:rsidR="00517DD1">
        <w:t xml:space="preserve"> brief, one paragraph description </w:t>
      </w:r>
      <w:r w:rsidR="00850B10">
        <w:t>of what the Daubert Standard is</w:t>
      </w:r>
      <w:r w:rsidR="003648A2">
        <w:t xml:space="preserve"> and who uses it? </w:t>
      </w:r>
      <w:r w:rsidR="00850B10">
        <w:t xml:space="preserve"> </w:t>
      </w:r>
    </w:p>
    <w:p w14:paraId="518DC249" w14:textId="7C73BD23" w:rsidR="0077000B" w:rsidRDefault="004558CF" w:rsidP="00A3004C">
      <w:pPr>
        <w:ind w:firstLine="720"/>
      </w:pPr>
      <w:r>
        <w:t>The Dau</w:t>
      </w:r>
      <w:r w:rsidR="00846F6E">
        <w:t xml:space="preserve">bert Standard is used by trial court </w:t>
      </w:r>
      <w:r w:rsidR="007545C4">
        <w:t>judges</w:t>
      </w:r>
      <w:r w:rsidR="00CD3B70">
        <w:t xml:space="preserve">. The supreme court ruled in 1993 that the trial court judges are to act as gatekeepers of </w:t>
      </w:r>
      <w:r w:rsidR="007545C4">
        <w:t>scientific</w:t>
      </w:r>
      <w:r w:rsidR="00CD3B70">
        <w:t xml:space="preserve"> based evidence</w:t>
      </w:r>
      <w:r w:rsidR="00474808">
        <w:t xml:space="preserve"> before it is presented to a jury</w:t>
      </w:r>
      <w:r w:rsidR="00CD3B70">
        <w:t xml:space="preserve">. This means </w:t>
      </w:r>
      <w:r w:rsidR="00150F3D">
        <w:t>this type of judge needs specific standards to assist them in this “gatekeeping”</w:t>
      </w:r>
      <w:r w:rsidR="00A939CE">
        <w:t xml:space="preserve">. The Daubert standard is one of </w:t>
      </w:r>
      <w:r w:rsidR="007545C4">
        <w:t>these</w:t>
      </w:r>
      <w:r w:rsidR="00A939CE">
        <w:t xml:space="preserve"> standards</w:t>
      </w:r>
      <w:r w:rsidR="007545C4">
        <w:t xml:space="preserve"> that allows them to assess the reliability and relevance of the evidence.</w:t>
      </w:r>
    </w:p>
    <w:p w14:paraId="01D553A4" w14:textId="77777777" w:rsidR="00A069E2" w:rsidRDefault="00A069E2" w:rsidP="00A3004C">
      <w:pPr>
        <w:ind w:firstLine="720"/>
      </w:pPr>
    </w:p>
    <w:p w14:paraId="5C13FED2" w14:textId="77777777" w:rsidR="00A069E2" w:rsidRDefault="00A069E2" w:rsidP="00A3004C">
      <w:pPr>
        <w:ind w:firstLine="720"/>
      </w:pPr>
    </w:p>
    <w:p w14:paraId="1E6D7D37" w14:textId="77777777" w:rsidR="00A069E2" w:rsidRDefault="00A069E2" w:rsidP="00A3004C">
      <w:pPr>
        <w:ind w:firstLine="720"/>
      </w:pPr>
    </w:p>
    <w:p w14:paraId="0B5839D1" w14:textId="77777777" w:rsidR="00A069E2" w:rsidRDefault="00A069E2" w:rsidP="00A3004C">
      <w:pPr>
        <w:ind w:firstLine="720"/>
      </w:pPr>
    </w:p>
    <w:p w14:paraId="12AAE4AE" w14:textId="77777777" w:rsidR="00A069E2" w:rsidRDefault="00A069E2" w:rsidP="00A3004C">
      <w:pPr>
        <w:ind w:firstLine="720"/>
      </w:pPr>
    </w:p>
    <w:p w14:paraId="2B91BC0A" w14:textId="77777777" w:rsidR="00A069E2" w:rsidRDefault="00A069E2" w:rsidP="00A3004C">
      <w:pPr>
        <w:ind w:firstLine="720"/>
      </w:pPr>
    </w:p>
    <w:p w14:paraId="1CB09F16" w14:textId="77777777" w:rsidR="00A069E2" w:rsidRDefault="00A069E2" w:rsidP="00A3004C">
      <w:pPr>
        <w:ind w:firstLine="720"/>
      </w:pPr>
    </w:p>
    <w:p w14:paraId="5FF76350" w14:textId="77777777" w:rsidR="00A069E2" w:rsidRDefault="00A069E2" w:rsidP="00A3004C">
      <w:pPr>
        <w:ind w:firstLine="720"/>
      </w:pPr>
    </w:p>
    <w:p w14:paraId="7E04E04F" w14:textId="77777777" w:rsidR="00A069E2" w:rsidRDefault="00A069E2" w:rsidP="00A3004C">
      <w:pPr>
        <w:ind w:firstLine="720"/>
      </w:pPr>
    </w:p>
    <w:p w14:paraId="6D2649A7" w14:textId="77777777" w:rsidR="00CA1DDD" w:rsidRDefault="0044655F" w:rsidP="00CA1DDD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D1618A">
        <w:t>prosecuting</w:t>
      </w:r>
      <w:r>
        <w:t xml:space="preserve"> attorney wants to use the guilty knowledge test</w:t>
      </w:r>
      <w:r w:rsidR="005753B1">
        <w:t xml:space="preserve"> </w:t>
      </w:r>
      <w:r w:rsidR="001A74CB">
        <w:t>and the testimony of the</w:t>
      </w:r>
      <w:r w:rsidR="00D1618A">
        <w:t xml:space="preserve"> expert witness</w:t>
      </w:r>
      <w:r w:rsidR="005753B1">
        <w:t xml:space="preserve">. </w:t>
      </w:r>
      <w:r>
        <w:t>Write a brief paragraph or list to answer each of the five Saubert Standard questions</w:t>
      </w:r>
      <w:r w:rsidR="005753B1">
        <w:t xml:space="preserve"> below </w:t>
      </w:r>
      <w:r w:rsidR="00CA1DDD">
        <w:t>to</w:t>
      </w:r>
      <w:r w:rsidR="001A74CB">
        <w:t xml:space="preserve"> support </w:t>
      </w:r>
      <w:r w:rsidR="005753B1">
        <w:t>the attorney</w:t>
      </w:r>
      <w:r w:rsidR="001A74CB">
        <w:t>’s position</w:t>
      </w:r>
      <w:r w:rsidR="0067561E">
        <w:t xml:space="preserve">. </w:t>
      </w:r>
    </w:p>
    <w:p w14:paraId="78497309" w14:textId="77777777" w:rsidR="00CA1DDD" w:rsidRDefault="0067561E" w:rsidP="00CA1DDD">
      <w:pPr>
        <w:pStyle w:val="ListParagraph"/>
        <w:numPr>
          <w:ilvl w:val="1"/>
          <w:numId w:val="3"/>
        </w:numPr>
      </w:pPr>
      <w:r>
        <w:t xml:space="preserve">Search </w:t>
      </w:r>
      <w:hyperlink r:id="rId9" w:history="1">
        <w:r w:rsidRPr="008D1530">
          <w:rPr>
            <w:rStyle w:val="Hyperlink"/>
          </w:rPr>
          <w:t>Google Scholar</w:t>
        </w:r>
      </w:hyperlink>
      <w:r>
        <w:t xml:space="preserve"> for “deception detection guilty knowledge test” </w:t>
      </w:r>
      <w:r w:rsidR="007C18D2">
        <w:t xml:space="preserve">or “concealed knowledge test” </w:t>
      </w:r>
      <w:r>
        <w:t xml:space="preserve">and skim several of the scientific articles </w:t>
      </w:r>
      <w:r w:rsidR="00B744AD">
        <w:t xml:space="preserve">available (or not) on the subject. </w:t>
      </w:r>
    </w:p>
    <w:p w14:paraId="53827CCB" w14:textId="5D362023" w:rsidR="00276245" w:rsidRDefault="00390DDB" w:rsidP="00373AC4">
      <w:pPr>
        <w:pStyle w:val="ListParagraph"/>
        <w:numPr>
          <w:ilvl w:val="1"/>
          <w:numId w:val="3"/>
        </w:numPr>
      </w:pPr>
      <w:r>
        <w:t>Use the Google Scholar knowledge to support</w:t>
      </w:r>
      <w:r w:rsidR="00B3448D">
        <w:t xml:space="preserve"> your answers to</w:t>
      </w:r>
      <w:r w:rsidR="00D1618A">
        <w:t xml:space="preserve"> the five Daubert Standards below. </w:t>
      </w:r>
      <w:r w:rsidR="00276245">
        <w:t xml:space="preserve">Write your answer below in a brief paragraph or list of </w:t>
      </w:r>
      <w:r w:rsidR="007933A5">
        <w:t xml:space="preserve">responses. </w:t>
      </w:r>
      <w:r w:rsidR="00373AC4">
        <w:t xml:space="preserve">You may make assumptions about the expert witness and her test as needed. </w:t>
      </w:r>
    </w:p>
    <w:p w14:paraId="09B30CFC" w14:textId="0B563060" w:rsidR="00CA1DDD" w:rsidRDefault="00B3448D" w:rsidP="00CA1DDD">
      <w:pPr>
        <w:pStyle w:val="ListParagraph"/>
        <w:numPr>
          <w:ilvl w:val="1"/>
          <w:numId w:val="3"/>
        </w:numPr>
      </w:pPr>
      <w:r>
        <w:t>Site your sources in APA format</w:t>
      </w:r>
      <w:r w:rsidR="00373AC4">
        <w:t>.</w:t>
      </w:r>
      <w:r w:rsidR="00276245">
        <w:t xml:space="preserve"> </w:t>
      </w:r>
      <w:r>
        <w:t xml:space="preserve"> </w:t>
      </w:r>
      <w:r w:rsidR="003A10C0">
        <w:t xml:space="preserve">If </w:t>
      </w:r>
      <w:r w:rsidR="00FD411E">
        <w:t>you use a reference in your answer, use an in-line citation. There is a reference section</w:t>
      </w:r>
      <w:r w:rsidR="0000566B">
        <w:t xml:space="preserve"> below</w:t>
      </w:r>
      <w:r w:rsidR="00FD411E">
        <w:t xml:space="preserve"> for listing all your references in APA format as a bi</w:t>
      </w:r>
      <w:r w:rsidR="0000566B">
        <w:t xml:space="preserve">bliography. </w:t>
      </w:r>
    </w:p>
    <w:p w14:paraId="2E413323" w14:textId="34CF245E" w:rsidR="0044655F" w:rsidRDefault="009D52DE" w:rsidP="00CA1DDD">
      <w:pPr>
        <w:pStyle w:val="ListParagraph"/>
        <w:numPr>
          <w:ilvl w:val="1"/>
          <w:numId w:val="3"/>
        </w:numPr>
      </w:pPr>
      <w:r>
        <w:t>Do NOT use Google Bard for this step</w:t>
      </w:r>
      <w:r w:rsidR="002B5011">
        <w:t xml:space="preserve">. This is your investigation and real forensics professionals need to </w:t>
      </w:r>
      <w:r w:rsidR="00390DDB">
        <w:t xml:space="preserve">manually assess the evidence. </w:t>
      </w:r>
    </w:p>
    <w:p w14:paraId="080A7C65" w14:textId="2EB20A08" w:rsidR="0067561E" w:rsidRPr="003A10C0" w:rsidRDefault="00CA1DDD">
      <w:pPr>
        <w:rPr>
          <w:b/>
          <w:bCs/>
        </w:rPr>
      </w:pPr>
      <w:r w:rsidRPr="003A10C0">
        <w:rPr>
          <w:b/>
          <w:bCs/>
        </w:rPr>
        <w:t>Daubert Standard Five Questions</w:t>
      </w:r>
      <w:r w:rsidR="008C2734" w:rsidRPr="003A10C0">
        <w:rPr>
          <w:b/>
          <w:bCs/>
        </w:rPr>
        <w:t xml:space="preserve"> as relates to guilty knowledge test</w:t>
      </w:r>
      <w:r w:rsidRPr="003A10C0">
        <w:rPr>
          <w:b/>
          <w:bCs/>
        </w:rPr>
        <w:t xml:space="preserve">: </w:t>
      </w:r>
    </w:p>
    <w:p w14:paraId="1644A00B" w14:textId="42647CD9" w:rsidR="00ED37F0" w:rsidRDefault="00B3448D" w:rsidP="00ED37F0">
      <w:r>
        <w:t xml:space="preserve">A. </w:t>
      </w:r>
      <w:r w:rsidR="00ED37F0">
        <w:t xml:space="preserve">Whether the technique </w:t>
      </w:r>
      <w:r w:rsidR="0077000B">
        <w:t xml:space="preserve">(e.g., guilty knowledge test) </w:t>
      </w:r>
      <w:r w:rsidR="00ED37F0">
        <w:t xml:space="preserve">or theory in question can be, and has been tested; </w:t>
      </w:r>
    </w:p>
    <w:p w14:paraId="7A7CEE68" w14:textId="2C108B85" w:rsidR="00CA1DDD" w:rsidRDefault="008A29BF" w:rsidP="00CA1DDD">
      <w:pPr>
        <w:ind w:firstLine="720"/>
      </w:pPr>
      <w:r>
        <w:t xml:space="preserve">There are number of articles out there asserting to have tested the </w:t>
      </w:r>
      <w:r w:rsidR="004E66D5">
        <w:t>validity</w:t>
      </w:r>
      <w:r>
        <w:t xml:space="preserve"> of the </w:t>
      </w:r>
      <w:r w:rsidR="004E66D5">
        <w:t>guilty knowledge test</w:t>
      </w:r>
      <w:r w:rsidR="004E66D5">
        <w:t>.</w:t>
      </w:r>
      <w:r w:rsidR="007F6A25">
        <w:t xml:space="preserve"> Such as:</w:t>
      </w:r>
    </w:p>
    <w:p w14:paraId="53A4709D" w14:textId="3287AFE9" w:rsidR="007F6A25" w:rsidRDefault="00C55D74" w:rsidP="00C55D74">
      <w:pPr>
        <w:pStyle w:val="ListParagraph"/>
        <w:numPr>
          <w:ilvl w:val="0"/>
          <w:numId w:val="6"/>
        </w:numPr>
      </w:pPr>
      <w:r w:rsidRPr="00C55D74">
        <w:t>The validity of psychophysiological detection of information with the Guilty Knowledge Test: A meta-analytic review.</w:t>
      </w:r>
    </w:p>
    <w:p w14:paraId="2053D29F" w14:textId="094EA6C6" w:rsidR="00C55D74" w:rsidRDefault="00393445" w:rsidP="00C55D74">
      <w:pPr>
        <w:pStyle w:val="ListParagraph"/>
        <w:numPr>
          <w:ilvl w:val="0"/>
          <w:numId w:val="6"/>
        </w:numPr>
      </w:pPr>
      <w:r w:rsidRPr="00393445">
        <w:t>Innocence, Information, and the Guilty Knowledge Test in the Detection of Deception</w:t>
      </w:r>
    </w:p>
    <w:p w14:paraId="4D272D58" w14:textId="1CE78A6C" w:rsidR="00ED37F0" w:rsidRDefault="00393445" w:rsidP="00ED37F0">
      <w:pPr>
        <w:pStyle w:val="ListParagraph"/>
        <w:numPr>
          <w:ilvl w:val="0"/>
          <w:numId w:val="6"/>
        </w:numPr>
      </w:pPr>
      <w:r w:rsidRPr="00393445">
        <w:t>A quantitative review of the Guilty Knowledge Test.</w:t>
      </w:r>
      <w:r>
        <w:t xml:space="preserve"> </w:t>
      </w:r>
    </w:p>
    <w:p w14:paraId="61BC811D" w14:textId="788B09E7" w:rsidR="00ED37F0" w:rsidRDefault="00926C21" w:rsidP="00ED37F0">
      <w:r>
        <w:t xml:space="preserve">B. </w:t>
      </w:r>
      <w:r w:rsidR="00ED37F0">
        <w:t xml:space="preserve">Whether it has been subjected to publication and peer review; </w:t>
      </w:r>
    </w:p>
    <w:p w14:paraId="44300E31" w14:textId="1163F0BF" w:rsidR="00863A13" w:rsidRDefault="00863A13" w:rsidP="00ED37F0">
      <w:r>
        <w:tab/>
        <w:t xml:space="preserve">For the examples I found they each </w:t>
      </w:r>
      <w:r w:rsidR="007B49E8">
        <w:t>had a number of citations.</w:t>
      </w:r>
    </w:p>
    <w:p w14:paraId="1DF71E44" w14:textId="77777777" w:rsidR="00550BF1" w:rsidRDefault="00550BF1" w:rsidP="00550BF1">
      <w:pPr>
        <w:pStyle w:val="ListParagraph"/>
        <w:numPr>
          <w:ilvl w:val="0"/>
          <w:numId w:val="7"/>
        </w:numPr>
      </w:pPr>
      <w:r w:rsidRPr="00C55D74">
        <w:t>The validity of psychophysiological detection of information with the Guilty Knowledge Test: A meta-analytic review.</w:t>
      </w:r>
    </w:p>
    <w:p w14:paraId="2A23BD96" w14:textId="0ED8127E" w:rsidR="00550BF1" w:rsidRDefault="00E75C45" w:rsidP="00550BF1">
      <w:pPr>
        <w:pStyle w:val="ListParagraph"/>
        <w:numPr>
          <w:ilvl w:val="1"/>
          <w:numId w:val="7"/>
        </w:numPr>
      </w:pPr>
      <w:r>
        <w:t xml:space="preserve">Cited </w:t>
      </w:r>
      <w:r w:rsidR="005C0D32">
        <w:t xml:space="preserve">in </w:t>
      </w:r>
      <w:r>
        <w:t>2</w:t>
      </w:r>
      <w:r w:rsidR="005C0D32">
        <w:t>93 publications</w:t>
      </w:r>
      <w:r w:rsidR="00195F6A">
        <w:t xml:space="preserve"> and </w:t>
      </w:r>
      <w:r w:rsidR="00635555">
        <w:t>Referenced 142</w:t>
      </w:r>
    </w:p>
    <w:p w14:paraId="2C50C815" w14:textId="77777777" w:rsidR="00550BF1" w:rsidRDefault="00550BF1" w:rsidP="00550BF1">
      <w:pPr>
        <w:pStyle w:val="ListParagraph"/>
        <w:numPr>
          <w:ilvl w:val="0"/>
          <w:numId w:val="7"/>
        </w:numPr>
      </w:pPr>
      <w:r w:rsidRPr="00393445">
        <w:t>Innocence, Information, and the Guilty Knowledge Test in the Detection of Deception</w:t>
      </w:r>
    </w:p>
    <w:p w14:paraId="3E9E02F1" w14:textId="6ACB6C80" w:rsidR="00635555" w:rsidRDefault="000F2AF7" w:rsidP="00635555">
      <w:pPr>
        <w:pStyle w:val="ListParagraph"/>
        <w:numPr>
          <w:ilvl w:val="1"/>
          <w:numId w:val="7"/>
        </w:numPr>
      </w:pPr>
      <w:r>
        <w:t>Cite</w:t>
      </w:r>
      <w:r w:rsidR="00863A13">
        <w:t>d 53 times</w:t>
      </w:r>
    </w:p>
    <w:p w14:paraId="32189C01" w14:textId="77777777" w:rsidR="00550BF1" w:rsidRDefault="00550BF1" w:rsidP="00550BF1">
      <w:pPr>
        <w:pStyle w:val="ListParagraph"/>
        <w:numPr>
          <w:ilvl w:val="0"/>
          <w:numId w:val="7"/>
        </w:numPr>
      </w:pPr>
      <w:r w:rsidRPr="00393445">
        <w:t>A quantitative review of the Guilty Knowledge Test.</w:t>
      </w:r>
      <w:r>
        <w:t xml:space="preserve"> </w:t>
      </w:r>
    </w:p>
    <w:p w14:paraId="5C0CEF47" w14:textId="34D4BAFF" w:rsidR="00926C21" w:rsidRDefault="00863A13" w:rsidP="00ED37F0">
      <w:pPr>
        <w:pStyle w:val="ListParagraph"/>
        <w:numPr>
          <w:ilvl w:val="1"/>
          <w:numId w:val="7"/>
        </w:numPr>
      </w:pPr>
      <w:r>
        <w:t>Cited in</w:t>
      </w:r>
      <w:r>
        <w:t xml:space="preserve"> 105</w:t>
      </w:r>
      <w:r>
        <w:t xml:space="preserve"> publications and Referenced </w:t>
      </w:r>
      <w:r>
        <w:t>63</w:t>
      </w:r>
    </w:p>
    <w:p w14:paraId="17B21B71" w14:textId="22CDA124" w:rsidR="00ED37F0" w:rsidRDefault="00926C21" w:rsidP="00ED37F0">
      <w:r>
        <w:t xml:space="preserve">C. </w:t>
      </w:r>
      <w:r w:rsidR="00ED37F0">
        <w:t xml:space="preserve">Its known or potential error rate; </w:t>
      </w:r>
    </w:p>
    <w:p w14:paraId="3C1F4479" w14:textId="67CDE6B6" w:rsidR="00D15AF9" w:rsidRDefault="00D15AF9" w:rsidP="00D15AF9">
      <w:pPr>
        <w:ind w:firstLine="720"/>
      </w:pPr>
      <w:r>
        <w:t xml:space="preserve">From </w:t>
      </w:r>
      <w:r w:rsidR="007B41A9" w:rsidRPr="007B41A9">
        <w:rPr>
          <w:b/>
          <w:bCs/>
        </w:rPr>
        <w:t>Using response time measures to assess "guilty knowledge"</w:t>
      </w:r>
      <w:r w:rsidR="007B41A9">
        <w:rPr>
          <w:b/>
          <w:bCs/>
        </w:rPr>
        <w:t xml:space="preserve"> </w:t>
      </w:r>
      <w:r>
        <w:t>“</w:t>
      </w:r>
      <w:r>
        <w:t>Theoretically, this</w:t>
      </w:r>
      <w:r>
        <w:t xml:space="preserve"> </w:t>
      </w:r>
      <w:r>
        <w:t>analysis sets the false alarm rate (classifying "innocent" partici-pants as "guilty") at .01 or .05; however, because data from both</w:t>
      </w:r>
      <w:r>
        <w:t xml:space="preserve"> </w:t>
      </w:r>
      <w:r>
        <w:t>blocks were pooled in the analysis, there was no way to check this</w:t>
      </w:r>
      <w:r>
        <w:t xml:space="preserve"> </w:t>
      </w:r>
      <w:r>
        <w:t>assumption.</w:t>
      </w:r>
      <w:r>
        <w:t>”</w:t>
      </w:r>
    </w:p>
    <w:p w14:paraId="644186FD" w14:textId="51350128" w:rsidR="00926C21" w:rsidRDefault="00E55E1F" w:rsidP="00ED37F0">
      <w:r>
        <w:tab/>
        <w:t xml:space="preserve">From </w:t>
      </w:r>
      <w:r w:rsidR="00EB693B" w:rsidRPr="00EB693B">
        <w:t>Trial by Polygraph: Reconsidering the Use of the Guilty Knowledge Technique in Court</w:t>
      </w:r>
      <w:r w:rsidR="008241C8">
        <w:t xml:space="preserve"> says it is around 5%.</w:t>
      </w:r>
    </w:p>
    <w:p w14:paraId="26D372BA" w14:textId="2EF2E39C" w:rsidR="00ED37F0" w:rsidRDefault="00926C21" w:rsidP="00ED37F0">
      <w:r>
        <w:lastRenderedPageBreak/>
        <w:t xml:space="preserve">D. </w:t>
      </w:r>
      <w:r w:rsidR="00ED37F0">
        <w:t xml:space="preserve">The existence and maintenance of standards controlling its operation; and </w:t>
      </w:r>
    </w:p>
    <w:p w14:paraId="4B81A66E" w14:textId="34CA2E6F" w:rsidR="00CA1DDD" w:rsidRDefault="008241C8" w:rsidP="00CA1DDD">
      <w:pPr>
        <w:ind w:firstLine="720"/>
      </w:pPr>
      <w:r>
        <w:t xml:space="preserve">The </w:t>
      </w:r>
      <w:r w:rsidRPr="00EB693B">
        <w:t>Trial by Polygraph</w:t>
      </w:r>
      <w:r>
        <w:t xml:space="preserve"> also </w:t>
      </w:r>
      <w:r w:rsidR="00EB1EA0">
        <w:t>discusses</w:t>
      </w:r>
      <w:r w:rsidR="002D1663">
        <w:t xml:space="preserve"> the </w:t>
      </w:r>
      <w:r w:rsidR="002D1663" w:rsidRPr="002D1663">
        <w:t xml:space="preserve">standards set by Messick </w:t>
      </w:r>
      <w:r w:rsidR="002D1663">
        <w:t xml:space="preserve">in </w:t>
      </w:r>
      <w:r w:rsidR="002D1663" w:rsidRPr="002D1663">
        <w:t>1995</w:t>
      </w:r>
      <w:r w:rsidR="002D1663">
        <w:t>.</w:t>
      </w:r>
    </w:p>
    <w:p w14:paraId="60F1DA20" w14:textId="77777777" w:rsidR="00926C21" w:rsidRDefault="00926C21" w:rsidP="00ED37F0"/>
    <w:p w14:paraId="42E97F28" w14:textId="618D481D" w:rsidR="001E6CD7" w:rsidRDefault="00926C21" w:rsidP="00ED37F0">
      <w:r>
        <w:t xml:space="preserve">E. </w:t>
      </w:r>
      <w:r w:rsidR="00ED37F0">
        <w:t>Whether it has attracted widespread acceptance within a relevant scientific community.</w:t>
      </w:r>
    </w:p>
    <w:p w14:paraId="28B3EDB1" w14:textId="6E3CE603" w:rsidR="00CA1DDD" w:rsidRDefault="002D1663" w:rsidP="00CA1DDD">
      <w:pPr>
        <w:ind w:firstLine="720"/>
      </w:pPr>
      <w:r>
        <w:t xml:space="preserve">In </w:t>
      </w:r>
      <w:r w:rsidRPr="00EB693B">
        <w:t>Trial by Polygraph</w:t>
      </w:r>
      <w:r>
        <w:t xml:space="preserve"> they strongly recommend it be accepted.</w:t>
      </w:r>
    </w:p>
    <w:p w14:paraId="087830EE" w14:textId="46E70445" w:rsidR="002D1663" w:rsidRPr="002D1663" w:rsidRDefault="002D1663" w:rsidP="00CA1DDD">
      <w:pPr>
        <w:ind w:firstLine="720"/>
      </w:pPr>
      <w:r>
        <w:t xml:space="preserve">From all the information I found </w:t>
      </w:r>
      <w:r w:rsidR="00EB1EA0">
        <w:t xml:space="preserve">it should be accepted. </w:t>
      </w:r>
    </w:p>
    <w:p w14:paraId="21831869" w14:textId="77777777" w:rsidR="00926C21" w:rsidRDefault="00926C21" w:rsidP="00ED37F0"/>
    <w:p w14:paraId="0531B42A" w14:textId="77777777" w:rsidR="008069EE" w:rsidRDefault="008069EE" w:rsidP="00ED37F0">
      <w:pPr>
        <w:rPr>
          <w:b/>
          <w:bCs/>
        </w:rPr>
      </w:pPr>
    </w:p>
    <w:p w14:paraId="56B300B0" w14:textId="77777777" w:rsidR="008069EE" w:rsidRDefault="008069EE" w:rsidP="00ED37F0">
      <w:pPr>
        <w:rPr>
          <w:b/>
          <w:bCs/>
        </w:rPr>
      </w:pPr>
    </w:p>
    <w:p w14:paraId="082B6DC6" w14:textId="77777777" w:rsidR="008069EE" w:rsidRDefault="008069EE" w:rsidP="00ED37F0">
      <w:pPr>
        <w:rPr>
          <w:b/>
          <w:bCs/>
        </w:rPr>
      </w:pPr>
    </w:p>
    <w:p w14:paraId="32DC7EA8" w14:textId="2C2E52CE" w:rsidR="007933A5" w:rsidRPr="003A10C0" w:rsidRDefault="007933A5" w:rsidP="00ED37F0">
      <w:pPr>
        <w:rPr>
          <w:b/>
          <w:bCs/>
        </w:rPr>
      </w:pPr>
      <w:r w:rsidRPr="003A10C0">
        <w:rPr>
          <w:b/>
          <w:bCs/>
        </w:rPr>
        <w:t xml:space="preserve">APA References: </w:t>
      </w:r>
    </w:p>
    <w:p w14:paraId="53F366F9" w14:textId="4B580E36" w:rsidR="00175EF5" w:rsidRPr="00175EF5" w:rsidRDefault="00175EF5" w:rsidP="00175EF5">
      <w:pPr>
        <w:ind w:left="720" w:hanging="720"/>
      </w:pPr>
      <w:r w:rsidRPr="00175EF5">
        <w:t xml:space="preserve">Bradley and, M. T., &amp; Warfield, J. F. (1984). Innocence, Information, and the Guilty Knowledge Test in the Detection of Deception. </w:t>
      </w:r>
      <w:r w:rsidRPr="00175EF5">
        <w:rPr>
          <w:i/>
          <w:iCs/>
        </w:rPr>
        <w:t>Psychophysiology</w:t>
      </w:r>
      <w:r w:rsidRPr="00175EF5">
        <w:t xml:space="preserve">, </w:t>
      </w:r>
      <w:r w:rsidRPr="00175EF5">
        <w:rPr>
          <w:i/>
          <w:iCs/>
        </w:rPr>
        <w:t>21</w:t>
      </w:r>
      <w:r w:rsidRPr="00175EF5">
        <w:t>(6), 683–689. https://doi.org/10.1111/j.1469-8986.1984.tb00257.x</w:t>
      </w:r>
    </w:p>
    <w:p w14:paraId="74698B7F" w14:textId="40B2D065" w:rsidR="00902246" w:rsidRDefault="000E5BB1" w:rsidP="00175EF5">
      <w:pPr>
        <w:ind w:left="720" w:hanging="720"/>
      </w:pPr>
      <w:r w:rsidRPr="000E5BB1">
        <w:t>‌</w:t>
      </w:r>
      <w:r w:rsidR="009C5EE8" w:rsidRPr="009C5EE8">
        <w:t xml:space="preserve"> </w:t>
      </w:r>
      <w:r w:rsidR="009C5EE8" w:rsidRPr="009C5EE8">
        <w:t xml:space="preserve">MacLaren, V. V. (2001). A quantitative review of the Guilty Knowledge Test. </w:t>
      </w:r>
      <w:r w:rsidR="009C5EE8" w:rsidRPr="009C5EE8">
        <w:rPr>
          <w:i/>
          <w:iCs/>
        </w:rPr>
        <w:t>Journal of Applied Psychology, 86</w:t>
      </w:r>
      <w:r w:rsidR="009C5EE8" w:rsidRPr="009C5EE8">
        <w:t xml:space="preserve">(4), 674–683. </w:t>
      </w:r>
      <w:hyperlink r:id="rId10" w:tgtFrame="_blank" w:history="1">
        <w:r w:rsidR="009C5EE8" w:rsidRPr="009C5EE8">
          <w:rPr>
            <w:rStyle w:val="Hyperlink"/>
          </w:rPr>
          <w:t>https://doi.org/10.1037/0021-9010.86.4.674</w:t>
        </w:r>
      </w:hyperlink>
    </w:p>
    <w:p w14:paraId="666D01D9" w14:textId="77777777" w:rsidR="001464F4" w:rsidRDefault="001464F4" w:rsidP="00175EF5">
      <w:pPr>
        <w:ind w:left="720" w:hanging="720"/>
      </w:pPr>
      <w:r>
        <w:t xml:space="preserve">Ben-Shakhar, G., &amp; Elaad, E. (2003). The validity of psychophysiological detection of information with the Guilty Knowledge Test: A meta-analytic review. </w:t>
      </w:r>
      <w:r>
        <w:rPr>
          <w:rStyle w:val="Emphasis"/>
        </w:rPr>
        <w:t>Journal of Applied Psychology, 88</w:t>
      </w:r>
      <w:r>
        <w:t xml:space="preserve">(1), 131–151. </w:t>
      </w:r>
      <w:hyperlink r:id="rId11" w:tgtFrame="_blank" w:history="1">
        <w:r>
          <w:rPr>
            <w:rStyle w:val="Hyperlink"/>
          </w:rPr>
          <w:t>https://doi.org/10.1037/0021-9010.88.1.131</w:t>
        </w:r>
      </w:hyperlink>
      <w:r w:rsidRPr="00F31AC9">
        <w:t xml:space="preserve"> </w:t>
      </w:r>
    </w:p>
    <w:p w14:paraId="1979F529" w14:textId="72273D71" w:rsidR="00F31AC9" w:rsidRDefault="00F31AC9" w:rsidP="00175EF5">
      <w:pPr>
        <w:ind w:left="720" w:hanging="720"/>
      </w:pPr>
      <w:r w:rsidRPr="00F31AC9">
        <w:t xml:space="preserve">Google. (n.d.). </w:t>
      </w:r>
      <w:r w:rsidRPr="00F31AC9">
        <w:rPr>
          <w:i/>
          <w:iCs/>
        </w:rPr>
        <w:t>Challenging Guilty Knowledge Tests (GKTs) Under Daubert Standards</w:t>
      </w:r>
      <w:r w:rsidRPr="00F31AC9">
        <w:t xml:space="preserve">. Google Bard. https://g.co/bard/share/3efae3c6d906 </w:t>
      </w:r>
    </w:p>
    <w:p w14:paraId="38F07A73" w14:textId="0B1A6C06" w:rsidR="006D37AE" w:rsidRDefault="006D37AE" w:rsidP="00EF4DE4">
      <w:pPr>
        <w:ind w:left="720" w:hanging="720"/>
      </w:pPr>
      <w:r w:rsidRPr="006D37AE">
        <w:t>‌</w:t>
      </w:r>
      <w:r w:rsidR="00EF4DE4" w:rsidRPr="00EF4DE4">
        <w:t xml:space="preserve"> </w:t>
      </w:r>
      <w:r w:rsidR="00EF4DE4" w:rsidRPr="00EF4DE4">
        <w:t xml:space="preserve">Seymour, T. L., Seifert, C. M., Shafto, M. G., &amp; Mosmann, A. L. (2000). Using response time measures to assess "guilty knowledge". </w:t>
      </w:r>
      <w:r w:rsidR="00EF4DE4" w:rsidRPr="00EF4DE4">
        <w:rPr>
          <w:i/>
          <w:iCs/>
        </w:rPr>
        <w:t>Journal of Applied Psychology, 85</w:t>
      </w:r>
      <w:r w:rsidR="00EF4DE4" w:rsidRPr="00EF4DE4">
        <w:t xml:space="preserve">(1), 30–37. </w:t>
      </w:r>
      <w:hyperlink r:id="rId12" w:tgtFrame="_blank" w:history="1">
        <w:r w:rsidR="00EF4DE4" w:rsidRPr="00EF4DE4">
          <w:rPr>
            <w:rStyle w:val="Hyperlink"/>
          </w:rPr>
          <w:t>https://doi.org/10.1037/0021-9010.85.1.30</w:t>
        </w:r>
      </w:hyperlink>
    </w:p>
    <w:p w14:paraId="6A2763F3" w14:textId="12D21476" w:rsidR="00E55E1F" w:rsidRPr="006D37AE" w:rsidRDefault="00E55E1F" w:rsidP="00EF4DE4">
      <w:pPr>
        <w:ind w:left="720" w:hanging="720"/>
      </w:pPr>
      <w:r w:rsidRPr="00E55E1F">
        <w:t xml:space="preserve">Ben-Shakhar, G., Bar-Hillel, M. &amp; Kremnitzer, M. Trial by Polygraph: Reconsidering the Use of the Guilty Knowledge Technique in Court. </w:t>
      </w:r>
      <w:r w:rsidRPr="00E55E1F">
        <w:rPr>
          <w:i/>
          <w:iCs/>
        </w:rPr>
        <w:t>Law Hum Behav</w:t>
      </w:r>
      <w:r w:rsidRPr="00E55E1F">
        <w:t xml:space="preserve"> </w:t>
      </w:r>
      <w:r w:rsidRPr="00E55E1F">
        <w:rPr>
          <w:b/>
          <w:bCs/>
        </w:rPr>
        <w:t>26</w:t>
      </w:r>
      <w:r w:rsidRPr="00E55E1F">
        <w:t>, 527–541 (2002). https://doi.org/10.1023/A:1020204005730</w:t>
      </w:r>
    </w:p>
    <w:p w14:paraId="2DA44FEB" w14:textId="77777777" w:rsidR="00926C21" w:rsidRDefault="00926C21" w:rsidP="00ED37F0"/>
    <w:p w14:paraId="2655A2CB" w14:textId="732E7FBF" w:rsidR="0024321E" w:rsidRDefault="008A5D7B" w:rsidP="007933A5">
      <w:pPr>
        <w:pStyle w:val="ListParagraph"/>
        <w:numPr>
          <w:ilvl w:val="0"/>
          <w:numId w:val="3"/>
        </w:numPr>
      </w:pPr>
      <w:r>
        <w:t>Being</w:t>
      </w:r>
      <w:r w:rsidR="009225FF">
        <w:t xml:space="preserve"> critical of one’s own position and preparing for </w:t>
      </w:r>
      <w:r>
        <w:t>rebuttals</w:t>
      </w:r>
      <w:r w:rsidR="009225FF">
        <w:t xml:space="preserve"> is an important skill in a digital forensic </w:t>
      </w:r>
      <w:r>
        <w:t xml:space="preserve">professional mindset---healthy skepticism. </w:t>
      </w:r>
      <w:r w:rsidR="009E19FC">
        <w:t xml:space="preserve">Ask </w:t>
      </w:r>
      <w:hyperlink r:id="rId13" w:history="1">
        <w:r w:rsidR="009E19FC" w:rsidRPr="00BB2871">
          <w:rPr>
            <w:rStyle w:val="Hyperlink"/>
          </w:rPr>
          <w:t>Goog</w:t>
        </w:r>
        <w:r w:rsidR="009E19FC" w:rsidRPr="00BB2871">
          <w:rPr>
            <w:rStyle w:val="Hyperlink"/>
          </w:rPr>
          <w:t>l</w:t>
        </w:r>
        <w:r w:rsidR="009E19FC" w:rsidRPr="00BB2871">
          <w:rPr>
            <w:rStyle w:val="Hyperlink"/>
          </w:rPr>
          <w:t>e Bard</w:t>
        </w:r>
      </w:hyperlink>
      <w:r w:rsidR="009E19FC">
        <w:t xml:space="preserve"> “how can one challenge a guilty knowledge test according to the Daubert Standards?” </w:t>
      </w:r>
      <w:r w:rsidR="001D2FA2">
        <w:t xml:space="preserve">Copy and paste Bard’s answer </w:t>
      </w:r>
      <w:r w:rsidR="00D423A9">
        <w:t>here.</w:t>
      </w:r>
      <w:r w:rsidR="00BB2871">
        <w:t xml:space="preserve"> You do not need to rebut Bard’s answer. This is simple skepticism exercise. </w:t>
      </w:r>
      <w:r w:rsidR="00D423A9">
        <w:t xml:space="preserve"> </w:t>
      </w:r>
    </w:p>
    <w:p w14:paraId="2C39A786" w14:textId="77777777" w:rsidR="006E7A66" w:rsidRDefault="006E7A66" w:rsidP="006E7A66">
      <w:r>
        <w:t>Here's a comprehensive response on how to challenge a Guilty Knowledge Test (GKT) under the Daubert Standards:</w:t>
      </w:r>
    </w:p>
    <w:p w14:paraId="3ADC7926" w14:textId="77777777" w:rsidR="006E7A66" w:rsidRDefault="006E7A66" w:rsidP="006E7A66"/>
    <w:p w14:paraId="37208CDC" w14:textId="77777777" w:rsidR="006E7A66" w:rsidRDefault="006E7A66" w:rsidP="006E7A66">
      <w:r>
        <w:t>Understanding the Daubert Standards:</w:t>
      </w:r>
    </w:p>
    <w:p w14:paraId="0843CB9B" w14:textId="77777777" w:rsidR="006E7A66" w:rsidRDefault="006E7A66" w:rsidP="006E7A66">
      <w:r>
        <w:t xml:space="preserve">    Established in the 1993 case Daubert v. Merrell Dow Pharmaceuticals, these standards govern the admissibility of expert testimony in federal courts.</w:t>
      </w:r>
    </w:p>
    <w:p w14:paraId="2BE6B7E0" w14:textId="77777777" w:rsidR="006E7A66" w:rsidRDefault="006E7A66" w:rsidP="006E7A66">
      <w:r>
        <w:t xml:space="preserve">    They focus on ensuring the reliability and scientific validity of expert evidence.</w:t>
      </w:r>
    </w:p>
    <w:p w14:paraId="4D28D98D" w14:textId="77777777" w:rsidR="006E7A66" w:rsidRDefault="006E7A66" w:rsidP="006E7A66"/>
    <w:p w14:paraId="2675018A" w14:textId="3BD7AB3D" w:rsidR="006E7A66" w:rsidRDefault="006E7A66" w:rsidP="006E7A66">
      <w:r>
        <w:t>Key Factors to Challenge a GKT:</w:t>
      </w:r>
    </w:p>
    <w:p w14:paraId="71C8C067" w14:textId="77777777" w:rsidR="006E7A66" w:rsidRDefault="006E7A66" w:rsidP="006E7A66">
      <w:r>
        <w:t xml:space="preserve">    Reliability and Error Rates:</w:t>
      </w:r>
    </w:p>
    <w:p w14:paraId="3D8A353E" w14:textId="77777777" w:rsidR="006E7A66" w:rsidRDefault="006E7A66" w:rsidP="006E7A66">
      <w:r>
        <w:t xml:space="preserve">        Question the test's accuracy and error rates in various populations and contexts.</w:t>
      </w:r>
    </w:p>
    <w:p w14:paraId="7A294EE1" w14:textId="77777777" w:rsidR="006E7A66" w:rsidRDefault="006E7A66" w:rsidP="006E7A66">
      <w:r>
        <w:t xml:space="preserve">        Cite studies that highlight potential flaws or inconsistencies in results.</w:t>
      </w:r>
    </w:p>
    <w:p w14:paraId="0709B4D9" w14:textId="6241FC9B" w:rsidR="006E7A66" w:rsidRDefault="006E7A66" w:rsidP="006E7A66">
      <w:r>
        <w:t xml:space="preserve">        Challenge the adequacy of test validation procedures.</w:t>
      </w:r>
    </w:p>
    <w:p w14:paraId="1A6BA155" w14:textId="77777777" w:rsidR="006E7A66" w:rsidRDefault="006E7A66" w:rsidP="006E7A66">
      <w:r>
        <w:t xml:space="preserve">    Peer Review and Publication:</w:t>
      </w:r>
    </w:p>
    <w:p w14:paraId="2E18EBB5" w14:textId="77777777" w:rsidR="006E7A66" w:rsidRDefault="006E7A66" w:rsidP="006E7A66">
      <w:r>
        <w:t xml:space="preserve">        Address the lack of widespread acceptance and peer-reviewed publications supporting the GKT's effectiveness.</w:t>
      </w:r>
    </w:p>
    <w:p w14:paraId="527AFEBA" w14:textId="64ED49DC" w:rsidR="006E7A66" w:rsidRDefault="006E7A66" w:rsidP="006E7A66">
      <w:r>
        <w:t xml:space="preserve">        Highlight any conflicting opinions within the scientific community.</w:t>
      </w:r>
    </w:p>
    <w:p w14:paraId="538B11EA" w14:textId="77777777" w:rsidR="006E7A66" w:rsidRDefault="006E7A66" w:rsidP="006E7A66">
      <w:r>
        <w:t xml:space="preserve">    General Acceptance:</w:t>
      </w:r>
    </w:p>
    <w:p w14:paraId="193B30E0" w14:textId="77777777" w:rsidR="006E7A66" w:rsidRDefault="006E7A66" w:rsidP="006E7A66">
      <w:r>
        <w:t xml:space="preserve">        Argue that the GKT hasn't gained widespread acceptance within the relevant scientific field.</w:t>
      </w:r>
    </w:p>
    <w:p w14:paraId="2D9AA2BC" w14:textId="1AA296CF" w:rsidR="006E7A66" w:rsidRDefault="006E7A66" w:rsidP="006E7A66">
      <w:r>
        <w:t xml:space="preserve">        Demonstrate that it's not considered a standard or reliable technique by a significant portion of experts.</w:t>
      </w:r>
    </w:p>
    <w:p w14:paraId="2061DE91" w14:textId="77777777" w:rsidR="006E7A66" w:rsidRDefault="006E7A66" w:rsidP="006E7A66">
      <w:r>
        <w:t xml:space="preserve">    Known or Potential Rate of Error:</w:t>
      </w:r>
    </w:p>
    <w:p w14:paraId="65A4131A" w14:textId="77777777" w:rsidR="006E7A66" w:rsidRDefault="006E7A66" w:rsidP="006E7A66">
      <w:r>
        <w:t xml:space="preserve">        Emphasize the potential for false positives or negatives, which could lead to unjust outcomes.</w:t>
      </w:r>
    </w:p>
    <w:p w14:paraId="5CB39B19" w14:textId="014F2CA2" w:rsidR="006E7A66" w:rsidRDefault="006E7A66" w:rsidP="006E7A66">
      <w:r>
        <w:t xml:space="preserve">        Raise concerns about the test's sensitivity to factors like anxiety, stress, or fatigue, which could affect accuracy.</w:t>
      </w:r>
    </w:p>
    <w:p w14:paraId="4418B586" w14:textId="77777777" w:rsidR="006E7A66" w:rsidRDefault="006E7A66" w:rsidP="006E7A66">
      <w:r>
        <w:t xml:space="preserve">    Standard Operating Procedures:</w:t>
      </w:r>
    </w:p>
    <w:p w14:paraId="02F8AC60" w14:textId="77777777" w:rsidR="006E7A66" w:rsidRDefault="006E7A66" w:rsidP="006E7A66">
      <w:r>
        <w:t xml:space="preserve">        Question the consistency and standardization of GKT administration and interpretation procedures.</w:t>
      </w:r>
    </w:p>
    <w:p w14:paraId="6DBCA018" w14:textId="222EA3C5" w:rsidR="006E7A66" w:rsidRDefault="006E7A66" w:rsidP="006E7A66">
      <w:r>
        <w:t xml:space="preserve">        Highlight any potential for bias or variability in results due to examiner discretion.</w:t>
      </w:r>
    </w:p>
    <w:p w14:paraId="0A427FB0" w14:textId="77777777" w:rsidR="006E7A66" w:rsidRDefault="006E7A66" w:rsidP="006E7A66">
      <w:r>
        <w:t xml:space="preserve">    Specificity to the Case:</w:t>
      </w:r>
    </w:p>
    <w:p w14:paraId="34294014" w14:textId="77777777" w:rsidR="006E7A66" w:rsidRDefault="006E7A66" w:rsidP="006E7A66">
      <w:r>
        <w:t xml:space="preserve">        Argue that the GKT's results may not be specific enough to the facts of the case.</w:t>
      </w:r>
    </w:p>
    <w:p w14:paraId="73EDE3FE" w14:textId="0389BAAC" w:rsidR="006E7A66" w:rsidRDefault="006E7A66" w:rsidP="006E7A66">
      <w:r>
        <w:t xml:space="preserve">        Point out alternative explanations for an individual's physiological responses.</w:t>
      </w:r>
    </w:p>
    <w:p w14:paraId="694351CA" w14:textId="77777777" w:rsidR="00307B10" w:rsidRDefault="00307B10" w:rsidP="006E7A66"/>
    <w:p w14:paraId="142AE7EA" w14:textId="55CB09C9" w:rsidR="006E7A66" w:rsidRDefault="006E7A66" w:rsidP="006E7A66">
      <w:r>
        <w:lastRenderedPageBreak/>
        <w:t>Additional Considerations:</w:t>
      </w:r>
    </w:p>
    <w:p w14:paraId="4D0FC3F0" w14:textId="77777777" w:rsidR="006E7A66" w:rsidRDefault="006E7A66" w:rsidP="006E7A66">
      <w:r>
        <w:t xml:space="preserve">    Qualifications of the Examiner: Challenge the examiner's credentials, experience, and training in administering and interpreting the GKT.</w:t>
      </w:r>
    </w:p>
    <w:p w14:paraId="70DCB669" w14:textId="77777777" w:rsidR="006E7A66" w:rsidRDefault="006E7A66" w:rsidP="006E7A66">
      <w:r>
        <w:t xml:space="preserve">    Chain of Custody: Raise concerns about the handling and security of test materials to ensure results haven't been compromised.</w:t>
      </w:r>
    </w:p>
    <w:p w14:paraId="5E4ECD62" w14:textId="77777777" w:rsidR="006E7A66" w:rsidRDefault="006E7A66" w:rsidP="006E7A66"/>
    <w:p w14:paraId="38C8E269" w14:textId="34E4AA3A" w:rsidR="006E7A66" w:rsidRDefault="006E7A66" w:rsidP="006E7A66">
      <w:r>
        <w:t>Seek Expert Assistance:</w:t>
      </w:r>
    </w:p>
    <w:p w14:paraId="0DA2A80B" w14:textId="77777777" w:rsidR="006E7A66" w:rsidRDefault="006E7A66" w:rsidP="006E7A66">
      <w:r>
        <w:t xml:space="preserve">    Consult with experts in psychology, polygraphy, or relevant fields to strengthen your challenge.</w:t>
      </w:r>
    </w:p>
    <w:p w14:paraId="341575EE" w14:textId="77777777" w:rsidR="006E7A66" w:rsidRDefault="006E7A66" w:rsidP="006E7A66">
      <w:r>
        <w:t xml:space="preserve">    They can provide insights into the GKT's limitations and potential for error, as well as alternative assessment methods.</w:t>
      </w:r>
    </w:p>
    <w:p w14:paraId="3659ED53" w14:textId="77777777" w:rsidR="006E7A66" w:rsidRDefault="006E7A66" w:rsidP="006E7A66"/>
    <w:p w14:paraId="15DB3252" w14:textId="347E9B35" w:rsidR="006E7A66" w:rsidRDefault="006E7A66" w:rsidP="006E7A66">
      <w:r>
        <w:t>Remember:</w:t>
      </w:r>
    </w:p>
    <w:p w14:paraId="15263D39" w14:textId="77777777" w:rsidR="006E7A66" w:rsidRDefault="006E7A66" w:rsidP="006E7A66">
      <w:r>
        <w:t xml:space="preserve">    The Daubert Standards emphasize a flexible approach, and judges have discretion in evaluating expert evidence.</w:t>
      </w:r>
    </w:p>
    <w:p w14:paraId="2552B209" w14:textId="7707677B" w:rsidR="00373AC4" w:rsidRDefault="006E7A66" w:rsidP="006E7A66">
      <w:r>
        <w:t xml:space="preserve">    A successful challenge requires a thorough understanding of the GKT's scientific underpinnings, potential weaknesses, and legal standards for admissibility.</w:t>
      </w:r>
    </w:p>
    <w:p w14:paraId="2B9B4697" w14:textId="77777777" w:rsidR="00F53E0C" w:rsidRDefault="00F53E0C" w:rsidP="00373AC4"/>
    <w:p w14:paraId="64E9F055" w14:textId="4A078466" w:rsidR="00F53E0C" w:rsidRDefault="00F53E0C" w:rsidP="003A10C0">
      <w:pPr>
        <w:pStyle w:val="Heading2"/>
      </w:pPr>
      <w:r>
        <w:t xml:space="preserve">Grading Rubric: </w:t>
      </w:r>
    </w:p>
    <w:p w14:paraId="49B44207" w14:textId="2024C34C" w:rsidR="00F53E0C" w:rsidRDefault="00287F94" w:rsidP="00373AC4">
      <w:r>
        <w:t>100</w:t>
      </w:r>
      <w:r w:rsidR="00D61127">
        <w:t xml:space="preserve"> points.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C9520B" w14:paraId="3A931D34" w14:textId="77777777" w:rsidTr="003A10C0">
        <w:tc>
          <w:tcPr>
            <w:tcW w:w="2605" w:type="dxa"/>
          </w:tcPr>
          <w:p w14:paraId="78D2B56B" w14:textId="106747F9" w:rsidR="00C9520B" w:rsidRPr="003A10C0" w:rsidRDefault="003A10C0" w:rsidP="00373AC4">
            <w:pPr>
              <w:rPr>
                <w:b/>
                <w:bCs/>
              </w:rPr>
            </w:pPr>
            <w:r w:rsidRPr="003A10C0">
              <w:rPr>
                <w:b/>
                <w:bCs/>
              </w:rPr>
              <w:t>Criteria</w:t>
            </w:r>
          </w:p>
        </w:tc>
        <w:tc>
          <w:tcPr>
            <w:tcW w:w="3628" w:type="dxa"/>
          </w:tcPr>
          <w:p w14:paraId="05047DF2" w14:textId="6825881B" w:rsidR="00C9520B" w:rsidRPr="003A10C0" w:rsidRDefault="003D3427" w:rsidP="00373AC4">
            <w:pPr>
              <w:rPr>
                <w:b/>
                <w:bCs/>
              </w:rPr>
            </w:pPr>
            <w:r w:rsidRPr="003A10C0">
              <w:rPr>
                <w:b/>
                <w:bCs/>
              </w:rPr>
              <w:t>Digital Forensic Professional (100%)</w:t>
            </w:r>
          </w:p>
        </w:tc>
        <w:tc>
          <w:tcPr>
            <w:tcW w:w="3117" w:type="dxa"/>
          </w:tcPr>
          <w:p w14:paraId="4686C07C" w14:textId="392DAC62" w:rsidR="00C9520B" w:rsidRPr="003A10C0" w:rsidRDefault="003D3427" w:rsidP="00373AC4">
            <w:pPr>
              <w:rPr>
                <w:b/>
                <w:bCs/>
              </w:rPr>
            </w:pPr>
            <w:r w:rsidRPr="003A10C0">
              <w:rPr>
                <w:b/>
                <w:bCs/>
              </w:rPr>
              <w:t>Student Quality (&lt;50%)</w:t>
            </w:r>
          </w:p>
        </w:tc>
      </w:tr>
      <w:tr w:rsidR="00C9520B" w14:paraId="366D8E2F" w14:textId="77777777" w:rsidTr="003A10C0">
        <w:tc>
          <w:tcPr>
            <w:tcW w:w="2605" w:type="dxa"/>
          </w:tcPr>
          <w:p w14:paraId="38D42AA9" w14:textId="2AB69AF3" w:rsidR="00C9520B" w:rsidRDefault="003A10C0" w:rsidP="00373AC4">
            <w:r>
              <w:t>Completeness and Evidence of Learning</w:t>
            </w:r>
          </w:p>
        </w:tc>
        <w:tc>
          <w:tcPr>
            <w:tcW w:w="3628" w:type="dxa"/>
          </w:tcPr>
          <w:p w14:paraId="5F8FD027" w14:textId="3DDFAB18" w:rsidR="00C9520B" w:rsidRDefault="00FC5354" w:rsidP="00373AC4">
            <w:r>
              <w:t>All questions answer</w:t>
            </w:r>
            <w:r w:rsidR="00070D8B">
              <w:t>ed</w:t>
            </w:r>
            <w:r>
              <w:t xml:space="preserve"> and </w:t>
            </w:r>
            <w:r w:rsidR="0026522A">
              <w:t>reference provided</w:t>
            </w:r>
            <w:r w:rsidR="00070D8B">
              <w:t>.</w:t>
            </w:r>
          </w:p>
        </w:tc>
        <w:tc>
          <w:tcPr>
            <w:tcW w:w="3117" w:type="dxa"/>
          </w:tcPr>
          <w:p w14:paraId="3E7555E9" w14:textId="52022D99" w:rsidR="00C9520B" w:rsidRDefault="0026522A" w:rsidP="00373AC4">
            <w:r>
              <w:t>Some questions not answer</w:t>
            </w:r>
            <w:r w:rsidR="003D3427">
              <w:t>ed</w:t>
            </w:r>
            <w:r w:rsidR="000B0BC3">
              <w:t>.</w:t>
            </w:r>
          </w:p>
        </w:tc>
      </w:tr>
      <w:tr w:rsidR="00C9520B" w14:paraId="4318E7F6" w14:textId="77777777" w:rsidTr="003A10C0">
        <w:tc>
          <w:tcPr>
            <w:tcW w:w="2605" w:type="dxa"/>
          </w:tcPr>
          <w:p w14:paraId="23F45FF1" w14:textId="6A54DDA2" w:rsidR="00C9520B" w:rsidRDefault="005C524C" w:rsidP="00373AC4">
            <w:r>
              <w:t>Thoroughness</w:t>
            </w:r>
          </w:p>
        </w:tc>
        <w:tc>
          <w:tcPr>
            <w:tcW w:w="3628" w:type="dxa"/>
          </w:tcPr>
          <w:p w14:paraId="49B5FFC2" w14:textId="6020F1EF" w:rsidR="00C9520B" w:rsidRDefault="0026522A" w:rsidP="00373AC4">
            <w:r>
              <w:t xml:space="preserve">All questions were answered with enough detail to </w:t>
            </w:r>
            <w:r w:rsidR="00070D8B">
              <w:t>satisfy</w:t>
            </w:r>
            <w:r w:rsidR="000B0BC3">
              <w:t xml:space="preserve"> the</w:t>
            </w:r>
            <w:r w:rsidR="005C524C">
              <w:t xml:space="preserve"> Daubert Standard</w:t>
            </w:r>
            <w:r w:rsidR="00FE240F">
              <w:t>. APA format is</w:t>
            </w:r>
            <w:r w:rsidR="00CA357F">
              <w:t xml:space="preserve"> used. </w:t>
            </w:r>
          </w:p>
        </w:tc>
        <w:tc>
          <w:tcPr>
            <w:tcW w:w="3117" w:type="dxa"/>
          </w:tcPr>
          <w:p w14:paraId="7111633C" w14:textId="5DBDED9A" w:rsidR="00C9520B" w:rsidRDefault="005C524C" w:rsidP="00373AC4">
            <w:r>
              <w:t>Some questions were vague</w:t>
            </w:r>
            <w:r w:rsidR="003D3427">
              <w:t xml:space="preserve">, </w:t>
            </w:r>
            <w:r w:rsidR="003A10C0">
              <w:t>did not elaborate beyond a “yes” or “no”</w:t>
            </w:r>
            <w:r>
              <w:t xml:space="preserve"> or </w:t>
            </w:r>
            <w:r w:rsidR="003D3427">
              <w:t xml:space="preserve">is likely a </w:t>
            </w:r>
            <w:r w:rsidR="000B0BC3">
              <w:t>j</w:t>
            </w:r>
            <w:r w:rsidR="003D3427">
              <w:t xml:space="preserve">udge would dismiss </w:t>
            </w:r>
            <w:r w:rsidR="000B0BC3">
              <w:t>the test based on a lack of supporting justification.</w:t>
            </w:r>
          </w:p>
        </w:tc>
      </w:tr>
    </w:tbl>
    <w:p w14:paraId="246DF47A" w14:textId="77777777" w:rsidR="00C9520B" w:rsidRDefault="00C9520B" w:rsidP="00373AC4"/>
    <w:sectPr w:rsidR="00C9520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DB29" w14:textId="77777777" w:rsidR="002F56A4" w:rsidRDefault="002F56A4" w:rsidP="00070D8B">
      <w:pPr>
        <w:spacing w:after="0" w:line="240" w:lineRule="auto"/>
      </w:pPr>
      <w:r>
        <w:separator/>
      </w:r>
    </w:p>
  </w:endnote>
  <w:endnote w:type="continuationSeparator" w:id="0">
    <w:p w14:paraId="50E35822" w14:textId="77777777" w:rsidR="002F56A4" w:rsidRDefault="002F56A4" w:rsidP="0007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4650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CADEF" w14:textId="581F0AF9" w:rsidR="00070D8B" w:rsidRDefault="00070D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15C4C" w14:textId="77777777" w:rsidR="00070D8B" w:rsidRDefault="00070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DF51" w14:textId="77777777" w:rsidR="002F56A4" w:rsidRDefault="002F56A4" w:rsidP="00070D8B">
      <w:pPr>
        <w:spacing w:after="0" w:line="240" w:lineRule="auto"/>
      </w:pPr>
      <w:r>
        <w:separator/>
      </w:r>
    </w:p>
  </w:footnote>
  <w:footnote w:type="continuationSeparator" w:id="0">
    <w:p w14:paraId="02995526" w14:textId="77777777" w:rsidR="002F56A4" w:rsidRDefault="002F56A4" w:rsidP="0007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BB3"/>
    <w:multiLevelType w:val="hybridMultilevel"/>
    <w:tmpl w:val="6F7414D8"/>
    <w:lvl w:ilvl="0" w:tplc="A002D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02F95"/>
    <w:multiLevelType w:val="hybridMultilevel"/>
    <w:tmpl w:val="2CDE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3AD4"/>
    <w:multiLevelType w:val="hybridMultilevel"/>
    <w:tmpl w:val="0368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D3FAB"/>
    <w:multiLevelType w:val="hybridMultilevel"/>
    <w:tmpl w:val="6F7414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047833"/>
    <w:multiLevelType w:val="multilevel"/>
    <w:tmpl w:val="11DA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84A94"/>
    <w:multiLevelType w:val="hybridMultilevel"/>
    <w:tmpl w:val="03681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473A9"/>
    <w:multiLevelType w:val="hybridMultilevel"/>
    <w:tmpl w:val="C39E24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41703">
    <w:abstractNumId w:val="4"/>
  </w:num>
  <w:num w:numId="2" w16cid:durableId="1205943554">
    <w:abstractNumId w:val="1"/>
  </w:num>
  <w:num w:numId="3" w16cid:durableId="66922605">
    <w:abstractNumId w:val="2"/>
  </w:num>
  <w:num w:numId="4" w16cid:durableId="1408920797">
    <w:abstractNumId w:val="5"/>
  </w:num>
  <w:num w:numId="5" w16cid:durableId="1710957436">
    <w:abstractNumId w:val="6"/>
  </w:num>
  <w:num w:numId="6" w16cid:durableId="1556820716">
    <w:abstractNumId w:val="0"/>
  </w:num>
  <w:num w:numId="7" w16cid:durableId="1468667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5E"/>
    <w:rsid w:val="0000566B"/>
    <w:rsid w:val="00016FE5"/>
    <w:rsid w:val="00045E5B"/>
    <w:rsid w:val="00070D8B"/>
    <w:rsid w:val="000A3586"/>
    <w:rsid w:val="000B0BC3"/>
    <w:rsid w:val="000E5BB1"/>
    <w:rsid w:val="000F2AF7"/>
    <w:rsid w:val="00104FF6"/>
    <w:rsid w:val="00133658"/>
    <w:rsid w:val="001413DB"/>
    <w:rsid w:val="001464F4"/>
    <w:rsid w:val="00150F3D"/>
    <w:rsid w:val="0016605C"/>
    <w:rsid w:val="00175EF5"/>
    <w:rsid w:val="00195F6A"/>
    <w:rsid w:val="001A74CB"/>
    <w:rsid w:val="001D2FA2"/>
    <w:rsid w:val="001E6CD7"/>
    <w:rsid w:val="0024321E"/>
    <w:rsid w:val="00252312"/>
    <w:rsid w:val="0026522A"/>
    <w:rsid w:val="00276245"/>
    <w:rsid w:val="00280EBA"/>
    <w:rsid w:val="00287F94"/>
    <w:rsid w:val="00291F73"/>
    <w:rsid w:val="002A4D0C"/>
    <w:rsid w:val="002B5011"/>
    <w:rsid w:val="002D1663"/>
    <w:rsid w:val="002F56A4"/>
    <w:rsid w:val="00307B10"/>
    <w:rsid w:val="003648A2"/>
    <w:rsid w:val="003711A2"/>
    <w:rsid w:val="00373AC4"/>
    <w:rsid w:val="00375E47"/>
    <w:rsid w:val="00390DDB"/>
    <w:rsid w:val="00393445"/>
    <w:rsid w:val="003A10C0"/>
    <w:rsid w:val="003C6DD9"/>
    <w:rsid w:val="003D3427"/>
    <w:rsid w:val="003D4A59"/>
    <w:rsid w:val="00440FCD"/>
    <w:rsid w:val="0044655F"/>
    <w:rsid w:val="004558CF"/>
    <w:rsid w:val="00474808"/>
    <w:rsid w:val="00496ECC"/>
    <w:rsid w:val="004B17BF"/>
    <w:rsid w:val="004E66D5"/>
    <w:rsid w:val="00517DD1"/>
    <w:rsid w:val="00550BF1"/>
    <w:rsid w:val="005753B1"/>
    <w:rsid w:val="005B700E"/>
    <w:rsid w:val="005C0D32"/>
    <w:rsid w:val="005C524C"/>
    <w:rsid w:val="005E26DE"/>
    <w:rsid w:val="00635555"/>
    <w:rsid w:val="0067561E"/>
    <w:rsid w:val="006D37AE"/>
    <w:rsid w:val="006E7A66"/>
    <w:rsid w:val="006F46D1"/>
    <w:rsid w:val="007545C4"/>
    <w:rsid w:val="0077000B"/>
    <w:rsid w:val="007933A5"/>
    <w:rsid w:val="007B41A9"/>
    <w:rsid w:val="007B49E8"/>
    <w:rsid w:val="007C18D2"/>
    <w:rsid w:val="007F6A25"/>
    <w:rsid w:val="008069EE"/>
    <w:rsid w:val="008241C8"/>
    <w:rsid w:val="00830261"/>
    <w:rsid w:val="00846F6E"/>
    <w:rsid w:val="00850B10"/>
    <w:rsid w:val="00863A13"/>
    <w:rsid w:val="00877C80"/>
    <w:rsid w:val="00896BEA"/>
    <w:rsid w:val="008A29BF"/>
    <w:rsid w:val="008A5D7B"/>
    <w:rsid w:val="008C2734"/>
    <w:rsid w:val="008D1530"/>
    <w:rsid w:val="00902246"/>
    <w:rsid w:val="009225FF"/>
    <w:rsid w:val="00926C21"/>
    <w:rsid w:val="00934228"/>
    <w:rsid w:val="00954FBE"/>
    <w:rsid w:val="009C4130"/>
    <w:rsid w:val="009C5EE8"/>
    <w:rsid w:val="009D52DE"/>
    <w:rsid w:val="009E19FC"/>
    <w:rsid w:val="009E2C77"/>
    <w:rsid w:val="00A069E2"/>
    <w:rsid w:val="00A3004C"/>
    <w:rsid w:val="00A4475E"/>
    <w:rsid w:val="00A63601"/>
    <w:rsid w:val="00A939CE"/>
    <w:rsid w:val="00AA20B2"/>
    <w:rsid w:val="00AD6770"/>
    <w:rsid w:val="00B117F3"/>
    <w:rsid w:val="00B3448D"/>
    <w:rsid w:val="00B744AD"/>
    <w:rsid w:val="00BB2871"/>
    <w:rsid w:val="00C13C36"/>
    <w:rsid w:val="00C55D74"/>
    <w:rsid w:val="00C648E1"/>
    <w:rsid w:val="00C77ACD"/>
    <w:rsid w:val="00C9520B"/>
    <w:rsid w:val="00CA1DDD"/>
    <w:rsid w:val="00CA357F"/>
    <w:rsid w:val="00CD3B70"/>
    <w:rsid w:val="00D15AF9"/>
    <w:rsid w:val="00D1618A"/>
    <w:rsid w:val="00D423A9"/>
    <w:rsid w:val="00D61127"/>
    <w:rsid w:val="00E03A3B"/>
    <w:rsid w:val="00E55E1F"/>
    <w:rsid w:val="00E75C45"/>
    <w:rsid w:val="00EB1EA0"/>
    <w:rsid w:val="00EB693B"/>
    <w:rsid w:val="00ED37F0"/>
    <w:rsid w:val="00EF4DE4"/>
    <w:rsid w:val="00F31AC9"/>
    <w:rsid w:val="00F53E0C"/>
    <w:rsid w:val="00F749D9"/>
    <w:rsid w:val="00F91CE8"/>
    <w:rsid w:val="00FC5354"/>
    <w:rsid w:val="00FD411E"/>
    <w:rsid w:val="00FE240F"/>
    <w:rsid w:val="00F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7D05"/>
  <w15:chartTrackingRefBased/>
  <w15:docId w15:val="{16BE61BC-4764-46FB-98EE-CAED8B22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586"/>
    <w:pPr>
      <w:ind w:left="720"/>
      <w:contextualSpacing/>
    </w:pPr>
  </w:style>
  <w:style w:type="table" w:styleId="TableGrid">
    <w:name w:val="Table Grid"/>
    <w:basedOn w:val="TableNormal"/>
    <w:uiPriority w:val="39"/>
    <w:rsid w:val="00C9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1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54F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8B"/>
  </w:style>
  <w:style w:type="paragraph" w:styleId="Footer">
    <w:name w:val="footer"/>
    <w:basedOn w:val="Normal"/>
    <w:link w:val="FooterChar"/>
    <w:uiPriority w:val="99"/>
    <w:unhideWhenUsed/>
    <w:rsid w:val="0007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8B"/>
  </w:style>
  <w:style w:type="character" w:styleId="Emphasis">
    <w:name w:val="Emphasis"/>
    <w:basedOn w:val="DefaultParagraphFont"/>
    <w:uiPriority w:val="20"/>
    <w:qFormat/>
    <w:rsid w:val="001464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.cornell.edu/wex/daubert_standard" TargetMode="External"/><Relationship Id="rId13" Type="http://schemas.openxmlformats.org/officeDocument/2006/relationships/hyperlink" Target="https://scholar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rd.google.com/" TargetMode="External"/><Relationship Id="rId12" Type="http://schemas.openxmlformats.org/officeDocument/2006/relationships/hyperlink" Target="https://psycnet.apa.org/doi/10.1037/0021-9010.85.1.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sycnet.apa.org/doi/10.1037/0021-9010.88.1.13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sycnet.apa.org/doi/10.1037/0021-9010.86.4.6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FixitSean Humpherys</dc:creator>
  <cp:keywords/>
  <dc:description/>
  <cp:lastModifiedBy>Trevor Hofmann</cp:lastModifiedBy>
  <cp:revision>120</cp:revision>
  <dcterms:created xsi:type="dcterms:W3CDTF">2024-01-13T15:03:00Z</dcterms:created>
  <dcterms:modified xsi:type="dcterms:W3CDTF">2024-01-16T02:36:00Z</dcterms:modified>
</cp:coreProperties>
</file>