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pPr>
    </w:p>
    <w:p>
      <w:pPr>
        <w:jc w:val="center"/>
      </w:pPr>
      <w:r>
        <w:rPr>
          <w:b/>
          <w:color w:val="1F4E79"/>
          <w:sz w:val="48"/>
        </w:rPr>
        <w:t>TÀI LIỆU YÊU CẦU NGƯỜI DÙNG (URD)</w:t>
      </w:r>
    </w:p>
    <w:p>
      <w:pPr>
        <w:spacing w:after="1000"/>
        <w:jc w:val="center"/>
      </w:pPr>
      <w:r>
        <w:rPr>
          <w:i/>
          <w:color w:val="5C8FBA"/>
          <w:sz w:val="26"/>
        </w:rPr>
        <w:t>HỆ THỐNG QUẢN LÝ MUA HÀNG DOANH NGHIỆP SẢN XUẤT</w:t>
        <w:br/>
        <w:t>Phiên bản 2.0 (Cập nhật Luồng Khẩn cấp, Phiên bản IPO &amp; Quy trình Hoàn trả Kho)</w:t>
      </w:r>
    </w:p>
    <w:p>
      <w:pPr>
        <w:spacing w:before="3000"/>
        <w:jc w:val="center"/>
      </w:pPr>
      <w:r>
        <w:rPr>
          <w:b/>
        </w:rPr>
        <w:t xml:space="preserve">Khách hàng: </w:t>
      </w:r>
      <w:r>
        <w:t>Doanh nghiệp Sản xuất Quy mô lớn</w:t>
        <w:br/>
      </w:r>
      <w:r>
        <w:rPr>
          <w:b/>
        </w:rPr>
        <w:t xml:space="preserve">Đội ngũ Thực hiện: </w:t>
      </w:r>
      <w:r>
        <w:t>Phòng Phân tích Nghiệp vụ &amp; Phát triển Phần mềm</w:t>
        <w:br/>
      </w:r>
      <w:r>
        <w:rPr>
          <w:b/>
        </w:rPr>
        <w:t xml:space="preserve">Ngày lập: </w:t>
      </w:r>
      <w:r>
        <w:t>25/05/2026</w:t>
        <w:br/>
      </w:r>
      <w:r>
        <w:rPr>
          <w:b/>
        </w:rPr>
        <w:t xml:space="preserve">Trạng thái tài liệu: </w:t>
      </w:r>
      <w:r>
        <w:t>Bản cuối cùng (Phê duyệt triển khai Phase 1)</w:t>
      </w:r>
    </w:p>
    <w:p>
      <w:r>
        <w:br w:type="page"/>
      </w:r>
    </w:p>
    <w:p>
      <w:pPr>
        <w:pStyle w:val="Heading1"/>
        <w:keepNext/>
        <w:spacing w:before="320" w:after="120"/>
      </w:pPr>
      <w:r>
        <w:rPr>
          <w:rFonts w:ascii="Arial" w:hAnsi="Arial"/>
          <w:b/>
          <w:color w:val="1F4E79"/>
          <w:sz w:val="32"/>
        </w:rPr>
        <w:t>Lịch sử thay đổi tài liệu</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806"/>
        <w:gridCol w:w="1806"/>
        <w:gridCol w:w="1806"/>
        <w:gridCol w:w="1806"/>
        <w:gridCol w:w="1806"/>
      </w:tblGrid>
      <w:tr>
        <w:tc>
          <w:tcPr>
            <w:tcW w:type="dxa" w:w="1806"/>
            <w:shd w:val="clear" w:color="auto" w:fill="1F4E79"/>
            <w:tcMar>
              <w:top w:w="120" w:type="dxa"/>
              <w:bottom w:w="120" w:type="dxa"/>
              <w:left w:w="150" w:type="dxa"/>
              <w:right w:w="150" w:type="dxa"/>
            </w:tcMar>
          </w:tcPr>
          <w:p>
            <w:pPr>
              <w:jc w:val="center"/>
            </w:pPr>
            <w:r>
              <w:rPr>
                <w:b/>
                <w:color w:val="FFFFFF"/>
                <w:sz w:val="20"/>
              </w:rPr>
              <w:t>Phiên bản</w:t>
            </w:r>
          </w:p>
        </w:tc>
        <w:tc>
          <w:tcPr>
            <w:tcW w:type="dxa" w:w="1806"/>
            <w:shd w:val="clear" w:color="auto" w:fill="1F4E79"/>
            <w:tcMar>
              <w:top w:w="120" w:type="dxa"/>
              <w:bottom w:w="120" w:type="dxa"/>
              <w:left w:w="150" w:type="dxa"/>
              <w:right w:w="150" w:type="dxa"/>
            </w:tcMar>
          </w:tcPr>
          <w:p>
            <w:pPr>
              <w:jc w:val="center"/>
            </w:pPr>
            <w:r>
              <w:rPr>
                <w:b/>
                <w:color w:val="FFFFFF"/>
                <w:sz w:val="20"/>
              </w:rPr>
              <w:t>Ngày</w:t>
            </w:r>
          </w:p>
        </w:tc>
        <w:tc>
          <w:tcPr>
            <w:tcW w:type="dxa" w:w="1806"/>
            <w:shd w:val="clear" w:color="auto" w:fill="1F4E79"/>
            <w:tcMar>
              <w:top w:w="120" w:type="dxa"/>
              <w:bottom w:w="120" w:type="dxa"/>
              <w:left w:w="150" w:type="dxa"/>
              <w:right w:w="150" w:type="dxa"/>
            </w:tcMar>
          </w:tcPr>
          <w:p>
            <w:pPr>
              <w:jc w:val="center"/>
            </w:pPr>
            <w:r>
              <w:rPr>
                <w:b/>
                <w:color w:val="FFFFFF"/>
                <w:sz w:val="20"/>
              </w:rPr>
              <w:t>Người thực hiện</w:t>
            </w:r>
          </w:p>
        </w:tc>
        <w:tc>
          <w:tcPr>
            <w:tcW w:type="dxa" w:w="1806"/>
            <w:shd w:val="clear" w:color="auto" w:fill="1F4E79"/>
            <w:tcMar>
              <w:top w:w="120" w:type="dxa"/>
              <w:bottom w:w="120" w:type="dxa"/>
              <w:left w:w="150" w:type="dxa"/>
              <w:right w:w="150" w:type="dxa"/>
            </w:tcMar>
          </w:tcPr>
          <w:p>
            <w:pPr>
              <w:jc w:val="center"/>
            </w:pPr>
            <w:r>
              <w:rPr>
                <w:b/>
                <w:color w:val="FFFFFF"/>
                <w:sz w:val="20"/>
              </w:rPr>
              <w:t>Nội dung tóm tắt thay đổi</w:t>
            </w:r>
          </w:p>
        </w:tc>
        <w:tc>
          <w:tcPr>
            <w:tcW w:type="dxa" w:w="1806"/>
            <w:shd w:val="clear" w:color="auto" w:fill="1F4E79"/>
            <w:tcMar>
              <w:top w:w="120" w:type="dxa"/>
              <w:bottom w:w="120" w:type="dxa"/>
              <w:left w:w="150" w:type="dxa"/>
              <w:right w:w="150" w:type="dxa"/>
            </w:tcMar>
          </w:tcPr>
          <w:p>
            <w:pPr>
              <w:jc w:val="center"/>
            </w:pPr>
            <w:r>
              <w:rPr>
                <w:b/>
                <w:color w:val="FFFFFF"/>
                <w:sz w:val="20"/>
              </w:rPr>
              <w:t>Trạng thái</w:t>
            </w:r>
          </w:p>
        </w:tc>
      </w:tr>
      <w:tr>
        <w:tc>
          <w:tcPr>
            <w:tcW w:type="dxa" w:w="1806"/>
            <w:tcMar>
              <w:top w:w="100" w:type="dxa"/>
              <w:bottom w:w="100" w:type="dxa"/>
              <w:left w:w="150" w:type="dxa"/>
              <w:right w:w="150" w:type="dxa"/>
            </w:tcMar>
          </w:tcPr>
          <w:p>
            <w:pPr>
              <w:jc w:val="center"/>
            </w:pPr>
            <w:r>
              <w:t>1.0</w:t>
            </w:r>
          </w:p>
        </w:tc>
        <w:tc>
          <w:tcPr>
            <w:tcW w:type="dxa" w:w="1806"/>
            <w:tcMar>
              <w:top w:w="100" w:type="dxa"/>
              <w:bottom w:w="100" w:type="dxa"/>
              <w:left w:w="150" w:type="dxa"/>
              <w:right w:w="150" w:type="dxa"/>
            </w:tcMar>
          </w:tcPr>
          <w:p>
            <w:pPr>
              <w:jc w:val="center"/>
            </w:pPr>
            <w:r>
              <w:t>23/03/2026</w:t>
            </w:r>
          </w:p>
        </w:tc>
        <w:tc>
          <w:tcPr>
            <w:tcW w:type="dxa" w:w="1806"/>
            <w:tcMar>
              <w:top w:w="100" w:type="dxa"/>
              <w:bottom w:w="100" w:type="dxa"/>
              <w:left w:w="150" w:type="dxa"/>
              <w:right w:w="150" w:type="dxa"/>
            </w:tcMar>
          </w:tcPr>
          <w:p>
            <w:r>
              <w:t>BA Team</w:t>
            </w:r>
          </w:p>
        </w:tc>
        <w:tc>
          <w:tcPr>
            <w:tcW w:type="dxa" w:w="1806"/>
            <w:tcMar>
              <w:top w:w="100" w:type="dxa"/>
              <w:bottom w:w="100" w:type="dxa"/>
              <w:left w:w="150" w:type="dxa"/>
              <w:right w:w="150" w:type="dxa"/>
            </w:tcMar>
          </w:tcPr>
          <w:p>
            <w:r>
              <w:t>Khởi tạo tài liệu dựa trên khảo sát nghiệp vụ sơ bộ khâu PR và Kho.</w:t>
            </w:r>
          </w:p>
        </w:tc>
        <w:tc>
          <w:tcPr>
            <w:tcW w:type="dxa" w:w="1806"/>
            <w:tcMar>
              <w:top w:w="100" w:type="dxa"/>
              <w:bottom w:w="100" w:type="dxa"/>
              <w:left w:w="150" w:type="dxa"/>
              <w:right w:w="150" w:type="dxa"/>
            </w:tcMar>
          </w:tcPr>
          <w:p>
            <w:pPr>
              <w:jc w:val="center"/>
            </w:pPr>
            <w:r>
              <w:t>Đã đánh giá</w:t>
            </w:r>
          </w:p>
        </w:tc>
      </w:tr>
      <w:tr>
        <w:tc>
          <w:tcPr>
            <w:tcW w:type="dxa" w:w="1806"/>
            <w:tcMar>
              <w:top w:w="100" w:type="dxa"/>
              <w:bottom w:w="100" w:type="dxa"/>
              <w:left w:w="150" w:type="dxa"/>
              <w:right w:w="150" w:type="dxa"/>
            </w:tcMar>
            <w:shd w:val="clear" w:color="auto" w:fill="F2F6FA"/>
          </w:tcPr>
          <w:p>
            <w:pPr>
              <w:jc w:val="center"/>
            </w:pPr>
            <w:r>
              <w:t>2.0</w:t>
            </w:r>
          </w:p>
        </w:tc>
        <w:tc>
          <w:tcPr>
            <w:tcW w:type="dxa" w:w="1806"/>
            <w:tcMar>
              <w:top w:w="100" w:type="dxa"/>
              <w:bottom w:w="100" w:type="dxa"/>
              <w:left w:w="150" w:type="dxa"/>
              <w:right w:w="150" w:type="dxa"/>
            </w:tcMar>
            <w:shd w:val="clear" w:color="auto" w:fill="F2F6FA"/>
          </w:tcPr>
          <w:p>
            <w:pPr>
              <w:jc w:val="center"/>
            </w:pPr>
            <w:r>
              <w:t>25/05/2026</w:t>
            </w:r>
          </w:p>
        </w:tc>
        <w:tc>
          <w:tcPr>
            <w:tcW w:type="dxa" w:w="1806"/>
            <w:tcMar>
              <w:top w:w="100" w:type="dxa"/>
              <w:bottom w:w="100" w:type="dxa"/>
              <w:left w:w="150" w:type="dxa"/>
              <w:right w:w="150" w:type="dxa"/>
            </w:tcMar>
            <w:shd w:val="clear" w:color="auto" w:fill="F2F6FA"/>
          </w:tcPr>
          <w:p>
            <w:r>
              <w:t>Product Owner</w:t>
            </w:r>
          </w:p>
        </w:tc>
        <w:tc>
          <w:tcPr>
            <w:tcW w:type="dxa" w:w="1806"/>
            <w:tcMar>
              <w:top w:w="100" w:type="dxa"/>
              <w:bottom w:w="100" w:type="dxa"/>
              <w:left w:w="150" w:type="dxa"/>
              <w:right w:w="150" w:type="dxa"/>
            </w:tcMar>
            <w:shd w:val="clear" w:color="auto" w:fill="F2F6FA"/>
          </w:tcPr>
          <w:p>
            <w:r>
              <w:t>Cập nhật đồng bộ Đặc tả Use-Case v2.0: Luồng PR khẩn, Portal báo giá với Token, Phê duyệt IPO đa phiên bản, Nhập kho QC chi tiết, Trả hàng NCC &amp; Credit Note.</w:t>
            </w:r>
          </w:p>
        </w:tc>
        <w:tc>
          <w:tcPr>
            <w:tcW w:type="dxa" w:w="1806"/>
            <w:tcMar>
              <w:top w:w="100" w:type="dxa"/>
              <w:bottom w:w="100" w:type="dxa"/>
              <w:left w:w="150" w:type="dxa"/>
              <w:right w:w="150" w:type="dxa"/>
            </w:tcMar>
            <w:shd w:val="clear" w:color="auto" w:fill="F2F6FA"/>
          </w:tcPr>
          <w:p>
            <w:pPr>
              <w:jc w:val="center"/>
            </w:pPr>
            <w:r>
              <w:t>Phê duyệt</w:t>
            </w:r>
          </w:p>
        </w:tc>
      </w:tr>
    </w:tbl>
    <w:p>
      <w:pPr>
        <w:spacing w:after="240"/>
      </w:pPr>
    </w:p>
    <w:p>
      <w:pPr>
        <w:pStyle w:val="Heading1"/>
        <w:keepNext/>
        <w:spacing w:before="320" w:after="120"/>
      </w:pPr>
      <w:r>
        <w:rPr>
          <w:rFonts w:ascii="Arial" w:hAnsi="Arial"/>
          <w:b/>
          <w:color w:val="1F4E79"/>
          <w:sz w:val="32"/>
        </w:rPr>
        <w:t>1. Tổng quan dự án</w:t>
      </w:r>
    </w:p>
    <w:p>
      <w:r>
        <w:rPr>
          <w:b/>
        </w:rPr>
        <w:t>1.1 Giới thiệu hệ thống</w:t>
        <w:br/>
      </w:r>
      <w:r>
        <w:t>Hệ thống Quản lý Mua hàng (Procurement Management System) là nền tảng cốt lõi hướng tới mục tiêu số hóa, tự động hóa và tối ưu hóa chuỗi cung ứng nội bộ cho doanh nghiệp sản xuất sở hữu nhiều chi nhánh/nhà máy. Hệ thống giải quyết triệt để các hạn chế của quy trình vận hành thủ công truyền thống thông qua Excel, email và hồ sơ giấy, chuyển đổi thành một luồng dữ liệu liên tục, minh bạch và có tính vết kiểm toán cao.</w:t>
      </w:r>
    </w:p>
    <w:p>
      <w:r>
        <w:rPr>
          <w:b/>
        </w:rPr>
        <w:t>1.2 Mục tiêu chiến lược</w:t>
        <w:br/>
      </w:r>
      <w:r>
        <w:rPr>
          <w:b/>
        </w:rPr>
        <w:t xml:space="preserve">• Chuẩn hóa luồng công việc: </w:t>
      </w:r>
      <w:r>
        <w:t>Kết nối đồng bộ 5 bộ phận tham gia trực tiếp: Bộ phận Đề xuất (Sản xuất/Văn phòng), Phòng Mua hàng, Kho vận, Kế toán và Ban Giám đốc.</w:t>
        <w:br/>
      </w:r>
      <w:r>
        <w:rPr>
          <w:b/>
        </w:rPr>
        <w:t xml:space="preserve">• Tách biệt luồng xử lý khẩn cấp: </w:t>
      </w:r>
      <w:r>
        <w:t>Rút ngắn thời gian cung ứng vật tư sản xuất từ khâu PR tới mua hàng thực tế thông qua cơ chế duyệt bypass đặc quyền.</w:t>
        <w:br/>
      </w:r>
      <w:r>
        <w:rPr>
          <w:b/>
        </w:rPr>
        <w:t xml:space="preserve">• Số hóa cổng tương tác Nhà cung cấp (Vendor Portal): </w:t>
      </w:r>
      <w:r>
        <w:t>Loại bỏ việc nhập thủ công file báo giá, hệ thống tự động sinh Token bảo mật gửi cho NCC tự tương tác dữ liệu trực tuyến.</w:t>
        <w:br/>
      </w:r>
      <w:r>
        <w:rPr>
          <w:b/>
        </w:rPr>
        <w:t xml:space="preserve">• Quản lý cấu hình phiên bản tài liệu tài chính: </w:t>
      </w:r>
      <w:r>
        <w:t>Đảm bảo mọi thay đổi trên đơn mua nội bộ (IPO) được lưu vết lịch sử phiên bản nghiêm ngặt, phục vụ kiểm toán nội bộ.</w:t>
        <w:br/>
      </w:r>
      <w:r>
        <w:rPr>
          <w:b/>
        </w:rPr>
        <w:t xml:space="preserve">• Đối soát 3 chiều tự động (Three-way Matching): </w:t>
      </w:r>
      <w:r>
        <w:t>Kiểm soát chặt chẽ rủi ro tài chính bằng cách tự động đối khớp Đơn mua (IPO) - Phiếu nhập kho (Receipt) - Hóa đơn (Invoice).</w:t>
        <w:br/>
      </w:r>
      <w:r>
        <w:rPr>
          <w:b/>
        </w:rPr>
        <w:t xml:space="preserve">• Phân quyền RBAC và Audit Trail: </w:t>
      </w:r>
      <w:r>
        <w:t>Đảm bảo an toàn thông tin tuyệt đối, ghi log toàn bộ hành vi thay đổi dữ liệu của người dùng.</w:t>
      </w:r>
    </w:p>
    <w:p>
      <w:r>
        <w:rPr>
          <w:b/>
        </w:rPr>
        <w:t>1.3 Phạm vi triển khai Phase 1</w:t>
        <w:br/>
      </w:r>
      <w:r>
        <w:t>Tập trung phát triển giải pháp cốt lõi vận hành trong thời gian 2 tháng, phục vụ nhu cầu xử lý từ 50 đến 500 đơn mua hàng phát sinh mỗi tháng tại 2 chi nhánh chính. Việc tích hợp API thời gian thực với phần mềm kế toán bên thứ ba và hệ thống tự động hóa lập kế hoạch nhu cầu nguyên vật liệu (BOM/MRP) được hoạch định triển khai tại Phase 2.</w:t>
      </w:r>
    </w:p>
    <w:p>
      <w:pPr>
        <w:pStyle w:val="Heading1"/>
        <w:keepNext/>
        <w:spacing w:before="320" w:after="120"/>
      </w:pPr>
      <w:r>
        <w:rPr>
          <w:rFonts w:ascii="Arial" w:hAnsi="Arial"/>
          <w:b/>
          <w:color w:val="1F4E79"/>
          <w:sz w:val="32"/>
        </w:rPr>
        <w:t>2. Kiến trúc tổng quan &amp; Phân quyền hệ thống (RBAC)</w:t>
      </w:r>
    </w:p>
    <w:p>
      <w:r>
        <w:rPr>
          <w:b/>
        </w:rPr>
        <w:t>2.1 Danh sách các phân hệ chức năng chính (Modules)</w:t>
        <w:br/>
      </w:r>
      <w:r>
        <w:t>Hệ thống bao gồm các phân hệ gắn kết chặt chẽ với nhau thông qua luồng dữ liệu tuần tự:</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010"/>
        <w:gridCol w:w="3010"/>
        <w:gridCol w:w="3010"/>
      </w:tblGrid>
      <w:tr>
        <w:tc>
          <w:tcPr>
            <w:tcW w:type="dxa" w:w="3010"/>
            <w:shd w:val="clear" w:color="auto" w:fill="1F4E79"/>
            <w:tcMar>
              <w:top w:w="120" w:type="dxa"/>
              <w:bottom w:w="120" w:type="dxa"/>
              <w:left w:w="150" w:type="dxa"/>
              <w:right w:w="150" w:type="dxa"/>
            </w:tcMar>
          </w:tcPr>
          <w:p>
            <w:pPr>
              <w:jc w:val="center"/>
            </w:pPr>
            <w:r>
              <w:rPr>
                <w:b/>
                <w:color w:val="FFFFFF"/>
              </w:rPr>
              <w:t>Tên phân hệ</w:t>
            </w:r>
          </w:p>
        </w:tc>
        <w:tc>
          <w:tcPr>
            <w:tcW w:type="dxa" w:w="3010"/>
            <w:shd w:val="clear" w:color="auto" w:fill="1F4E79"/>
            <w:tcMar>
              <w:top w:w="120" w:type="dxa"/>
              <w:bottom w:w="120" w:type="dxa"/>
              <w:left w:w="150" w:type="dxa"/>
              <w:right w:w="150" w:type="dxa"/>
            </w:tcMar>
          </w:tcPr>
          <w:p>
            <w:pPr>
              <w:jc w:val="center"/>
            </w:pPr>
            <w:r>
              <w:rPr>
                <w:b/>
                <w:color w:val="FFFFFF"/>
              </w:rPr>
              <w:t>Mô tả chức năng</w:t>
            </w:r>
          </w:p>
        </w:tc>
        <w:tc>
          <w:tcPr>
            <w:tcW w:type="dxa" w:w="3010"/>
            <w:shd w:val="clear" w:color="auto" w:fill="1F4E79"/>
            <w:tcMar>
              <w:top w:w="120" w:type="dxa"/>
              <w:bottom w:w="120" w:type="dxa"/>
              <w:left w:w="150" w:type="dxa"/>
              <w:right w:w="150" w:type="dxa"/>
            </w:tcMar>
          </w:tcPr>
          <w:p>
            <w:pPr>
              <w:jc w:val="center"/>
            </w:pPr>
            <w:r>
              <w:rPr>
                <w:b/>
                <w:color w:val="FFFFFF"/>
              </w:rPr>
              <w:t>Đối tượng tương tác chính</w:t>
            </w:r>
          </w:p>
        </w:tc>
      </w:tr>
      <w:tr>
        <w:tc>
          <w:tcPr>
            <w:tcW w:type="dxa" w:w="3010"/>
            <w:tcMar>
              <w:top w:w="100" w:type="dxa"/>
              <w:bottom w:w="100" w:type="dxa"/>
              <w:left w:w="150" w:type="dxa"/>
              <w:right w:w="150" w:type="dxa"/>
            </w:tcMar>
          </w:tcPr>
          <w:p>
            <w:r>
              <w:rPr>
                <w:b/>
              </w:rPr>
              <w:t>1. AUTH &amp; MASTER DATA</w:t>
            </w:r>
          </w:p>
        </w:tc>
        <w:tc>
          <w:tcPr>
            <w:tcW w:type="dxa" w:w="3010"/>
            <w:tcMar>
              <w:top w:w="100" w:type="dxa"/>
              <w:bottom w:w="100" w:type="dxa"/>
              <w:left w:w="150" w:type="dxa"/>
              <w:right w:w="150" w:type="dxa"/>
            </w:tcMar>
          </w:tcPr>
          <w:p>
            <w:r>
              <w:t>Quản lý người dùng, phân quyền vai trò. Danh mục dùng chung (Vật tư, Nhà cung cấp, Chi nhánh, Phòng ban, Cấu hình hệ thống).</w:t>
            </w:r>
          </w:p>
        </w:tc>
        <w:tc>
          <w:tcPr>
            <w:tcW w:type="dxa" w:w="3010"/>
            <w:tcMar>
              <w:top w:w="100" w:type="dxa"/>
              <w:bottom w:w="100" w:type="dxa"/>
              <w:left w:w="150" w:type="dxa"/>
              <w:right w:w="150" w:type="dxa"/>
            </w:tcMar>
          </w:tcPr>
          <w:p>
            <w:r>
              <w:t>Toàn bộ người dùng / Admin</w:t>
            </w:r>
          </w:p>
        </w:tc>
      </w:tr>
      <w:tr>
        <w:tc>
          <w:tcPr>
            <w:tcW w:type="dxa" w:w="3010"/>
            <w:tcMar>
              <w:top w:w="100" w:type="dxa"/>
              <w:bottom w:w="100" w:type="dxa"/>
              <w:left w:w="150" w:type="dxa"/>
              <w:right w:w="150" w:type="dxa"/>
            </w:tcMar>
            <w:shd w:val="clear" w:color="auto" w:fill="F2F6FA"/>
          </w:tcPr>
          <w:p>
            <w:r>
              <w:rPr>
                <w:b/>
              </w:rPr>
              <w:t>2. PURCHASE REQUISITION</w:t>
            </w:r>
          </w:p>
        </w:tc>
        <w:tc>
          <w:tcPr>
            <w:tcW w:type="dxa" w:w="3010"/>
            <w:tcMar>
              <w:top w:w="100" w:type="dxa"/>
              <w:bottom w:w="100" w:type="dxa"/>
              <w:left w:w="150" w:type="dxa"/>
              <w:right w:w="150" w:type="dxa"/>
            </w:tcMar>
            <w:shd w:val="clear" w:color="auto" w:fill="F2F6FA"/>
          </w:tcPr>
          <w:p>
            <w:r>
              <w:t>Tạo, chỉnh sửa, phê duyệt yêu cầu mua hàng. Phân loại luồng thường và luồng khẩn cấp.</w:t>
            </w:r>
          </w:p>
        </w:tc>
        <w:tc>
          <w:tcPr>
            <w:tcW w:type="dxa" w:w="3010"/>
            <w:tcMar>
              <w:top w:w="100" w:type="dxa"/>
              <w:bottom w:w="100" w:type="dxa"/>
              <w:left w:w="150" w:type="dxa"/>
              <w:right w:w="150" w:type="dxa"/>
            </w:tcMar>
            <w:shd w:val="clear" w:color="auto" w:fill="F2F6FA"/>
          </w:tcPr>
          <w:p>
            <w:r>
              <w:t>Trưởng bộ phận, Ban Giám đốc</w:t>
            </w:r>
          </w:p>
        </w:tc>
      </w:tr>
      <w:tr>
        <w:tc>
          <w:tcPr>
            <w:tcW w:type="dxa" w:w="3010"/>
            <w:tcMar>
              <w:top w:w="100" w:type="dxa"/>
              <w:bottom w:w="100" w:type="dxa"/>
              <w:left w:w="150" w:type="dxa"/>
              <w:right w:w="150" w:type="dxa"/>
            </w:tcMar>
          </w:tcPr>
          <w:p>
            <w:r>
              <w:rPr>
                <w:b/>
              </w:rPr>
              <w:t>3. CART &amp; ORDER</w:t>
            </w:r>
          </w:p>
        </w:tc>
        <w:tc>
          <w:tcPr>
            <w:tcW w:type="dxa" w:w="3010"/>
            <w:tcMar>
              <w:top w:w="100" w:type="dxa"/>
              <w:bottom w:w="100" w:type="dxa"/>
              <w:left w:w="150" w:type="dxa"/>
              <w:right w:w="150" w:type="dxa"/>
            </w:tcMar>
          </w:tcPr>
          <w:p>
            <w:r>
              <w:t>Gom các yêu cầu vật tư từ PR vào Giỏ hàng để thực hiện tối ưu số lượng đặt hàng và tạo Đơn mua tổng quát.</w:t>
            </w:r>
          </w:p>
        </w:tc>
        <w:tc>
          <w:tcPr>
            <w:tcW w:type="dxa" w:w="3010"/>
            <w:tcMar>
              <w:top w:w="100" w:type="dxa"/>
              <w:bottom w:w="100" w:type="dxa"/>
              <w:left w:w="150" w:type="dxa"/>
              <w:right w:w="150" w:type="dxa"/>
            </w:tcMar>
          </w:tcPr>
          <w:p>
            <w:r>
              <w:t>Phòng Mua hàng</w:t>
            </w:r>
          </w:p>
        </w:tc>
      </w:tr>
      <w:tr>
        <w:tc>
          <w:tcPr>
            <w:tcW w:type="dxa" w:w="3010"/>
            <w:tcMar>
              <w:top w:w="100" w:type="dxa"/>
              <w:bottom w:w="100" w:type="dxa"/>
              <w:left w:w="150" w:type="dxa"/>
              <w:right w:w="150" w:type="dxa"/>
            </w:tcMar>
            <w:shd w:val="clear" w:color="auto" w:fill="F2F6FA"/>
          </w:tcPr>
          <w:p>
            <w:r>
              <w:rPr>
                <w:b/>
              </w:rPr>
              <w:t>4. QUOTATION</w:t>
            </w:r>
          </w:p>
        </w:tc>
        <w:tc>
          <w:tcPr>
            <w:tcW w:type="dxa" w:w="3010"/>
            <w:tcMar>
              <w:top w:w="100" w:type="dxa"/>
              <w:bottom w:w="100" w:type="dxa"/>
              <w:left w:w="150" w:type="dxa"/>
              <w:right w:w="150" w:type="dxa"/>
            </w:tcMar>
            <w:shd w:val="clear" w:color="auto" w:fill="F2F6FA"/>
          </w:tcPr>
          <w:p>
            <w:r>
              <w:t>Tự động gửi email yêu cầu kèm mã bảo mật. Tiếp nhận báo giá đơn giá, lead-time trực tiếp từ nhà cung cấp.</w:t>
            </w:r>
          </w:p>
        </w:tc>
        <w:tc>
          <w:tcPr>
            <w:tcW w:type="dxa" w:w="3010"/>
            <w:tcMar>
              <w:top w:w="100" w:type="dxa"/>
              <w:bottom w:w="100" w:type="dxa"/>
              <w:left w:w="150" w:type="dxa"/>
              <w:right w:w="150" w:type="dxa"/>
            </w:tcMar>
            <w:shd w:val="clear" w:color="auto" w:fill="F2F6FA"/>
          </w:tcPr>
          <w:p>
            <w:r>
              <w:t>Phòng Mua hàng, Nhà cung cấp</w:t>
            </w:r>
          </w:p>
        </w:tc>
      </w:tr>
      <w:tr>
        <w:tc>
          <w:tcPr>
            <w:tcW w:type="dxa" w:w="3010"/>
            <w:tcMar>
              <w:top w:w="100" w:type="dxa"/>
              <w:bottom w:w="100" w:type="dxa"/>
              <w:left w:w="150" w:type="dxa"/>
              <w:right w:w="150" w:type="dxa"/>
            </w:tcMar>
          </w:tcPr>
          <w:p>
            <w:r>
              <w:rPr>
                <w:b/>
              </w:rPr>
              <w:t>5. INTERNAL PO (IPO)</w:t>
            </w:r>
          </w:p>
        </w:tc>
        <w:tc>
          <w:tcPr>
            <w:tcW w:type="dxa" w:w="3010"/>
            <w:tcMar>
              <w:top w:w="100" w:type="dxa"/>
              <w:bottom w:w="100" w:type="dxa"/>
              <w:left w:w="150" w:type="dxa"/>
              <w:right w:w="150" w:type="dxa"/>
            </w:tcMar>
          </w:tcPr>
          <w:p>
            <w:r>
              <w:t>Thiết lập đơn mua hàng nội bộ chi tiết, trình phê duyệt đa cấp và quản lý lịch sử biến động theo phiên bản.</w:t>
            </w:r>
          </w:p>
        </w:tc>
        <w:tc>
          <w:tcPr>
            <w:tcW w:type="dxa" w:w="3010"/>
            <w:tcMar>
              <w:top w:w="100" w:type="dxa"/>
              <w:bottom w:w="100" w:type="dxa"/>
              <w:left w:w="150" w:type="dxa"/>
              <w:right w:w="150" w:type="dxa"/>
            </w:tcMar>
          </w:tcPr>
          <w:p>
            <w:r>
              <w:t>Phòng Mua hàng, Ban Giám đốc</w:t>
            </w:r>
          </w:p>
        </w:tc>
      </w:tr>
      <w:tr>
        <w:tc>
          <w:tcPr>
            <w:tcW w:type="dxa" w:w="3010"/>
            <w:tcMar>
              <w:top w:w="100" w:type="dxa"/>
              <w:bottom w:w="100" w:type="dxa"/>
              <w:left w:w="150" w:type="dxa"/>
              <w:right w:w="150" w:type="dxa"/>
            </w:tcMar>
            <w:shd w:val="clear" w:color="auto" w:fill="F2F6FA"/>
          </w:tcPr>
          <w:p>
            <w:r>
              <w:rPr>
                <w:b/>
              </w:rPr>
              <w:t>6. WAREHOUSE MANAGEMENT</w:t>
            </w:r>
          </w:p>
        </w:tc>
        <w:tc>
          <w:tcPr>
            <w:tcW w:type="dxa" w:w="3010"/>
            <w:tcMar>
              <w:top w:w="100" w:type="dxa"/>
              <w:bottom w:w="100" w:type="dxa"/>
              <w:left w:w="150" w:type="dxa"/>
              <w:right w:w="150" w:type="dxa"/>
            </w:tcMar>
            <w:shd w:val="clear" w:color="auto" w:fill="F2F6FA"/>
          </w:tcPr>
          <w:p>
            <w:r>
              <w:t>Kiểm đếm nhận hàng, chấm bộ lọc QC đầu vào, quản lý xuất kho bộ phận, theo dõi tồn kho và lập phiếu trả hàng lỗi.</w:t>
            </w:r>
          </w:p>
        </w:tc>
        <w:tc>
          <w:tcPr>
            <w:tcW w:type="dxa" w:w="3010"/>
            <w:tcMar>
              <w:top w:w="100" w:type="dxa"/>
              <w:bottom w:w="100" w:type="dxa"/>
              <w:left w:w="150" w:type="dxa"/>
              <w:right w:w="150" w:type="dxa"/>
            </w:tcMar>
            <w:shd w:val="clear" w:color="auto" w:fill="F2F6FA"/>
          </w:tcPr>
          <w:p>
            <w:r>
              <w:t>Nhân viên Kho, Trưởng bộ phận</w:t>
            </w:r>
          </w:p>
        </w:tc>
      </w:tr>
      <w:tr>
        <w:tc>
          <w:tcPr>
            <w:tcW w:type="dxa" w:w="3010"/>
            <w:tcMar>
              <w:top w:w="100" w:type="dxa"/>
              <w:bottom w:w="100" w:type="dxa"/>
              <w:left w:w="150" w:type="dxa"/>
              <w:right w:w="150" w:type="dxa"/>
            </w:tcMar>
          </w:tcPr>
          <w:p>
            <w:r>
              <w:rPr>
                <w:b/>
              </w:rPr>
              <w:t>7. INVOICE &amp; MATCHING</w:t>
            </w:r>
          </w:p>
        </w:tc>
        <w:tc>
          <w:tcPr>
            <w:tcW w:type="dxa" w:w="3010"/>
            <w:tcMar>
              <w:top w:w="100" w:type="dxa"/>
              <w:bottom w:w="100" w:type="dxa"/>
              <w:left w:w="150" w:type="dxa"/>
              <w:right w:w="150" w:type="dxa"/>
            </w:tcMar>
          </w:tcPr>
          <w:p>
            <w:r>
              <w:t>Ghi nhận hóa đơn tài chính của NCC. Thực hiện chạy đối soát 3 chiều tự động đưa ra cảnh báo sai lệch.</w:t>
            </w:r>
          </w:p>
        </w:tc>
        <w:tc>
          <w:tcPr>
            <w:tcW w:type="dxa" w:w="3010"/>
            <w:tcMar>
              <w:top w:w="100" w:type="dxa"/>
              <w:bottom w:w="100" w:type="dxa"/>
              <w:left w:w="150" w:type="dxa"/>
              <w:right w:w="150" w:type="dxa"/>
            </w:tcMar>
          </w:tcPr>
          <w:p>
            <w:r>
              <w:t>Phòng Mua hàng, Kế toán</w:t>
            </w:r>
          </w:p>
        </w:tc>
      </w:tr>
      <w:tr>
        <w:tc>
          <w:tcPr>
            <w:tcW w:type="dxa" w:w="3010"/>
            <w:tcMar>
              <w:top w:w="100" w:type="dxa"/>
              <w:bottom w:w="100" w:type="dxa"/>
              <w:left w:w="150" w:type="dxa"/>
              <w:right w:w="150" w:type="dxa"/>
            </w:tcMar>
            <w:shd w:val="clear" w:color="auto" w:fill="F2F6FA"/>
          </w:tcPr>
          <w:p>
            <w:r>
              <w:rPr>
                <w:b/>
              </w:rPr>
              <w:t>8. EVALUATION &amp; AUDIT</w:t>
            </w:r>
          </w:p>
        </w:tc>
        <w:tc>
          <w:tcPr>
            <w:tcW w:type="dxa" w:w="3010"/>
            <w:tcMar>
              <w:top w:w="100" w:type="dxa"/>
              <w:bottom w:w="100" w:type="dxa"/>
              <w:left w:w="150" w:type="dxa"/>
              <w:right w:w="150" w:type="dxa"/>
            </w:tcMar>
            <w:shd w:val="clear" w:color="auto" w:fill="F2F6FA"/>
          </w:tcPr>
          <w:p>
            <w:r>
              <w:t>Tự động chấm điểm hiệu năng nhà cung cấp định kỳ. Lưu vết log hoạt động toàn hệ thống chống can thiệp.</w:t>
            </w:r>
          </w:p>
        </w:tc>
        <w:tc>
          <w:tcPr>
            <w:tcW w:type="dxa" w:w="3010"/>
            <w:tcMar>
              <w:top w:w="100" w:type="dxa"/>
              <w:bottom w:w="100" w:type="dxa"/>
              <w:left w:w="150" w:type="dxa"/>
              <w:right w:w="150" w:type="dxa"/>
            </w:tcMar>
            <w:shd w:val="clear" w:color="auto" w:fill="F2F6FA"/>
          </w:tcPr>
          <w:p>
            <w:r>
              <w:t>Kế toán, Ban Giám đốc / Hệ thống</w:t>
            </w:r>
          </w:p>
        </w:tc>
      </w:tr>
    </w:tbl>
    <w:p>
      <w:pPr>
        <w:spacing w:after="240"/>
      </w:pPr>
    </w:p>
    <w:p>
      <w:r>
        <w:rPr>
          <w:b/>
        </w:rPr>
        <w:t>2.2 Ma trận phân quyền vai trò người dùng</w:t>
        <w:br/>
      </w:r>
      <w:r>
        <w:t>Hệ thống cấu hình phân quyền theo vai trò (Role-Based Access Control). Chi tiết đặc quyền thao tác dữ liệu được quy định:</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010"/>
        <w:gridCol w:w="3010"/>
        <w:gridCol w:w="3010"/>
      </w:tblGrid>
      <w:tr>
        <w:tc>
          <w:tcPr>
            <w:tcW w:type="dxa" w:w="3010"/>
            <w:shd w:val="clear" w:color="auto" w:fill="1F4E79"/>
            <w:tcMar>
              <w:top w:w="120" w:type="dxa"/>
              <w:bottom w:w="120" w:type="dxa"/>
              <w:left w:w="150" w:type="dxa"/>
              <w:right w:w="150" w:type="dxa"/>
            </w:tcMar>
          </w:tcPr>
          <w:p>
            <w:pPr>
              <w:jc w:val="center"/>
            </w:pPr>
            <w:r>
              <w:rPr>
                <w:b/>
                <w:color w:val="FFFFFF"/>
              </w:rPr>
              <w:t>Vai trò (Role)</w:t>
            </w:r>
          </w:p>
        </w:tc>
        <w:tc>
          <w:tcPr>
            <w:tcW w:type="dxa" w:w="3010"/>
            <w:shd w:val="clear" w:color="auto" w:fill="1F4E79"/>
            <w:tcMar>
              <w:top w:w="120" w:type="dxa"/>
              <w:bottom w:w="120" w:type="dxa"/>
              <w:left w:w="150" w:type="dxa"/>
              <w:right w:w="150" w:type="dxa"/>
            </w:tcMar>
          </w:tcPr>
          <w:p>
            <w:pPr>
              <w:jc w:val="center"/>
            </w:pPr>
            <w:r>
              <w:rPr>
                <w:b/>
                <w:color w:val="FFFFFF"/>
              </w:rPr>
              <w:t>Phạm vi dữ liệu được phép tiếp cận</w:t>
            </w:r>
          </w:p>
        </w:tc>
        <w:tc>
          <w:tcPr>
            <w:tcW w:type="dxa" w:w="3010"/>
            <w:shd w:val="clear" w:color="auto" w:fill="1F4E79"/>
            <w:tcMar>
              <w:top w:w="120" w:type="dxa"/>
              <w:bottom w:w="120" w:type="dxa"/>
              <w:left w:w="150" w:type="dxa"/>
              <w:right w:w="150" w:type="dxa"/>
            </w:tcMar>
          </w:tcPr>
          <w:p>
            <w:pPr>
              <w:jc w:val="center"/>
            </w:pPr>
            <w:r>
              <w:rPr>
                <w:b/>
                <w:color w:val="FFFFFF"/>
              </w:rPr>
              <w:t>Quyền hạn cốt lõi trên hệ thống</w:t>
            </w:r>
          </w:p>
        </w:tc>
      </w:tr>
      <w:tr>
        <w:tc>
          <w:tcPr>
            <w:tcW w:type="dxa" w:w="3010"/>
            <w:tcMar>
              <w:top w:w="100" w:type="dxa"/>
              <w:bottom w:w="100" w:type="dxa"/>
              <w:left w:w="150" w:type="dxa"/>
              <w:right w:w="150" w:type="dxa"/>
            </w:tcMar>
          </w:tcPr>
          <w:p>
            <w:r>
              <w:rPr>
                <w:b/>
              </w:rPr>
              <w:t>Trưởng bộ phận</w:t>
              <w:br/>
              <w:t>(Sản xuất / Văn phòng)</w:t>
            </w:r>
          </w:p>
        </w:tc>
        <w:tc>
          <w:tcPr>
            <w:tcW w:type="dxa" w:w="3010"/>
            <w:tcMar>
              <w:top w:w="100" w:type="dxa"/>
              <w:bottom w:w="100" w:type="dxa"/>
              <w:left w:w="150" w:type="dxa"/>
              <w:right w:w="150" w:type="dxa"/>
            </w:tcMar>
          </w:tcPr>
          <w:p>
            <w:r>
              <w:t>Chỉ xem dữ liệu thuộc phòng ban và chi nhánh của mình phụ trách.</w:t>
            </w:r>
          </w:p>
        </w:tc>
        <w:tc>
          <w:tcPr>
            <w:tcW w:type="dxa" w:w="3010"/>
            <w:tcMar>
              <w:top w:w="100" w:type="dxa"/>
              <w:bottom w:w="100" w:type="dxa"/>
              <w:left w:w="150" w:type="dxa"/>
              <w:right w:w="150" w:type="dxa"/>
            </w:tcMar>
          </w:tcPr>
          <w:p>
            <w:r>
              <w:t>Tạo và hủy PR; Xác nhận chất lượng hàng xuất kho sử dụng nội bộ.</w:t>
            </w:r>
          </w:p>
        </w:tc>
      </w:tr>
      <w:tr>
        <w:tc>
          <w:tcPr>
            <w:tcW w:type="dxa" w:w="3010"/>
            <w:tcMar>
              <w:top w:w="100" w:type="dxa"/>
              <w:bottom w:w="100" w:type="dxa"/>
              <w:left w:w="150" w:type="dxa"/>
              <w:right w:w="150" w:type="dxa"/>
            </w:tcMar>
            <w:shd w:val="clear" w:color="auto" w:fill="F2F6FA"/>
          </w:tcPr>
          <w:p>
            <w:r>
              <w:rPr>
                <w:b/>
              </w:rPr>
              <w:t>Nhân viên Mua hàng</w:t>
              <w:br/>
              <w:t>(Procurement Officer)</w:t>
            </w:r>
          </w:p>
        </w:tc>
        <w:tc>
          <w:tcPr>
            <w:tcW w:type="dxa" w:w="3010"/>
            <w:tcMar>
              <w:top w:w="100" w:type="dxa"/>
              <w:bottom w:w="100" w:type="dxa"/>
              <w:left w:w="150" w:type="dxa"/>
              <w:right w:w="150" w:type="dxa"/>
            </w:tcMar>
            <w:shd w:val="clear" w:color="auto" w:fill="F2F6FA"/>
          </w:tcPr>
          <w:p>
            <w:r>
              <w:t>Xem toàn bộ dữ liệu PR toàn công ty; xem danh mục vật tư, NCC, báo giá và IPO.</w:t>
            </w:r>
          </w:p>
        </w:tc>
        <w:tc>
          <w:tcPr>
            <w:tcW w:type="dxa" w:w="3010"/>
            <w:tcMar>
              <w:top w:w="100" w:type="dxa"/>
              <w:bottom w:w="100" w:type="dxa"/>
              <w:left w:w="150" w:type="dxa"/>
              <w:right w:w="150" w:type="dxa"/>
            </w:tcMar>
            <w:shd w:val="clear" w:color="auto" w:fill="F2F6FA"/>
          </w:tcPr>
          <w:p>
            <w:r>
              <w:t>Gom Cart, điều phối tạo Order, gửi yêu cầu báo giá, lập IPO, tạo Invoice và hồ sơ thanh toán.</w:t>
            </w:r>
          </w:p>
        </w:tc>
      </w:tr>
      <w:tr>
        <w:tc>
          <w:tcPr>
            <w:tcW w:type="dxa" w:w="3010"/>
            <w:tcMar>
              <w:top w:w="100" w:type="dxa"/>
              <w:bottom w:w="100" w:type="dxa"/>
              <w:left w:w="150" w:type="dxa"/>
              <w:right w:w="150" w:type="dxa"/>
            </w:tcMar>
          </w:tcPr>
          <w:p>
            <w:r>
              <w:rPr>
                <w:b/>
              </w:rPr>
              <w:t>Nhân viên Kho</w:t>
              <w:br/>
              <w:t>(Warehouse Keeper)</w:t>
            </w:r>
          </w:p>
        </w:tc>
        <w:tc>
          <w:tcPr>
            <w:tcW w:type="dxa" w:w="3010"/>
            <w:tcMar>
              <w:top w:w="100" w:type="dxa"/>
              <w:bottom w:w="100" w:type="dxa"/>
              <w:left w:w="150" w:type="dxa"/>
              <w:right w:w="150" w:type="dxa"/>
            </w:tcMar>
          </w:tcPr>
          <w:p>
            <w:r>
              <w:t>Xem thông tin vật tư, chi tiết số lượng của Đơn mua hàng (Order/IPO) liên quan.</w:t>
            </w:r>
          </w:p>
        </w:tc>
        <w:tc>
          <w:tcPr>
            <w:tcW w:type="dxa" w:w="3010"/>
            <w:tcMar>
              <w:top w:w="100" w:type="dxa"/>
              <w:bottom w:w="100" w:type="dxa"/>
              <w:left w:w="150" w:type="dxa"/>
              <w:right w:w="150" w:type="dxa"/>
            </w:tcMar>
          </w:tcPr>
          <w:p>
            <w:r>
              <w:t>Tạo phiếu nhập kho, phân loại số lượng đạt/lỗi sau QC, tạo phiếu xuất kho cấp phát vật tư.</w:t>
            </w:r>
          </w:p>
        </w:tc>
      </w:tr>
      <w:tr>
        <w:tc>
          <w:tcPr>
            <w:tcW w:type="dxa" w:w="3010"/>
            <w:tcMar>
              <w:top w:w="100" w:type="dxa"/>
              <w:bottom w:w="100" w:type="dxa"/>
              <w:left w:w="150" w:type="dxa"/>
              <w:right w:w="150" w:type="dxa"/>
            </w:tcMar>
            <w:shd w:val="clear" w:color="auto" w:fill="F2F6FA"/>
          </w:tcPr>
          <w:p>
            <w:r>
              <w:rPr>
                <w:b/>
              </w:rPr>
              <w:t>Kế toán</w:t>
              <w:br/>
              <w:t>(Accountant)</w:t>
            </w:r>
          </w:p>
        </w:tc>
        <w:tc>
          <w:tcPr>
            <w:tcW w:type="dxa" w:w="3010"/>
            <w:tcMar>
              <w:top w:w="100" w:type="dxa"/>
              <w:bottom w:w="100" w:type="dxa"/>
              <w:left w:w="150" w:type="dxa"/>
              <w:right w:w="150" w:type="dxa"/>
            </w:tcMar>
            <w:shd w:val="clear" w:color="auto" w:fill="F2F6FA"/>
          </w:tcPr>
          <w:p>
            <w:r>
              <w:t>Tiếp cận toàn bộ thông tin giá mua, hợp đồng khung, hóa đơn, kết quả đối soát và lịch sử thanh toán.</w:t>
            </w:r>
          </w:p>
        </w:tc>
        <w:tc>
          <w:tcPr>
            <w:tcW w:type="dxa" w:w="3010"/>
            <w:tcMar>
              <w:top w:w="100" w:type="dxa"/>
              <w:bottom w:w="100" w:type="dxa"/>
              <w:left w:w="150" w:type="dxa"/>
              <w:right w:w="150" w:type="dxa"/>
            </w:tcMar>
            <w:shd w:val="clear" w:color="auto" w:fill="F2F6FA"/>
          </w:tcPr>
          <w:p>
            <w:r>
              <w:t>Xem chi tiết giá, phê duyệt kết quả đối soát 3 chiều, thực hiện ghi nhận thanh toán, export tệp số liệu kế toán.</w:t>
            </w:r>
          </w:p>
        </w:tc>
      </w:tr>
      <w:tr>
        <w:tc>
          <w:tcPr>
            <w:tcW w:type="dxa" w:w="3010"/>
            <w:tcMar>
              <w:top w:w="100" w:type="dxa"/>
              <w:bottom w:w="100" w:type="dxa"/>
              <w:left w:w="150" w:type="dxa"/>
              <w:right w:w="150" w:type="dxa"/>
            </w:tcMar>
          </w:tcPr>
          <w:p>
            <w:r>
              <w:rPr>
                <w:b/>
              </w:rPr>
              <w:t>Ban Giám Đốc</w:t>
              <w:br/>
              <w:t>(Director / GD)</w:t>
            </w:r>
          </w:p>
        </w:tc>
        <w:tc>
          <w:tcPr>
            <w:tcW w:type="dxa" w:w="3010"/>
            <w:tcMar>
              <w:top w:w="100" w:type="dxa"/>
              <w:bottom w:w="100" w:type="dxa"/>
              <w:left w:w="150" w:type="dxa"/>
              <w:right w:w="150" w:type="dxa"/>
            </w:tcMar>
          </w:tcPr>
          <w:p>
            <w:r>
              <w:t>Xem toàn bộ báo cáo, biểu đồ, danh mục và lịch sử giao dịch toàn hệ thống.</w:t>
            </w:r>
          </w:p>
        </w:tc>
        <w:tc>
          <w:tcPr>
            <w:tcW w:type="dxa" w:w="3010"/>
            <w:tcMar>
              <w:top w:w="100" w:type="dxa"/>
              <w:bottom w:w="100" w:type="dxa"/>
              <w:left w:w="150" w:type="dxa"/>
              <w:right w:w="150" w:type="dxa"/>
            </w:tcMar>
          </w:tcPr>
          <w:p>
            <w:r>
              <w:t>Đặc quyền phê duyệt tối cao đối với PR Khẩn, duyệt phát hành IPO mọi phiên bản, ghi đè lỗi đối soát.</w:t>
            </w:r>
          </w:p>
        </w:tc>
      </w:tr>
    </w:tbl>
    <w:p>
      <w:r>
        <w:br w:type="page"/>
      </w:r>
    </w:p>
    <w:p>
      <w:pPr>
        <w:pStyle w:val="Heading1"/>
        <w:keepNext/>
        <w:spacing w:before="320" w:after="120"/>
      </w:pPr>
      <w:r>
        <w:rPr>
          <w:rFonts w:ascii="Arial" w:hAnsi="Arial"/>
          <w:b/>
          <w:color w:val="1F4E79"/>
          <w:sz w:val="32"/>
        </w:rPr>
        <w:t>3. Đặc tả chi tiết quy trình nghiệp vụ cốt lõi (v2.0)</w:t>
      </w:r>
    </w:p>
    <w:p>
      <w:pPr>
        <w:pStyle w:val="Heading2"/>
        <w:keepNext/>
        <w:spacing w:before="320" w:after="120"/>
      </w:pPr>
      <w:r>
        <w:rPr>
          <w:rFonts w:ascii="Arial" w:hAnsi="Arial"/>
          <w:b/>
          <w:color w:val="5C8FBA"/>
          <w:sz w:val="26"/>
        </w:rPr>
        <w:t>3.1 Quy trình Quản lý Yêu cầu mua hàng (PR) Thường &amp; Khẩn cấp</w:t>
      </w:r>
    </w:p>
    <w:p>
      <w:r>
        <w:rPr>
          <w:b/>
        </w:rPr>
        <w:t xml:space="preserve">• Mục tiêu: </w:t>
      </w:r>
      <w:r>
        <w:t>Tiếp nhận nhu cầu vật tư từ các phòng ban, phân loại chính xác độ ưu tiên để áp dụng luồng phê duyệt tối ưu.</w:t>
        <w:br/>
      </w:r>
      <w:r>
        <w:rPr>
          <w:b/>
        </w:rPr>
        <w:t xml:space="preserve">• Tác nhân (Actors): </w:t>
      </w:r>
      <w:r>
        <w:t>Trưởng bộ phận đề xuất, Ban Giám đốc, Nhân viên mua hàng.</w:t>
        <w:br/>
      </w:r>
      <w:r>
        <w:rPr>
          <w:b/>
        </w:rPr>
        <w:t>• Chi tiết các luồng xử lý:</w:t>
        <w:br/>
      </w:r>
      <w:r>
        <w:rPr>
          <w:b/>
        </w:rPr>
        <w:t xml:space="preserve">  1. Thiết lập PR thường (NORMAL): </w:t>
      </w:r>
      <w:r>
        <w:t>Người dùng chọn vật tư từ Master Data (hoặc nhập tự do trường 'Other Material' nếu chưa có mã). Hệ thống bắt buộc nhập Số lượng và Đơn vị tính. Khi khởi tạo, PR mang trạng thái PENDING. Trưởng bộ phận tiến hành phê duyệt duyệt cấp cơ sở trước khi chuyển tiếp thông tin tới Phòng Mua hàng.</w:t>
        <w:br/>
      </w:r>
      <w:r>
        <w:rPr>
          <w:b/>
        </w:rPr>
        <w:t xml:space="preserve">  2. Thiết lập PR khẩn cấp (URGENT): </w:t>
      </w:r>
      <w:r>
        <w:t xml:space="preserve">Áp dụng khi nhà máy thiếu hụt nguyên vật liệu gây đình trệ sản xuất. Người lập đánh dấu chọn cờ Khẩn cấp. Hệ thống lập tức kích hoạt hai trường bắt buộc bổ sung: </w:t>
      </w:r>
      <w:r>
        <w:rPr>
          <w:i/>
        </w:rPr>
        <w:t xml:space="preserve">Lý do khẩn (Urgent Reason) </w:t>
      </w:r>
      <w:r>
        <w:t xml:space="preserve">và </w:t>
      </w:r>
      <w:r>
        <w:rPr>
          <w:i/>
        </w:rPr>
        <w:t xml:space="preserve">Mức độ ảnh hưởng thiệt hại (Urgency Impact). </w:t>
        <w:br/>
      </w:r>
      <w:r>
        <w:rPr>
          <w:b/>
        </w:rPr>
        <w:t xml:space="preserve">  3. Cơ chế Bypass đặc quyền cho PR Khẩn: </w:t>
      </w:r>
      <w:r>
        <w:t>PR Khẩn sau khi Trưởng bộ phận duyệt sẽ đẩy thông báo thời gian thực (In-App và Email) trực tiếp tới Ban Giám đốc. Khi Ban Giám đốc ấn duyệt (APPROVED), hệ thống cho phép Phòng Mua hàng thực hiện bỏ qua hoàn toàn bước gom hàng vào Giỏ hàng tổng (Carting). Nhân viên mua hàng có thể tạo ngay Đơn mua hàng (Order) độc lập hoặc xuất thẳng đơn mua nội bộ (IPO) để tiến hành mua khẩn, tiết kiệm tối đa thời gian chờ gom hàng.</w:t>
        <w:br/>
      </w:r>
      <w:r>
        <w:rPr>
          <w:b/>
        </w:rPr>
        <w:t xml:space="preserve">  4. Kiểm soát lỗi: </w:t>
      </w:r>
      <w:r>
        <w:t>Hệ thống chặn không cho phép duyệt PR nếu số lượng yêu cầu ≤ 0. Lưu vết toàn bộ lịch sử trạng thái tại bảng `PRStatusHistory`.</w:t>
      </w:r>
    </w:p>
    <w:p>
      <w:pPr>
        <w:pStyle w:val="Heading2"/>
        <w:keepNext/>
        <w:spacing w:before="320" w:after="120"/>
      </w:pPr>
      <w:r>
        <w:rPr>
          <w:rFonts w:ascii="Arial" w:hAnsi="Arial"/>
          <w:b/>
          <w:color w:val="5C8FBA"/>
          <w:sz w:val="26"/>
        </w:rPr>
        <w:t>3.2 Quy trình Gom hàng (Carting) &amp; Cổng thu thập báo giá trực tuyến (Quotation Portal)</w:t>
      </w:r>
    </w:p>
    <w:p>
      <w:r>
        <w:rPr>
          <w:b/>
        </w:rPr>
        <w:t xml:space="preserve">• Mục tiêu: </w:t>
      </w:r>
      <w:r>
        <w:t>Tối ưu hóa khối lượng mua hàng để thương lượng giá tốt nhất và số hóa khâu tiếp nhận thông tin đơn giá từ nhà cung cấp.</w:t>
        <w:br/>
      </w:r>
      <w:r>
        <w:rPr>
          <w:b/>
        </w:rPr>
        <w:t xml:space="preserve">• Tác nhân (Actors): </w:t>
      </w:r>
      <w:r>
        <w:t>Nhân viên mua hàng, Nhà cung cấp (NCC).</w:t>
        <w:br/>
      </w:r>
      <w:r>
        <w:rPr>
          <w:b/>
        </w:rPr>
        <w:t>• Chi tiết các luồng xử lý:</w:t>
        <w:br/>
      </w:r>
      <w:r>
        <w:rPr>
          <w:b/>
        </w:rPr>
        <w:t xml:space="preserve">  1. Gom hàng vào Giỏ (Carting): </w:t>
      </w:r>
      <w:r>
        <w:t>Nhân viên mua hàng thực hiện bộ lọc danh sách dòng hàng vật tư từ các PR đã duyệt (lọc theo Nhóm vật tư, Chi nhánh, Ngày yêu cầu). Chọn nhiều dòng hàng PR đưa vào một Giỏ hàng (`Cart`). Hệ thống tự động tính lũy tiến tổng số lượng đặt mua của từng mã vật tư để tạo đơn mua tổng quát (`Orders`).</w:t>
        <w:br/>
      </w:r>
      <w:r>
        <w:rPr>
          <w:b/>
        </w:rPr>
        <w:t xml:space="preserve">  2. Khởi tạo Token bảo mật báo giá (Quotation Token): </w:t>
      </w:r>
      <w:r>
        <w:t>Với mỗi NCC được lựa chọn để gửi yêu cầu, hệ thống tự động sinh một mã Token chuỗi ký tự ngẫu nhiên, duy nhất và thiết lập thời gian hết hạn (`Expires at`) chặn theo Deadline báo giá. Token này được mã hóa băm bảo mật tại tầng lưu trữ.</w:t>
        <w:br/>
      </w:r>
      <w:r>
        <w:rPr>
          <w:b/>
        </w:rPr>
        <w:t xml:space="preserve">  3. Số hóa Cổng báo giá (Vendor Portal): </w:t>
      </w:r>
      <w:r>
        <w:t>Hệ thống tự động phát hành email chứa đường dẫn độc bản đính kèm mã Token (Ví dụ: https://procure.domain.com/portal/quote?token=xyz...). NCC nhận thư chỉ cần click trực tiếp vào link để truy cập giao diện Web Portal tối giản mà không cần đăng ký tài khoản hệ thống. Tại đây, NCC thực hiện nhập trực tiếp: Đơn giá, Thời gian giao hàng (Lead-time) và các Ghi chú đi kèm cho từng dòng vật tư được yêu cầu, hoặc tải lên file Excel biểu mẫu. Khi nhấn nút Gửi (Submit), dữ liệu đổ trực tiếp về bảng `Quotations` và `QuotationItems`, đồng thời gửi thông báo nhắc việc cho Nhân viên mua hàng. Hệ thống chặn tuyệt đối không cho chỉnh sửa khi đã quá hạn Deadline hoặc khi đơn mua đã chốt.</w:t>
      </w:r>
    </w:p>
    <w:p>
      <w:pPr>
        <w:pStyle w:val="Heading2"/>
        <w:keepNext/>
        <w:spacing w:before="320" w:after="120"/>
      </w:pPr>
      <w:r>
        <w:rPr>
          <w:rFonts w:ascii="Arial" w:hAnsi="Arial"/>
          <w:b/>
          <w:color w:val="5C8FBA"/>
          <w:sz w:val="26"/>
        </w:rPr>
        <w:t>3.3 Quy trình Thiết lập &amp; Phê duyệt Đơn mua nội bộ (IPO) Đa phiên bản</w:t>
      </w:r>
    </w:p>
    <w:p>
      <w:r>
        <w:rPr>
          <w:b/>
        </w:rPr>
        <w:t xml:space="preserve">• Mục tiêu: </w:t>
      </w:r>
      <w:r>
        <w:t>Ghi nhận phương án mua hàng chính thức, kiểm soát giá mua so với hợp đồng khung và lưu vết biến động tài chính.</w:t>
        <w:br/>
      </w:r>
      <w:r>
        <w:rPr>
          <w:b/>
        </w:rPr>
        <w:t xml:space="preserve">• Tác nhân (Actors): </w:t>
      </w:r>
      <w:r>
        <w:t>Nhân viên mua hàng, Ban Giám đốc.</w:t>
        <w:br/>
      </w:r>
      <w:r>
        <w:rPr>
          <w:b/>
        </w:rPr>
        <w:t>• Chi tiết các luồng xử lý:</w:t>
        <w:br/>
      </w:r>
      <w:r>
        <w:rPr>
          <w:b/>
        </w:rPr>
        <w:t xml:space="preserve">  1. Tạo IPO từ báo giá tối ưu: </w:t>
      </w:r>
      <w:r>
        <w:t>Nhân viên mua hàng chọn báo giá phù hợp nhất từ cổng Portal, hệ thống tự động trích xuất thông tin tạo Đơn mua nội bộ (`IPOs`) ở trạng thái DRAFT (Phiên bản đầu tiên `version = 1`, đặt cờ `is_latest = 1`). Hệ thống tự động đối chiếu đơn giá đề xuất với Bảng giá thỏa thuận trong Hợp đồng khung (`SupplierContractPrices`). Nếu có sai lệch tăng, hệ thống tô màu đỏ cảnh báo trực quan.</w:t>
        <w:br/>
      </w:r>
      <w:r>
        <w:rPr>
          <w:b/>
        </w:rPr>
        <w:t xml:space="preserve">  2. Quy trình xử lý khi bị Từ chối / Yêu cầu chỉnh sửa: </w:t>
      </w:r>
      <w:r>
        <w:t>Khi trình duyệt, nếu Ban Giám đốc bấm Từ chối (`REJECTED`) và nhập lý do, hoặc Phòng Mua hàng chủ động rút lại để hiệu chỉnh thông tin, hệ thống nghiêm cấm hành vi ghi đè dữ liệu trực tiếp lên bản ghi cũ. Biện pháp xử lý: Hệ thống thực hiện nhân bản cấu trúc IPO hiện tại, hạ cờ phiên bản cũ (`is_latest = 0`), tăng chỉ số phiên bản mới (`version = version + 1`) và đặt cờ `is_latest = 1` cho bản ghi mới này.</w:t>
        <w:br/>
      </w:r>
      <w:r>
        <w:rPr>
          <w:b/>
        </w:rPr>
        <w:t xml:space="preserve">  3. Phê duyệt &amp; Số hóa bản in: </w:t>
      </w:r>
      <w:r>
        <w:t>Ban Giám đốc tiến hành duyệt phiên bản IPO mới nhất. Sau khi đạt trạng thái APPROVED, hệ thống kết xuất file PDF chính thức chứa đầy đủ chữ ký số hoặc mã QR định danh phục vụ in ấn, trình ký vật lý, quét scan lưu trữ ngược lại trường `signed_pdf_path` để chốt luồng tài chính mua hàng.</w:t>
      </w:r>
    </w:p>
    <w:p>
      <w:pPr>
        <w:pStyle w:val="Heading2"/>
        <w:keepNext/>
        <w:spacing w:before="320" w:after="120"/>
      </w:pPr>
      <w:r>
        <w:rPr>
          <w:rFonts w:ascii="Arial" w:hAnsi="Arial"/>
          <w:b/>
          <w:color w:val="5C8FBA"/>
          <w:sz w:val="26"/>
        </w:rPr>
        <w:t>3.4 Quy trình Kho vận nâng cao: Nhập kho đối soát QC, Cấp phát &amp; Hoàn trả lỗi</w:t>
      </w:r>
    </w:p>
    <w:p>
      <w:r>
        <w:rPr>
          <w:b/>
        </w:rPr>
        <w:t xml:space="preserve">• Mục tiêu: </w:t>
      </w:r>
      <w:r>
        <w:t>Kiểm soát chặt chẽ số lượng, chất lượng vật tư đưa vào chuỗi sản xuất và xử lý dứt điểm hàng lỗi đầu vào.</w:t>
        <w:br/>
      </w:r>
      <w:r>
        <w:rPr>
          <w:b/>
        </w:rPr>
        <w:t xml:space="preserve">• Tác nhân (Actors): </w:t>
      </w:r>
      <w:r>
        <w:t>Nhân viên Kho, Trưởng bộ phận sử dụng, Nhà cung cấp.</w:t>
        <w:br/>
      </w:r>
      <w:r>
        <w:rPr>
          <w:b/>
        </w:rPr>
        <w:t>• Chi tiết các luồng xử lý:</w:t>
        <w:br/>
      </w:r>
      <w:r>
        <w:rPr>
          <w:b/>
        </w:rPr>
        <w:t xml:space="preserve">  1. Nhập kho và bộ lọc phân loại QC (Quality Control): </w:t>
      </w:r>
      <w:r>
        <w:t xml:space="preserve">Khi hàng về, Nhân viên kho mở Phiếu nhập kho (`StockReceipts`) liên kết mã đối ứng IPO. Khi nhập dữ liệu thực tế tại bảng chi tiết, nhân viên bắt buộc phải kiểm đếm và điền đầy đủ 4 trường định lượng độc lập: </w:t>
      </w:r>
      <w:r>
        <w:rPr>
          <w:i/>
        </w:rPr>
        <w:t xml:space="preserve">Số lượng đặt mua (Qty Ordered), Số lượng thực nhận giao tới (Qty Received), Số lượng đạt chuẩn sau kiểm định (Qty Passed) </w:t>
      </w:r>
      <w:r>
        <w:t xml:space="preserve">và </w:t>
      </w:r>
      <w:r>
        <w:rPr>
          <w:i/>
        </w:rPr>
        <w:t xml:space="preserve">Số lượng lỗi, không đạt chuẩn (Qty Failed). </w:t>
      </w:r>
      <w:r>
        <w:t>Đồng thời, nếu xuất hiện số lượng lỗi (`Qty Failed &gt; 0`), hệ thống bắt buộc nhân viên kho phải chụp ảnh hiện trạng và tải lên trường `photo_paths` làm bằng chứng pháp lý.</w:t>
        <w:br/>
      </w:r>
      <w:r>
        <w:rPr>
          <w:b/>
        </w:rPr>
        <w:t xml:space="preserve">  2. Cập nhật số lượng tồn kho tự động: </w:t>
      </w:r>
      <w:r>
        <w:t>Hệ thống tự động cộng lũy tiến số lượng vào bảng `Inventory` tại Chi nhánh tương ứng theo quy tắc: Tồn kho thực tế (`qty_on_hand`) tăng thêm một lượng bằng `Qty Received`; Tồn kho khả dụng đưa vào sản xuất (`qty_available`) tăng một lượng bằng `Qty Passed`; và lượng hàng lỗi chờ xử lý đưa vào kho cách ly (`qty_quarantine`) tăng một lượng bằng `Qty Failed`.</w:t>
        <w:br/>
      </w:r>
      <w:r>
        <w:rPr>
          <w:b/>
        </w:rPr>
        <w:t xml:space="preserve">  3. Cấp phát xuất kho bộ phận: </w:t>
      </w:r>
      <w:r>
        <w:t>Dựa trên PR gốc, kho lập Phiếu xuất kho (`StockIssues`). Khi Trưởng bộ phận nhận hàng, họ thực hiện chấm điểm chất lượng vật tư thực tế (thang điểm từ 1-5 sao) và ghi nhận đánh giá tại trường `quality_rating` nhằm thu thập dữ liệu phục vụ xếp hạng NCC tự động.</w:t>
        <w:br/>
      </w:r>
      <w:r>
        <w:rPr>
          <w:b/>
        </w:rPr>
        <w:t xml:space="preserve">  4. Lập phiếu trả hàng NCC (Return Order): </w:t>
      </w:r>
      <w:r>
        <w:t>Đối với lượng hàng tại kho cách ly (`qty_quarantine`), Nhân viên kho thiết lập Phiếu trả hàng (`ReturnOrders`), đính kèm link bằng chứng hình ảnh lỗi gửi NCC yêu cầu thu hồi. Trạng thái phiếu được theo dõi chặt chẽ từ DRAFT -&gt; SENT -&gt; RESOLVED.</w:t>
      </w:r>
    </w:p>
    <w:p>
      <w:pPr>
        <w:pStyle w:val="Heading2"/>
        <w:keepNext/>
        <w:spacing w:before="320" w:after="120"/>
      </w:pPr>
      <w:r>
        <w:rPr>
          <w:rFonts w:ascii="Arial" w:hAnsi="Arial"/>
          <w:b/>
          <w:color w:val="5C8FBA"/>
          <w:sz w:val="26"/>
        </w:rPr>
        <w:t>3.5 Quy trình Nhập hóa đơn &amp; Đối soát 3 chiều tự động (Three-way Matching)</w:t>
      </w:r>
    </w:p>
    <w:p>
      <w:r>
        <w:rPr>
          <w:b/>
        </w:rPr>
        <w:t xml:space="preserve">• Mục tiêu: </w:t>
      </w:r>
      <w:r>
        <w:t>Đảm bảo doanh nghiệp chỉ thanh toán đúng giá trị hàng hóa thực nhận đạt chuẩn, phòng ngừa gian lận tài chính.</w:t>
        <w:br/>
      </w:r>
      <w:r>
        <w:rPr>
          <w:b/>
        </w:rPr>
        <w:t xml:space="preserve">• Tác nhân (Actors): </w:t>
      </w:r>
      <w:r>
        <w:t>Phòng Mua hàng, Kế toán, Giám đốc duyệt bypass.</w:t>
        <w:br/>
      </w:r>
      <w:r>
        <w:rPr>
          <w:b/>
        </w:rPr>
        <w:t>• Chi tiết các luồng xử lý:</w:t>
        <w:br/>
      </w:r>
      <w:r>
        <w:rPr>
          <w:b/>
        </w:rPr>
        <w:t xml:space="preserve">  1. Ghi nhận Hóa đơn (Invoice): </w:t>
      </w:r>
      <w:r>
        <w:t>Khi NCC gửi hóa đơn tài chính, Nhân viên mua hàng nhập số hóa đơn, ngày phát hành, số tiền trước thuế, tiền thuế VAT và tổng tiền thanh toán vào bảng `Invoices`, đính kèm file đính kèm tệp tin.</w:t>
        <w:br/>
      </w:r>
      <w:r>
        <w:rPr>
          <w:b/>
        </w:rPr>
        <w:t xml:space="preserve">  2. Thuật toán chạy đối soát tự động: </w:t>
      </w:r>
      <w:r>
        <w:t xml:space="preserve">Ngay khi Hóa đơn được lưu, hệ thống tự động kích hoạt tiến trình chạy đối khớp dữ liệu chéo giữa 3 nguồn thông tin độc lập: </w:t>
      </w:r>
      <w:r>
        <w:rPr>
          <w:i/>
        </w:rPr>
        <w:t xml:space="preserve">Đơn mua hàng chốt (IPO) - Phiếu thực nhập kho (Stock Receipt) - Hóa đơn tài chính (Invoice). </w:t>
      </w:r>
      <w:r>
        <w:t xml:space="preserve">Hệ thống kiểm tra sự sai lệch về hai chỉ số: Số lượng (`Quantity`) và Đơn giá (`Unit Price`). Kết quả trả về gồm 2 trạng thái: </w:t>
        <w:br/>
      </w:r>
      <w:r>
        <w:rPr>
          <w:b/>
        </w:rPr>
        <w:t xml:space="preserve">    - MATCHED: </w:t>
      </w:r>
      <w:r>
        <w:t>Nếu mức độ chênh lệch nằm trong biên độ cấu hình cho phép tại `SystemConfigs` (Mặc định là 0%). Đơn hàng đủ điều kiện chuyển sang Module Thanh toán.</w:t>
        <w:br/>
      </w:r>
      <w:r>
        <w:rPr>
          <w:b/>
        </w:rPr>
        <w:t xml:space="preserve">    - MISMATCHED: </w:t>
      </w:r>
      <w:r>
        <w:t>Nếu phát hiện bất kỳ sai lệch nào (Ví dụ: Số lượng trên hóa đơn lớn hơn số lượng kho thực nhập `Qty Received`, hoặc đơn giá hóa đơn cao hơn đơn giá IPO chốt). Hệ thống lập tức khóa đơn hàng, tô màu đỏ cảnh báo toàn cục và ngăn chặn không cho phép lập Yêu cầu thanh toán.</w:t>
        <w:br/>
      </w:r>
      <w:r>
        <w:rPr>
          <w:b/>
        </w:rPr>
        <w:t xml:space="preserve">  3. Luồng xử lý sai lệch (Override Luồng): </w:t>
      </w:r>
      <w:r>
        <w:t>Để mở khóa đơn hàng `MISMATCHED`, hệ thống cung cấp 2 giải pháp kiểm soát: Một là Kế toán liên hệ NCC phát hành Hóa đơn điều chỉnh hoặc Ghi nhận giảm trừ công nợ (`Credit Note`) liên kết trực tiếp để khấu trừ phần chênh lệch. Hai là trường hợp bất khả kháng, Ban Giám đốc có thể sử dụng đặc quyền Ghi đè phê duyệt thủ công (`Override Match`), hệ thống bắt buộc phải nhập rõ Lý do giải trình tại trường `override_note` và lưu vết định danh tài khoản người duyệt bypass để phục vụ kiểm toán sau này.</w:t>
      </w:r>
    </w:p>
    <w:p>
      <w:r>
        <w:br w:type="page"/>
      </w:r>
    </w:p>
    <w:p>
      <w:pPr>
        <w:pStyle w:val="Heading1"/>
        <w:keepNext/>
        <w:spacing w:before="320" w:after="120"/>
      </w:pPr>
      <w:r>
        <w:rPr>
          <w:rFonts w:ascii="Arial" w:hAnsi="Arial"/>
          <w:b/>
          <w:color w:val="1F4E79"/>
          <w:sz w:val="32"/>
        </w:rPr>
        <w:t>4. Yêu cầu phi chức năng &amp; Bảo mật hệ thống</w:t>
      </w:r>
    </w:p>
    <w:p>
      <w:r>
        <w:rPr>
          <w:b/>
        </w:rPr>
        <w:t>4.1 An toàn bảo mật thông tin &amp; Toàn vẹn dữ liệu</w:t>
        <w:br/>
      </w:r>
      <w:r>
        <w:rPr>
          <w:b/>
        </w:rPr>
        <w:t xml:space="preserve">• Bảo mật Token Cổng báo giá: </w:t>
      </w:r>
      <w:r>
        <w:t>Mã Token phát hành cho Nhà cung cấp phải được băm bảo mật bằng thuật toán SHA-256 trước khi ghi xuống cơ sở dữ liệu để phòng ngừa rò rỉ dữ liệu báo giá cạnh tranh. Đường dẫn liên kết chỉ được phép sử dụng giao thức bảo mật mã hóa HTTPS.</w:t>
        <w:br/>
      </w:r>
      <w:r>
        <w:rPr>
          <w:b/>
        </w:rPr>
        <w:t xml:space="preserve">• Mã hóa mật khẩu người dùng: </w:t>
      </w:r>
      <w:r>
        <w:t>Toàn bộ mật khẩu của tài khoản Users nội bộ phải được băm bằng thuật toán BCrypt cường độ cao. Hệ thống kích hoạt cơ chế khóa tài khoản tạm thời (`locked_until`) trong 30 phút nếu người dùng nhập sai mật khẩu liên tiếp vượt quá 5 lần (`login_fail_count &gt; 5`).</w:t>
        <w:br/>
      </w:r>
      <w:r>
        <w:rPr>
          <w:b/>
        </w:rPr>
        <w:t xml:space="preserve">• Chống sửa đổi Log hệ thống (Audit Trail): </w:t>
      </w:r>
      <w:r>
        <w:t>Bảng `AuditLogs` thiết lập cấu hình đặc biệt chỉ cho phép thực hiện thao tác ghi thêm (`INSERT-only`), chặn tuyệt đối các lệnh chỉnh sửa (`UPDATE`) hoặc xóa (`DELETE`) dữ liệu log từ tầng ứng dụng phần mềm.</w:t>
      </w:r>
    </w:p>
    <w:p>
      <w:r>
        <w:rPr>
          <w:b/>
        </w:rPr>
        <w:t>4.2 Hiệu năng vận hành &amp; Trải nghiệm người dùng</w:t>
        <w:br/>
      </w:r>
      <w:r>
        <w:rPr>
          <w:b/>
        </w:rPr>
        <w:t xml:space="preserve">• Tốc độ phản hồi: </w:t>
      </w:r>
      <w:r>
        <w:t>Hệ thống phải đảm bảo thời gian phản hồi đối với các tác vụ truy vấn dữ liệu thông thường, tìm kiếm danh mục vật tư dưới 500ms. Tiến trình tự động chạy thuật toán Đối soát 3 chiều phức tạp phải hoàn tất xử lý dưới 2 giây.</w:t>
        <w:br/>
      </w:r>
      <w:r>
        <w:rPr>
          <w:b/>
        </w:rPr>
        <w:t xml:space="preserve">• Tối ưu hóa tìm kiếm văn bản (Full-Text Search): </w:t>
      </w:r>
      <w:r>
        <w:t>Để hỗ trợ người dùng tìm kiếm nhanh hàng ngàn vật tư trong kho, hệ thống yêu cầu triển khai Full-Text Index trên cơ sở dữ liệu đối với cột tên và mô tả vật tư nhằm tránh nghẽn luồng truy vấn mạng khi sử dụng bộ lọc từ khóa chứa ký tự ở giữa chuỗi (cấm dùng cấu trúc quét toàn bảng `%keyword%` ở tần suất cao).</w:t>
        <w:br/>
      </w:r>
      <w:r>
        <w:rPr>
          <w:b/>
        </w:rPr>
        <w:t xml:space="preserve">• Khả năng chịu tải đồng thời: </w:t>
      </w:r>
      <w:r>
        <w:t>Hệ thống đáp ứng vận hành ổn định với tần suất từ 50 đến 100 người dùng nội bộ tương tác dữ liệu đồng thời trong giờ cao điểm sản xuất tại các nhà máy.</w:t>
      </w:r>
    </w:p>
    <w:p>
      <w:r>
        <w:rPr>
          <w:b/>
        </w:rPr>
        <w:t>4.3 Ràng buộc hạ tầng &amp; Kiến trúc mã nguồn</w:t>
        <w:br/>
      </w:r>
      <w:r>
        <w:rPr>
          <w:b/>
        </w:rPr>
        <w:t xml:space="preserve">• Nền tảng triển khai: </w:t>
      </w:r>
      <w:r>
        <w:t>Ứng dụng chạy trên môi trường điện toán đám mây (Cloud Infrastructure) để đảm bảo tính sẵn sàng cao, sao lưu dữ liệu tự động định kỳ.</w:t>
        <w:br/>
      </w:r>
      <w:r>
        <w:rPr>
          <w:b/>
        </w:rPr>
        <w:t xml:space="preserve">• Công nghệ Backend: </w:t>
      </w:r>
      <w:r>
        <w:t>Sử dụng ngôn ngữ Python kết hợp framework Flask hoặc Django vững chắc, tuân thủ nghiêm ngặt mô hình MVC hoặc kiến trúc hướng dịch vụ sạch.</w:t>
        <w:br/>
      </w:r>
      <w:r>
        <w:rPr>
          <w:b/>
        </w:rPr>
        <w:t xml:space="preserve">• Hệ quản trị cơ sở dữ liệu: </w:t>
      </w:r>
      <w:r>
        <w:t>Sử dụng Microsoft SQL Server (MSSQL), thiết lập các ràng buộc khóa ngoại chặt chẽ, tận dụng kiểu dữ liệu mở rộng DATETIME2 tăng độ chính xác thời gian và lưu trữ cấu trúc động của kết quả đối soát bằng định dạng chuỗi JSON trực tiếp trong trường cơ sở dữ liệu.</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