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00" w:before="0"/>
      </w:pPr>
      <w:r>
        <w:rPr>
          <w:rFonts w:ascii="Georgia" w:cs="Georgia" w:eastAsia="Georgia" w:hAnsi="Georgia"/>
          <w:b/>
          <w:bCs/>
          <w:color w:val="1B3A5C"/>
          <w:sz w:val="56"/>
          <w:szCs w:val="56"/>
        </w:rPr>
        <w:t xml:space="preserve">AI OPPORTUNITY MAP</w:t>
      </w:r>
    </w:p>
    <w:p>
      <w:pPr>
        <w:spacing w:after="80" w:before="0"/>
      </w:pPr>
      <w:r>
        <w:rPr>
          <w:rFonts w:ascii="Arial" w:cs="Arial" w:eastAsia="Arial" w:hAnsi="Arial"/>
          <w:color w:val="2A7D8C"/>
          <w:sz w:val="28"/>
          <w:szCs w:val="28"/>
        </w:rPr>
        <w:t xml:space="preserve">User Guide  |  v1.0</w:t>
      </w:r>
    </w:p>
    <w:p>
      <w:pPr>
        <w:pBdr>
          <w:bottom w:val="single" w:color="2A7D8C" w:sz="6" w:space="1"/>
        </w:pBdr>
        <w:spacing w:after="200" w:before="200"/>
      </w:pPr>
    </w:p>
    <w:p>
      <w:pPr>
        <w:spacing w:after="100" w:before="60"/>
      </w:pPr>
      <w:r>
        <w:rPr>
          <w:rFonts w:ascii="Arial" w:cs="Arial" w:eastAsia="Arial" w:hAnsi="Arial"/>
          <w:color w:val="111111"/>
          <w:sz w:val="20"/>
          <w:szCs w:val="20"/>
        </w:rPr>
        <w:t xml:space="preserve">This guide explains how to use the AI Opportunity Map — an interactive tool for identifying, scoring and prioritising AI use cases in the context of an organisation's current readiness and strategic priorities.</w:t>
      </w:r>
    </w:p>
    <w:p>
      <w:pPr>
        <w:spacing w:after="0" w:before="80"/>
      </w:pPr>
    </w:p>
    <w:p>
      <w:pPr>
        <w:spacing w:after="100" w:before="60"/>
      </w:pPr>
      <w:r>
        <w:rPr>
          <w:rFonts w:ascii="Arial" w:cs="Arial" w:eastAsia="Arial" w:hAnsi="Arial"/>
          <w:color w:val="111111"/>
          <w:sz w:val="20"/>
          <w:szCs w:val="20"/>
        </w:rPr>
        <w:t xml:space="preserve">The tool is delivered as a single HTML file that runs directly in any modern web browser. No installation is required.</w:t>
      </w:r>
    </w:p>
    <w:p>
      <w:pPr>
        <w:spacing w:after="0" w:before="400"/>
      </w:pPr>
    </w:p>
    <w:p>
      <w:pPr>
        <w:pStyle w:val="Heading1"/>
        <w:pBdr>
          <w:bottom w:val="single" w:color="2A7D8C" w:sz="6" w:space="4"/>
        </w:pBdr>
        <w:spacing w:after="140" w:before="360"/>
      </w:pPr>
      <w:r>
        <w:rPr>
          <w:rFonts w:ascii="Georgia" w:cs="Georgia" w:eastAsia="Georgia" w:hAnsi="Georgia"/>
          <w:b/>
          <w:bCs/>
          <w:color w:val="1B3A5C"/>
          <w:sz w:val="32"/>
          <w:szCs w:val="32"/>
        </w:rPr>
        <w:t xml:space="preserve">1. Overview</w:t>
      </w:r>
    </w:p>
    <w:p>
      <w:pPr>
        <w:spacing w:after="100" w:before="60"/>
      </w:pPr>
      <w:r>
        <w:rPr>
          <w:rFonts w:ascii="Arial" w:cs="Arial" w:eastAsia="Arial" w:hAnsi="Arial"/>
          <w:color w:val="111111"/>
          <w:sz w:val="20"/>
          <w:szCs w:val="20"/>
        </w:rPr>
        <w:t xml:space="preserve">The AI Opportunity Map plots AI use cases on a two-axis chart: Business Impact on the vertical axis and Technical Readiness on the horizontal axis. The position of each use case reflects weighted scores calculated from a set of configurable impact and readiness factors.</w:t>
      </w:r>
    </w:p>
    <w:p>
      <w:pPr>
        <w:spacing w:after="0" w:before="80"/>
      </w:pPr>
    </w:p>
    <w:p>
      <w:pPr>
        <w:spacing w:after="100" w:before="60"/>
      </w:pPr>
      <w:r>
        <w:rPr>
          <w:rFonts w:ascii="Arial" w:cs="Arial" w:eastAsia="Arial" w:hAnsi="Arial"/>
          <w:color w:val="111111"/>
          <w:sz w:val="20"/>
          <w:szCs w:val="20"/>
        </w:rPr>
        <w:t xml:space="preserve">The tool is designed to support two types of use:</w:t>
      </w:r>
    </w:p>
    <w:p>
      <w:pPr>
        <w:pStyle w:val="ListParagraph"/>
        <w:numPr>
          <w:ilvl w:val="0"/>
          <w:numId w:val="2"/>
        </w:numPr>
        <w:spacing w:after="40" w:before="40"/>
      </w:pPr>
      <w:r>
        <w:rPr>
          <w:rFonts w:ascii="Arial" w:cs="Arial" w:eastAsia="Arial" w:hAnsi="Arial"/>
          <w:color w:val="111111"/>
          <w:sz w:val="20"/>
          <w:szCs w:val="20"/>
        </w:rPr>
        <w:t xml:space="preserve">Workshop facilitation — exploring how different investment choices or priority weightings affect which use cases should be tackled first</w:t>
      </w:r>
    </w:p>
    <w:p>
      <w:pPr>
        <w:pStyle w:val="ListParagraph"/>
        <w:numPr>
          <w:ilvl w:val="0"/>
          <w:numId w:val="2"/>
        </w:numPr>
        <w:spacing w:after="40" w:before="40"/>
      </w:pPr>
      <w:r>
        <w:rPr>
          <w:rFonts w:ascii="Arial" w:cs="Arial" w:eastAsia="Arial" w:hAnsi="Arial"/>
          <w:color w:val="111111"/>
          <w:sz w:val="20"/>
          <w:szCs w:val="20"/>
        </w:rPr>
        <w:t xml:space="preserve">Stakeholder communication — providing a shared visual language for discussing the AI opportunity landscape and agreeing on sequencing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D8C" w:sz="12"/>
              <w:left w:val="single" w:color="2A7D8C" w:sz="18"/>
              <w:bottom w:val="single" w:color="2A7D8C" w:sz="12"/>
              <w:right w:val="single" w:color="2A7D8C" w:sz="12"/>
            </w:tcBorders>
            <w:shd w:fill="D4EEF2" w:val="clear"/>
            <w:tcMar>
              <w:top w:type="dxa" w:w="100"/>
              <w:left w:type="dxa" w:w="160"/>
              <w:bottom w:type="dxa" w:w="100"/>
              <w:right w:type="dxa" w:w="160"/>
            </w:tcMar>
          </w:tcPr>
          <w:p>
            <w:pPr>
              <w:spacing w:after="60" w:before="0"/>
            </w:pPr>
            <w:r>
              <w:rPr>
                <w:rFonts w:ascii="Arial" w:cs="Arial" w:eastAsia="Arial" w:hAnsi="Arial"/>
                <w:b/>
                <w:bCs/>
                <w:color w:val="2A7D8C"/>
                <w:sz w:val="20"/>
                <w:szCs w:val="20"/>
              </w:rPr>
              <w:t xml:space="preserve">Opening the tool</w:t>
            </w:r>
          </w:p>
          <w:p>
            <w:pPr>
              <w:spacing w:after="30" w:before="0"/>
            </w:pPr>
            <w:r>
              <w:rPr>
                <w:rFonts w:ascii="Arial" w:cs="Arial" w:eastAsia="Arial" w:hAnsi="Arial"/>
                <w:color w:val="111111"/>
                <w:sz w:val="20"/>
                <w:szCs w:val="20"/>
              </w:rPr>
              <w:t xml:space="preserve">Double-click the .html file to open it in your default browser.</w:t>
            </w:r>
          </w:p>
          <w:p>
            <w:pPr>
              <w:spacing w:after="30" w:before="0"/>
            </w:pPr>
            <w:r>
              <w:rPr>
                <w:rFonts w:ascii="Arial" w:cs="Arial" w:eastAsia="Arial" w:hAnsi="Arial"/>
                <w:color w:val="111111"/>
                <w:sz w:val="20"/>
                <w:szCs w:val="20"/>
              </w:rPr>
              <w:t xml:space="preserve">An internet connection is required on first open (to load React and Babel from CDN). After that, the file runs offline.</w:t>
            </w:r>
          </w:p>
          <w:p>
            <w:pPr>
              <w:spacing w:after="30" w:before="0"/>
            </w:pPr>
            <w:r>
              <w:rPr>
                <w:rFonts w:ascii="Arial" w:cs="Arial" w:eastAsia="Arial" w:hAnsi="Arial"/>
                <w:color w:val="111111"/>
                <w:sz w:val="20"/>
                <w:szCs w:val="20"/>
              </w:rPr>
              <w:t xml:space="preserve">Chrome or Edge are recommended for the best experience.</w:t>
            </w:r>
          </w:p>
        </w:tc>
      </w:tr>
    </w:tbl>
    <w:p>
      <w:pPr>
        <w:spacing w:after="0" w:before="160"/>
      </w:pPr>
    </w:p>
    <w:p>
      <w:pPr>
        <w:pStyle w:val="Heading1"/>
        <w:pBdr>
          <w:bottom w:val="single" w:color="2A7D8C" w:sz="6" w:space="4"/>
        </w:pBdr>
        <w:spacing w:after="140" w:before="360"/>
      </w:pPr>
      <w:r>
        <w:rPr>
          <w:rFonts w:ascii="Georgia" w:cs="Georgia" w:eastAsia="Georgia" w:hAnsi="Georgia"/>
          <w:b/>
          <w:bCs/>
          <w:color w:val="1B3A5C"/>
          <w:sz w:val="32"/>
          <w:szCs w:val="32"/>
        </w:rPr>
        <w:t xml:space="preserve">2. The Chart</w:t>
      </w:r>
    </w:p>
    <w:p>
      <w:pPr>
        <w:spacing w:after="100" w:before="60"/>
      </w:pPr>
      <w:r>
        <w:rPr>
          <w:rFonts w:ascii="Arial" w:cs="Arial" w:eastAsia="Arial" w:hAnsi="Arial"/>
          <w:color w:val="111111"/>
          <w:sz w:val="20"/>
          <w:szCs w:val="20"/>
        </w:rPr>
        <w:t xml:space="preserve">Each circle on the chart represents one AI use case. The number inside the circle is a shorthand identifier (e.g. "3" = UC03). Hover over any circle to see a tooltip with the full use case name, scores and key attributes. Click a circle to select it and open its full detail in the Detail panel on the right.</w:t>
      </w:r>
    </w:p>
    <w:p>
      <w:pPr>
        <w:spacing w:after="0" w:before="80"/>
      </w:pPr>
    </w:p>
    <w:p>
      <w:pPr>
        <w:pStyle w:val="Heading2"/>
        <w:spacing w:after="100" w:before="280"/>
      </w:pPr>
      <w:r>
        <w:rPr>
          <w:rFonts w:ascii="Arial" w:cs="Arial" w:eastAsia="Arial" w:hAnsi="Arial"/>
          <w:b/>
          <w:bCs/>
          <w:color w:val="2A7D8C"/>
          <w:sz w:val="26"/>
          <w:szCs w:val="26"/>
        </w:rPr>
        <w:t xml:space="preserve">2.1 Axis scales</w:t>
      </w:r>
    </w:p>
    <w:p>
      <w:pPr>
        <w:spacing w:after="100" w:before="60"/>
      </w:pPr>
      <w:r>
        <w:rPr>
          <w:rFonts w:ascii="Arial" w:cs="Arial" w:eastAsia="Arial" w:hAnsi="Arial"/>
          <w:color w:val="111111"/>
          <w:sz w:val="20"/>
          <w:szCs w:val="20"/>
        </w:rPr>
        <w:t xml:space="preserve">Both axes are scaled dynamically to the range of the actual data, with a small padding margin. This means the axis labels will vary depending on the dataset — they do not always run from 1 to 5. The purpose is to spread the data points across the full chart area and make differences between use cases easier to read.</w:t>
      </w:r>
    </w:p>
    <w:p>
      <w:pPr>
        <w:spacing w:after="0" w:before="80"/>
      </w:pPr>
    </w:p>
    <w:p>
      <w:pPr>
        <w:pStyle w:val="Heading2"/>
        <w:spacing w:after="100" w:before="280"/>
      </w:pPr>
      <w:r>
        <w:rPr>
          <w:rFonts w:ascii="Arial" w:cs="Arial" w:eastAsia="Arial" w:hAnsi="Arial"/>
          <w:b/>
          <w:bCs/>
          <w:color w:val="2A7D8C"/>
          <w:sz w:val="26"/>
          <w:szCs w:val="26"/>
        </w:rPr>
        <w:t xml:space="preserve">2.2 Colour coding</w:t>
      </w:r>
    </w:p>
    <w:p>
      <w:pPr>
        <w:spacing w:after="100" w:before="60"/>
      </w:pPr>
      <w:r>
        <w:rPr>
          <w:rFonts w:ascii="Arial" w:cs="Arial" w:eastAsia="Arial" w:hAnsi="Arial"/>
          <w:color w:val="111111"/>
          <w:sz w:val="20"/>
          <w:szCs w:val="20"/>
        </w:rPr>
        <w:t xml:space="preserve">Use cases are colour-coded according to the currently selected attribute. The active attribute is shown in the colour key at the bottom of the chart. Four options are available, selectable via the "Colour by" pill buttons in the header: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Investment theme</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Groups use cases by their primary value category: Efficiency, Intelligence, Engagement, or Foundations.</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Business domain</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Groups by the part of the organisation the use case primarily serves.</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Regulatory risk</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Colour-codes by inherent regulatory risk: green = Low, orange = Medium, red = High.</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Current state</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Shows where each use case currently stands: Hypothetical, Identified, Piloted, Partial, or Live.</w:t>
            </w:r>
          </w:p>
        </w:tc>
      </w:tr>
    </w:tbl>
    <w:p>
      <w:pPr>
        <w:spacing w:after="0" w:before="120"/>
      </w:pPr>
    </w:p>
    <w:p>
      <w:pPr>
        <w:pStyle w:val="Heading2"/>
        <w:spacing w:after="100" w:before="280"/>
      </w:pPr>
      <w:r>
        <w:rPr>
          <w:rFonts w:ascii="Arial" w:cs="Arial" w:eastAsia="Arial" w:hAnsi="Arial"/>
          <w:b/>
          <w:bCs/>
          <w:color w:val="2A7D8C"/>
          <w:sz w:val="26"/>
          <w:szCs w:val="26"/>
        </w:rPr>
        <w:t xml:space="preserve">2.3 The colour key</w:t>
      </w:r>
    </w:p>
    <w:p>
      <w:pPr>
        <w:spacing w:after="100" w:before="60"/>
      </w:pPr>
      <w:r>
        <w:rPr>
          <w:rFonts w:ascii="Arial" w:cs="Arial" w:eastAsia="Arial" w:hAnsi="Arial"/>
          <w:color w:val="111111"/>
          <w:sz w:val="20"/>
          <w:szCs w:val="20"/>
        </w:rPr>
        <w:t xml:space="preserve">The colour key at the bottom of the chart reflects whichever attribute is currently selected. It is interactive: clicking a key entry highlights only use cases with that attribute value, dimming all others. Clicking again deselects. Multiple values can be selected at once. A "Clear" button appears when any filter is active.</w:t>
      </w:r>
    </w:p>
    <w:p>
      <w:pPr>
        <w:spacing w:after="0" w:before="80"/>
      </w:pPr>
    </w:p>
    <w:p>
      <w:pPr>
        <w:pStyle w:val="Heading2"/>
        <w:spacing w:after="100" w:before="280"/>
      </w:pPr>
      <w:r>
        <w:rPr>
          <w:rFonts w:ascii="Arial" w:cs="Arial" w:eastAsia="Arial" w:hAnsi="Arial"/>
          <w:b/>
          <w:bCs/>
          <w:color w:val="2A7D8C"/>
          <w:sz w:val="26"/>
          <w:szCs w:val="26"/>
        </w:rPr>
        <w:t xml:space="preserve">2.4 Dependency arrows</w:t>
      </w:r>
    </w:p>
    <w:p>
      <w:pPr>
        <w:spacing w:after="100" w:before="60"/>
      </w:pPr>
      <w:r>
        <w:rPr>
          <w:rFonts w:ascii="Arial" w:cs="Arial" w:eastAsia="Arial" w:hAnsi="Arial"/>
          <w:color w:val="111111"/>
          <w:sz w:val="20"/>
          <w:szCs w:val="20"/>
        </w:rPr>
        <w:t xml:space="preserve">The "⤳ Show connections" button in the header toggles a set of curved dotted arrows showing which use cases enable others — i.e. doing one use case first makes another possible or easier. Arrows are off by default to keep the chart uncluttered.</w:t>
      </w:r>
    </w:p>
    <w:p>
      <w:pPr>
        <w:spacing w:after="0" w:before="40"/>
      </w:pPr>
    </w:p>
    <w:p>
      <w:pPr>
        <w:pStyle w:val="ListParagraph"/>
        <w:numPr>
          <w:ilvl w:val="0"/>
          <w:numId w:val="2"/>
        </w:numPr>
        <w:spacing w:after="40" w:before="40"/>
      </w:pPr>
      <w:r>
        <w:rPr>
          <w:rFonts w:ascii="Arial" w:cs="Arial" w:eastAsia="Arial" w:hAnsi="Arial"/>
          <w:color w:val="111111"/>
          <w:sz w:val="20"/>
          <w:szCs w:val="20"/>
        </w:rPr>
        <w:t xml:space="preserve">Arrows only appear between use cases that are currently visible (not dimmed by a filter)</w:t>
      </w:r>
    </w:p>
    <w:p>
      <w:pPr>
        <w:pStyle w:val="ListParagraph"/>
        <w:numPr>
          <w:ilvl w:val="0"/>
          <w:numId w:val="2"/>
        </w:numPr>
        <w:spacing w:after="40" w:before="40"/>
      </w:pPr>
      <w:r>
        <w:rPr>
          <w:rFonts w:ascii="Arial" w:cs="Arial" w:eastAsia="Arial" w:hAnsi="Arial"/>
          <w:color w:val="111111"/>
          <w:sz w:val="20"/>
          <w:szCs w:val="20"/>
        </w:rPr>
        <w:t xml:space="preserve">The arrowhead points toward the use case that is enabled</w:t>
      </w:r>
    </w:p>
    <w:p>
      <w:pPr>
        <w:pStyle w:val="ListParagraph"/>
        <w:numPr>
          <w:ilvl w:val="0"/>
          <w:numId w:val="2"/>
        </w:numPr>
        <w:spacing w:after="40" w:before="40"/>
      </w:pPr>
      <w:r>
        <w:rPr>
          <w:rFonts w:ascii="Arial" w:cs="Arial" w:eastAsia="Arial" w:hAnsi="Arial"/>
          <w:color w:val="111111"/>
          <w:sz w:val="20"/>
          <w:szCs w:val="20"/>
        </w:rPr>
        <w:t xml:space="preserve">Arrows curve around other points using a Bézier path to minimise visual clutter</w:t>
      </w:r>
    </w:p>
    <w:p>
      <w:pPr>
        <w:spacing w:after="0" w:before="160"/>
      </w:pPr>
    </w:p>
    <w:p>
      <w:r>
        <w:br w:type="page"/>
      </w:r>
    </w:p>
    <w:p>
      <w:pPr>
        <w:pStyle w:val="Heading1"/>
        <w:pBdr>
          <w:bottom w:val="single" w:color="2A7D8C" w:sz="6" w:space="4"/>
        </w:pBdr>
        <w:spacing w:after="140" w:before="360"/>
      </w:pPr>
      <w:r>
        <w:rPr>
          <w:rFonts w:ascii="Georgia" w:cs="Georgia" w:eastAsia="Georgia" w:hAnsi="Georgia"/>
          <w:b/>
          <w:bCs/>
          <w:color w:val="1B3A5C"/>
          <w:sz w:val="32"/>
          <w:szCs w:val="32"/>
        </w:rPr>
        <w:t xml:space="preserve">3. Right-Hand Panels</w:t>
      </w:r>
    </w:p>
    <w:p>
      <w:pPr>
        <w:spacing w:after="100" w:before="60"/>
      </w:pPr>
      <w:r>
        <w:rPr>
          <w:rFonts w:ascii="Arial" w:cs="Arial" w:eastAsia="Arial" w:hAnsi="Arial"/>
          <w:color w:val="111111"/>
          <w:sz w:val="20"/>
          <w:szCs w:val="20"/>
        </w:rPr>
        <w:t xml:space="preserve">The right-hand side of the tool has four tabs. Click a tab header to switch between them.</w:t>
      </w:r>
    </w:p>
    <w:p>
      <w:pPr>
        <w:spacing w:after="0" w:before="120"/>
      </w:pPr>
    </w:p>
    <w:p>
      <w:pPr>
        <w:pStyle w:val="Heading2"/>
        <w:spacing w:after="100" w:before="280"/>
      </w:pPr>
      <w:r>
        <w:rPr>
          <w:rFonts w:ascii="Arial" w:cs="Arial" w:eastAsia="Arial" w:hAnsi="Arial"/>
          <w:b/>
          <w:bCs/>
          <w:color w:val="2A7D8C"/>
          <w:sz w:val="26"/>
          <w:szCs w:val="26"/>
        </w:rPr>
        <w:t xml:space="preserve">3.1 Enablers tab</w:t>
      </w:r>
    </w:p>
    <w:p>
      <w:pPr>
        <w:spacing w:after="100" w:before="60"/>
      </w:pPr>
      <w:r>
        <w:rPr>
          <w:rFonts w:ascii="Arial" w:cs="Arial" w:eastAsia="Arial" w:hAnsi="Arial"/>
          <w:color w:val="111111"/>
          <w:sz w:val="20"/>
          <w:szCs w:val="20"/>
        </w:rPr>
        <w:t xml:space="preserve">Lists all Implementation Enablers — the foundational investments (data, technology, governance, skills) that one or more use cases depend on. Each enabler shows its effort scale, category, and the number of use cases that depend on it.</w:t>
      </w:r>
    </w:p>
    <w:p>
      <w:pPr>
        <w:spacing w:after="0" w:before="80"/>
      </w:pPr>
    </w:p>
    <w:p>
      <w:pPr>
        <w:pStyle w:val="Heading3"/>
        <w:spacing w:after="80" w:before="200"/>
      </w:pPr>
      <w:r>
        <w:rPr>
          <w:rFonts w:ascii="Arial" w:cs="Arial" w:eastAsia="Arial" w:hAnsi="Arial"/>
          <w:b/>
          <w:bCs/>
          <w:color w:val="4A5568"/>
          <w:sz w:val="22"/>
          <w:szCs w:val="22"/>
        </w:rPr>
        <w:t xml:space="preserve">Highlighting dependent use cases</w:t>
      </w:r>
    </w:p>
    <w:p>
      <w:pPr>
        <w:spacing w:after="100" w:before="60"/>
      </w:pPr>
      <w:r>
        <w:rPr>
          <w:rFonts w:ascii="Arial" w:cs="Arial" w:eastAsia="Arial" w:hAnsi="Arial"/>
          <w:color w:val="111111"/>
          <w:sz w:val="20"/>
          <w:szCs w:val="20"/>
        </w:rPr>
        <w:t xml:space="preserve">Tick the checkbox next to an enabler to highlight the use cases that depend on it. All other use cases are dimmed on the chart. Multiple enablers can be ticked simultaneously — use cases are highlighted if they depend on any of the ticked enablers.</w:t>
      </w:r>
    </w:p>
    <w:p>
      <w:pPr>
        <w:spacing w:after="0" w:before="80"/>
      </w:pPr>
    </w:p>
    <w:p>
      <w:pPr>
        <w:pStyle w:val="Heading3"/>
        <w:spacing w:after="80" w:before="200"/>
      </w:pPr>
      <w:r>
        <w:rPr>
          <w:rFonts w:ascii="Arial" w:cs="Arial" w:eastAsia="Arial" w:hAnsi="Arial"/>
          <w:b/>
          <w:bCs/>
          <w:color w:val="4A5568"/>
          <w:sz w:val="22"/>
          <w:szCs w:val="22"/>
        </w:rPr>
        <w:t xml:space="preserve">Adjusting completion levels</w:t>
      </w:r>
    </w:p>
    <w:p>
      <w:pPr>
        <w:spacing w:after="100" w:before="60"/>
      </w:pPr>
      <w:r>
        <w:rPr>
          <w:rFonts w:ascii="Arial" w:cs="Arial" w:eastAsia="Arial" w:hAnsi="Arial"/>
          <w:color w:val="111111"/>
          <w:sz w:val="20"/>
          <w:szCs w:val="20"/>
        </w:rPr>
        <w:t xml:space="preserve">Each enabler has a five-segment completion bar representing how thoroughly that investment has been made. The five levels are: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Not started</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The investment has not begun. Multiplier: 0.</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Initial</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Proof of concept or very limited implementation in place. Multiplier: 0.25.</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Partial</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Meaningful coverage but significant gaps remain. Multiplier: 0.5.</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Substantial</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Broadly in place with only minor gaps. Multiplier: 0.75.</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Comprehensive</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Fully implemented and actively maintained. Multiplier: 1.0.</w:t>
            </w:r>
          </w:p>
        </w:tc>
      </w:tr>
    </w:tbl>
    <w:p>
      <w:pPr>
        <w:spacing w:after="0" w:before="80"/>
      </w:pPr>
    </w:p>
    <w:p>
      <w:pPr>
        <w:spacing w:after="100" w:before="60"/>
      </w:pPr>
      <w:r>
        <w:rPr>
          <w:rFonts w:ascii="Arial" w:cs="Arial" w:eastAsia="Arial" w:hAnsi="Arial"/>
          <w:color w:val="111111"/>
          <w:sz w:val="20"/>
          <w:szCs w:val="20"/>
        </w:rPr>
        <w:t xml:space="preserve">The stored completion level for each enabler represents the current baseline — it is already reflected in the readiness scores of dependent use cases. Adjusting a completion level in the tool applies a delta relative to that baseline: moving a level up improves affected readiness scores; moving it down reduces them. If no adjustment is made, no change to scores is shown.</w:t>
      </w:r>
    </w:p>
    <w:p>
      <w:pPr>
        <w:spacing w:after="0" w:before="80"/>
      </w:pPr>
    </w:p>
    <w:p>
      <w:pPr>
        <w:spacing w:after="100" w:before="60"/>
      </w:pPr>
      <w:r>
        <w:rPr>
          <w:rFonts w:ascii="Arial" w:cs="Arial" w:eastAsia="Arial" w:hAnsi="Arial"/>
          <w:color w:val="111111"/>
          <w:sz w:val="20"/>
          <w:szCs w:val="20"/>
        </w:rPr>
        <w:t xml:space="preserve">When an enabler has been adjusted, its card border turns amber and a small indicator shows the change (e.g. ▲ +1). Segments above the baseline are shown in green; segments below in red.</w:t>
      </w:r>
    </w:p>
    <w:p>
      <w:pPr>
        <w:spacing w:after="0" w:before="120"/>
      </w:pPr>
    </w:p>
    <w:p>
      <w:pPr>
        <w:pStyle w:val="Heading2"/>
        <w:spacing w:after="100" w:before="280"/>
      </w:pPr>
      <w:r>
        <w:rPr>
          <w:rFonts w:ascii="Arial" w:cs="Arial" w:eastAsia="Arial" w:hAnsi="Arial"/>
          <w:b/>
          <w:bCs/>
          <w:color w:val="2A7D8C"/>
          <w:sz w:val="26"/>
          <w:szCs w:val="26"/>
        </w:rPr>
        <w:t xml:space="preserve">3.2 Weights tab</w:t>
      </w:r>
    </w:p>
    <w:p>
      <w:pPr>
        <w:spacing w:after="100" w:before="60"/>
      </w:pPr>
      <w:r>
        <w:rPr>
          <w:rFonts w:ascii="Arial" w:cs="Arial" w:eastAsia="Arial" w:hAnsi="Arial"/>
          <w:color w:val="111111"/>
          <w:sz w:val="20"/>
          <w:szCs w:val="20"/>
        </w:rPr>
        <w:t xml:space="preserve">Allows the relative weighting of impact and readiness factors to be adjusted. There are two sections: Impact Factor Weights and Readiness Factor Weights. Each factor has a slider ranging from 0 to 40.</w:t>
      </w:r>
    </w:p>
    <w:p>
      <w:pPr>
        <w:spacing w:after="0" w:before="80"/>
      </w:pPr>
    </w:p>
    <w:p>
      <w:pPr>
        <w:spacing w:after="100" w:before="60"/>
      </w:pPr>
      <w:r>
        <w:rPr>
          <w:rFonts w:ascii="Arial" w:cs="Arial" w:eastAsia="Arial" w:hAnsi="Arial"/>
          <w:color w:val="111111"/>
          <w:sz w:val="20"/>
          <w:szCs w:val="20"/>
        </w:rPr>
        <w:t xml:space="preserve">Weights are relative rather than requiring a fixed total. Increasing one factor's weight implicitly reduces the relative influence of others, since scores are normalised by the sum of all weights. This means sliders can be moved independently without needing to keep a running total.</w:t>
      </w:r>
    </w:p>
    <w:p>
      <w:pPr>
        <w:spacing w:after="0" w:before="80"/>
      </w:pPr>
    </w:p>
    <w:p>
      <w:pPr>
        <w:spacing w:after="100" w:before="60"/>
      </w:pPr>
      <w:r>
        <w:rPr>
          <w:rFonts w:ascii="Arial" w:cs="Arial" w:eastAsia="Arial" w:hAnsi="Arial"/>
          <w:color w:val="111111"/>
          <w:sz w:val="20"/>
          <w:szCs w:val="20"/>
        </w:rPr>
        <w:t xml:space="preserve">Score changes take effect immediately and use case positions on the chart update in real time.</w:t>
      </w:r>
    </w:p>
    <w:p>
      <w:pPr>
        <w:spacing w:after="0" w:before="120"/>
      </w:pPr>
    </w:p>
    <w:p>
      <w:pPr>
        <w:pStyle w:val="Heading2"/>
        <w:spacing w:after="100" w:before="280"/>
      </w:pPr>
      <w:r>
        <w:rPr>
          <w:rFonts w:ascii="Arial" w:cs="Arial" w:eastAsia="Arial" w:hAnsi="Arial"/>
          <w:b/>
          <w:bCs/>
          <w:color w:val="2A7D8C"/>
          <w:sz w:val="26"/>
          <w:szCs w:val="26"/>
        </w:rPr>
        <w:t xml:space="preserve">3.3 Use Cases tab</w:t>
      </w:r>
    </w:p>
    <w:p>
      <w:pPr>
        <w:spacing w:after="100" w:before="60"/>
      </w:pPr>
      <w:r>
        <w:rPr>
          <w:rFonts w:ascii="Arial" w:cs="Arial" w:eastAsia="Arial" w:hAnsi="Arial"/>
          <w:color w:val="111111"/>
          <w:sz w:val="20"/>
          <w:szCs w:val="20"/>
        </w:rPr>
        <w:t xml:space="preserve">A scrollable list of all use cases, colour-coded to match the current chart colour mode. Each entry shows the use case name and its current impact and readiness scores.</w:t>
      </w:r>
    </w:p>
    <w:p>
      <w:pPr>
        <w:spacing w:after="0" w:before="80"/>
      </w:pPr>
    </w:p>
    <w:p>
      <w:pPr>
        <w:spacing w:after="100" w:before="60"/>
      </w:pPr>
      <w:r>
        <w:rPr>
          <w:rFonts w:ascii="Arial" w:cs="Arial" w:eastAsia="Arial" w:hAnsi="Arial"/>
          <w:color w:val="111111"/>
          <w:sz w:val="20"/>
          <w:szCs w:val="20"/>
        </w:rPr>
        <w:t xml:space="preserve">Three sort options are available at the top of the tab:</w:t>
      </w:r>
    </w:p>
    <w:p>
      <w:pPr>
        <w:pStyle w:val="ListParagraph"/>
        <w:numPr>
          <w:ilvl w:val="0"/>
          <w:numId w:val="2"/>
        </w:numPr>
        <w:spacing w:after="40" w:before="40"/>
      </w:pPr>
      <w:r>
        <w:rPr>
          <w:rFonts w:ascii="Arial" w:cs="Arial" w:eastAsia="Arial" w:hAnsi="Arial"/>
          <w:color w:val="111111"/>
          <w:sz w:val="20"/>
          <w:szCs w:val="20"/>
        </w:rPr>
        <w:t xml:space="preserve">By attribute — groups use cases by the currently selected colour-mode attribute</w:t>
      </w:r>
    </w:p>
    <w:p>
      <w:pPr>
        <w:pStyle w:val="ListParagraph"/>
        <w:numPr>
          <w:ilvl w:val="0"/>
          <w:numId w:val="2"/>
        </w:numPr>
        <w:spacing w:after="40" w:before="40"/>
      </w:pPr>
      <w:r>
        <w:rPr>
          <w:rFonts w:ascii="Arial" w:cs="Arial" w:eastAsia="Arial" w:hAnsi="Arial"/>
          <w:color w:val="111111"/>
          <w:sz w:val="20"/>
          <w:szCs w:val="20"/>
        </w:rPr>
        <w:t xml:space="preserve">Impact ↓ — sorts by business impact score, highest first</w:t>
      </w:r>
    </w:p>
    <w:p>
      <w:pPr>
        <w:pStyle w:val="ListParagraph"/>
        <w:numPr>
          <w:ilvl w:val="0"/>
          <w:numId w:val="2"/>
        </w:numPr>
        <w:spacing w:after="40" w:before="40"/>
      </w:pPr>
      <w:r>
        <w:rPr>
          <w:rFonts w:ascii="Arial" w:cs="Arial" w:eastAsia="Arial" w:hAnsi="Arial"/>
          <w:color w:val="111111"/>
          <w:sz w:val="20"/>
          <w:szCs w:val="20"/>
        </w:rPr>
        <w:t xml:space="preserve">Readiness ↓ — sorts by technical readiness score, highest first</w:t>
      </w:r>
    </w:p>
    <w:p>
      <w:pPr>
        <w:spacing w:after="0" w:before="80"/>
      </w:pPr>
    </w:p>
    <w:p>
      <w:pPr>
        <w:spacing w:after="100" w:before="60"/>
      </w:pPr>
      <w:r>
        <w:rPr>
          <w:rFonts w:ascii="Arial" w:cs="Arial" w:eastAsia="Arial" w:hAnsi="Arial"/>
          <w:color w:val="111111"/>
          <w:sz w:val="20"/>
          <w:szCs w:val="20"/>
        </w:rPr>
        <w:t xml:space="preserve">Clicking a use case in the list selects it and switches to the Detail tab. The list respects the current highlight and filter state — dimmed use cases appear faded in the list.</w:t>
      </w:r>
    </w:p>
    <w:p>
      <w:pPr>
        <w:spacing w:after="0" w:before="120"/>
      </w:pPr>
    </w:p>
    <w:p>
      <w:pPr>
        <w:pStyle w:val="Heading2"/>
        <w:spacing w:after="100" w:before="280"/>
      </w:pPr>
      <w:r>
        <w:rPr>
          <w:rFonts w:ascii="Arial" w:cs="Arial" w:eastAsia="Arial" w:hAnsi="Arial"/>
          <w:b/>
          <w:bCs/>
          <w:color w:val="2A7D8C"/>
          <w:sz w:val="26"/>
          <w:szCs w:val="26"/>
        </w:rPr>
        <w:t xml:space="preserve">3.4 Detail tab</w:t>
      </w:r>
    </w:p>
    <w:p>
      <w:pPr>
        <w:spacing w:after="100" w:before="60"/>
      </w:pPr>
      <w:r>
        <w:rPr>
          <w:rFonts w:ascii="Arial" w:cs="Arial" w:eastAsia="Arial" w:hAnsi="Arial"/>
          <w:color w:val="111111"/>
          <w:sz w:val="20"/>
          <w:szCs w:val="20"/>
        </w:rPr>
        <w:t xml:space="preserve">Shows the full detail for the currently selected use case. Click any use case node on the chart (or any row in the Use Cases tab) to populate this panel.</w:t>
      </w:r>
    </w:p>
    <w:p>
      <w:pPr>
        <w:spacing w:after="0" w:before="80"/>
      </w:pPr>
    </w:p>
    <w:p>
      <w:pPr>
        <w:pStyle w:val="Heading3"/>
        <w:spacing w:after="80" w:before="200"/>
      </w:pPr>
      <w:r>
        <w:rPr>
          <w:rFonts w:ascii="Arial" w:cs="Arial" w:eastAsia="Arial" w:hAnsi="Arial"/>
          <w:b/>
          <w:bCs/>
          <w:color w:val="4A5568"/>
          <w:sz w:val="22"/>
          <w:szCs w:val="22"/>
        </w:rPr>
        <w:t xml:space="preserve">Attribute summary</w:t>
      </w:r>
    </w:p>
    <w:p>
      <w:pPr>
        <w:spacing w:after="100" w:before="60"/>
      </w:pPr>
      <w:r>
        <w:rPr>
          <w:rFonts w:ascii="Arial" w:cs="Arial" w:eastAsia="Arial" w:hAnsi="Arial"/>
          <w:color w:val="111111"/>
          <w:sz w:val="20"/>
          <w:szCs w:val="20"/>
        </w:rPr>
        <w:t xml:space="preserve">The top section shows the use case identifier, full name, and four key attributes with their labels: Business domain, Investment theme, Current state, and Regulatory risk.</w:t>
      </w:r>
    </w:p>
    <w:p>
      <w:pPr>
        <w:spacing w:after="0" w:before="80"/>
      </w:pPr>
    </w:p>
    <w:p>
      <w:pPr>
        <w:pStyle w:val="Heading3"/>
        <w:spacing w:after="80" w:before="200"/>
      </w:pPr>
      <w:r>
        <w:rPr>
          <w:rFonts w:ascii="Arial" w:cs="Arial" w:eastAsia="Arial" w:hAnsi="Arial"/>
          <w:b/>
          <w:bCs/>
          <w:color w:val="4A5568"/>
          <w:sz w:val="22"/>
          <w:szCs w:val="22"/>
        </w:rPr>
        <w:t xml:space="preserve">Composite scores</w:t>
      </w:r>
    </w:p>
    <w:p>
      <w:pPr>
        <w:spacing w:after="100" w:before="60"/>
      </w:pPr>
      <w:r>
        <w:rPr>
          <w:rFonts w:ascii="Arial" w:cs="Arial" w:eastAsia="Arial" w:hAnsi="Arial"/>
          <w:color w:val="111111"/>
          <w:sz w:val="20"/>
          <w:szCs w:val="20"/>
        </w:rPr>
        <w:t xml:space="preserve">Two score tiles show the Business Impact score and Technical Readiness score as calculated from the current weights and enabler adjustments.</w:t>
      </w:r>
    </w:p>
    <w:p>
      <w:pPr>
        <w:spacing w:after="0" w:before="80"/>
      </w:pPr>
    </w:p>
    <w:p>
      <w:pPr>
        <w:pStyle w:val="Heading3"/>
        <w:spacing w:after="80" w:before="200"/>
      </w:pPr>
      <w:r>
        <w:rPr>
          <w:rFonts w:ascii="Arial" w:cs="Arial" w:eastAsia="Arial" w:hAnsi="Arial"/>
          <w:b/>
          <w:bCs/>
          <w:color w:val="4A5568"/>
          <w:sz w:val="22"/>
          <w:szCs w:val="22"/>
        </w:rPr>
        <w:t xml:space="preserve">Impact score bars</w:t>
      </w:r>
    </w:p>
    <w:p>
      <w:pPr>
        <w:spacing w:after="100" w:before="60"/>
      </w:pPr>
      <w:r>
        <w:rPr>
          <w:rFonts w:ascii="Arial" w:cs="Arial" w:eastAsia="Arial" w:hAnsi="Arial"/>
          <w:color w:val="111111"/>
          <w:sz w:val="20"/>
          <w:szCs w:val="20"/>
        </w:rPr>
        <w:t xml:space="preserve">A bar chart of the individual impact factor scores (1–5) that feed into the composite Business Impact score.</w:t>
      </w:r>
    </w:p>
    <w:p>
      <w:pPr>
        <w:spacing w:after="0" w:before="80"/>
      </w:pPr>
    </w:p>
    <w:p>
      <w:pPr>
        <w:pStyle w:val="Heading3"/>
        <w:spacing w:after="80" w:before="200"/>
      </w:pPr>
      <w:r>
        <w:rPr>
          <w:rFonts w:ascii="Arial" w:cs="Arial" w:eastAsia="Arial" w:hAnsi="Arial"/>
          <w:b/>
          <w:bCs/>
          <w:color w:val="4A5568"/>
          <w:sz w:val="22"/>
          <w:szCs w:val="22"/>
        </w:rPr>
        <w:t xml:space="preserve">Readiness score bars</w:t>
      </w:r>
    </w:p>
    <w:p>
      <w:pPr>
        <w:spacing w:after="100" w:before="60"/>
      </w:pPr>
      <w:r>
        <w:rPr>
          <w:rFonts w:ascii="Arial" w:cs="Arial" w:eastAsia="Arial" w:hAnsi="Arial"/>
          <w:color w:val="111111"/>
          <w:sz w:val="20"/>
          <w:szCs w:val="20"/>
        </w:rPr>
        <w:t xml:space="preserve">A bar chart of the individual readiness factor scores. Each bar shows:</w:t>
      </w:r>
    </w:p>
    <w:p>
      <w:pPr>
        <w:pStyle w:val="ListParagraph"/>
        <w:numPr>
          <w:ilvl w:val="0"/>
          <w:numId w:val="2"/>
        </w:numPr>
        <w:spacing w:after="40" w:before="40"/>
      </w:pPr>
      <w:r>
        <w:rPr>
          <w:rFonts w:ascii="Arial" w:cs="Arial" w:eastAsia="Arial" w:hAnsi="Arial"/>
          <w:color w:val="111111"/>
          <w:sz w:val="20"/>
          <w:szCs w:val="20"/>
        </w:rPr>
        <w:t xml:space="preserve">Blue — the base score as originally entered in the dataset</w:t>
      </w:r>
    </w:p>
    <w:p>
      <w:pPr>
        <w:pStyle w:val="ListParagraph"/>
        <w:numPr>
          <w:ilvl w:val="0"/>
          <w:numId w:val="2"/>
        </w:numPr>
        <w:spacing w:after="40" w:before="40"/>
      </w:pPr>
      <w:r>
        <w:rPr>
          <w:rFonts w:ascii="Arial" w:cs="Arial" w:eastAsia="Arial" w:hAnsi="Arial"/>
          <w:color w:val="111111"/>
          <w:sz w:val="20"/>
          <w:szCs w:val="20"/>
        </w:rPr>
        <w:t xml:space="preserve">Green extension — uplift applied by enabler completion levels being above baseline</w:t>
      </w:r>
    </w:p>
    <w:p>
      <w:pPr>
        <w:pStyle w:val="ListParagraph"/>
        <w:numPr>
          <w:ilvl w:val="0"/>
          <w:numId w:val="2"/>
        </w:numPr>
        <w:spacing w:after="40" w:before="40"/>
      </w:pPr>
      <w:r>
        <w:rPr>
          <w:rFonts w:ascii="Arial" w:cs="Arial" w:eastAsia="Arial" w:hAnsi="Arial"/>
          <w:color w:val="111111"/>
          <w:sz w:val="20"/>
          <w:szCs w:val="20"/>
        </w:rPr>
        <w:t xml:space="preserve">Red extension — reduction applied when enabler completion levels are below baseline</w:t>
      </w:r>
    </w:p>
    <w:p>
      <w:pPr>
        <w:spacing w:after="0" w:before="80"/>
      </w:pPr>
    </w:p>
    <w:p>
      <w:pPr>
        <w:spacing w:after="100" w:before="60"/>
      </w:pPr>
      <w:r>
        <w:rPr>
          <w:rFonts w:ascii="Arial" w:cs="Arial" w:eastAsia="Arial" w:hAnsi="Arial"/>
          <w:color w:val="111111"/>
          <w:sz w:val="20"/>
          <w:szCs w:val="20"/>
        </w:rPr>
        <w:t xml:space="preserve">If no enabler adjustments have been made, all bars appear as solid blue with no extensions.</w:t>
      </w:r>
    </w:p>
    <w:p>
      <w:pPr>
        <w:spacing w:after="0" w:before="80"/>
      </w:pPr>
    </w:p>
    <w:p>
      <w:pPr>
        <w:pStyle w:val="Heading3"/>
        <w:spacing w:after="80" w:before="200"/>
      </w:pPr>
      <w:r>
        <w:rPr>
          <w:rFonts w:ascii="Arial" w:cs="Arial" w:eastAsia="Arial" w:hAnsi="Arial"/>
          <w:b/>
          <w:bCs/>
          <w:color w:val="4A5568"/>
          <w:sz w:val="22"/>
          <w:szCs w:val="22"/>
        </w:rPr>
        <w:t xml:space="preserve">Implementation enablers</w:t>
      </w:r>
    </w:p>
    <w:p>
      <w:pPr>
        <w:spacing w:after="100" w:before="60"/>
      </w:pPr>
      <w:r>
        <w:rPr>
          <w:rFonts w:ascii="Arial" w:cs="Arial" w:eastAsia="Arial" w:hAnsi="Arial"/>
          <w:color w:val="111111"/>
          <w:sz w:val="20"/>
          <w:szCs w:val="20"/>
        </w:rPr>
        <w:t xml:space="preserve">Lists the enablers that this use case depends on, together with each enabler's current completion level.</w:t>
      </w:r>
    </w:p>
    <w:p>
      <w:pPr>
        <w:spacing w:after="0" w:before="80"/>
      </w:pPr>
    </w:p>
    <w:p>
      <w:pPr>
        <w:pStyle w:val="Heading3"/>
        <w:spacing w:after="80" w:before="200"/>
      </w:pPr>
      <w:r>
        <w:rPr>
          <w:rFonts w:ascii="Arial" w:cs="Arial" w:eastAsia="Arial" w:hAnsi="Arial"/>
          <w:b/>
          <w:bCs/>
          <w:color w:val="4A5568"/>
          <w:sz w:val="22"/>
          <w:szCs w:val="22"/>
        </w:rPr>
        <w:t xml:space="preserve">Enables / Enabled by</w:t>
      </w:r>
    </w:p>
    <w:p>
      <w:pPr>
        <w:spacing w:after="100" w:before="60"/>
      </w:pPr>
      <w:r>
        <w:rPr>
          <w:rFonts w:ascii="Arial" w:cs="Arial" w:eastAsia="Arial" w:hAnsi="Arial"/>
          <w:color w:val="111111"/>
          <w:sz w:val="20"/>
          <w:szCs w:val="20"/>
        </w:rPr>
        <w:t xml:space="preserve">Shows the dependency relationships between use cases. "Enables" lists use cases that this one unlocks or accelerates — i.e. doing this use case first makes those easier to implement. "Enabled by" shows the reverse: use cases that should ideally be done before this one.</w:t>
      </w:r>
    </w:p>
    <w:p>
      <w:pPr>
        <w:spacing w:after="0" w:before="40"/>
      </w:pPr>
    </w:p>
    <w:p>
      <w:pPr>
        <w:spacing w:after="100" w:before="60"/>
      </w:pPr>
      <w:r>
        <w:rPr>
          <w:rFonts w:ascii="Arial" w:cs="Arial" w:eastAsia="Arial" w:hAnsi="Arial"/>
          <w:color w:val="111111"/>
          <w:sz w:val="20"/>
          <w:szCs w:val="20"/>
        </w:rPr>
        <w:t xml:space="preserve">Both sections are clickable — clicking a related use case navigates directly to its detail view.</w:t>
      </w:r>
    </w:p>
    <w:p>
      <w:pPr>
        <w:spacing w:after="0" w:before="160"/>
      </w:pPr>
    </w:p>
    <w:p>
      <w:r>
        <w:br w:type="page"/>
      </w:r>
    </w:p>
    <w:p>
      <w:pPr>
        <w:pStyle w:val="Heading1"/>
        <w:pBdr>
          <w:bottom w:val="single" w:color="2A7D8C" w:sz="6" w:space="4"/>
        </w:pBdr>
        <w:spacing w:after="140" w:before="360"/>
      </w:pPr>
      <w:r>
        <w:rPr>
          <w:rFonts w:ascii="Georgia" w:cs="Georgia" w:eastAsia="Georgia" w:hAnsi="Georgia"/>
          <w:b/>
          <w:bCs/>
          <w:color w:val="1B3A5C"/>
          <w:sz w:val="32"/>
          <w:szCs w:val="32"/>
        </w:rPr>
        <w:t xml:space="preserve">4. Header Controls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Colour by (pill buttons)</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Selects which attribute is used to colour the use case nodes and the colour key. Options: Investment theme, Business domain, Regulatory risk, Current state.</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 Show / Hide connections</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Toggles the dependency arrows on and off. Off by default.</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 SVG</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Downloads the current chart as a vector SVG file, suitable for pasting into presentations or documents. The download reflects the current state of the chart including colour mode, filters, and arrow visibility.</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 Export changes</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Opens the Export Changes modal (see Section 5). Greyed out when no session changes have been made.</w:t>
            </w:r>
          </w:p>
        </w:tc>
      </w:tr>
      <w:tr>
        <w:tc>
          <w:tcPr>
            <w:tcW w:type="dxa" w:w="280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b/>
                <w:bCs/>
                <w:color w:val="1B3A5C"/>
                <w:sz w:val="20"/>
                <w:szCs w:val="20"/>
              </w:rPr>
              <w:t xml:space="preserve">↺ Reset</w:t>
            </w:r>
          </w:p>
        </w:tc>
        <w:tc>
          <w:tcPr>
            <w:tcW w:type="dxa" w:w="6560"/>
            <w:tcBorders>
              <w:top w:val="single" w:color="D1D5DB" w:sz="3"/>
              <w:left w:val="single" w:color="D1D5DB" w:sz="3"/>
              <w:bottom w:val="single" w:color="D1D5DB" w:sz="3"/>
              <w:right w:val="single" w:color="D1D5DB" w:sz="3"/>
            </w:tcBorders>
            <w:shd w:fill="F5F6F7" w:val="clear"/>
            <w:tcMar>
              <w:top w:type="dxa" w:w="80"/>
              <w:left w:type="dxa" w:w="120"/>
              <w:bottom w:type="dxa" w:w="80"/>
              <w:right w:type="dxa" w:w="120"/>
            </w:tcMar>
          </w:tcPr>
          <w:p>
            <w:r>
              <w:rPr>
                <w:rFonts w:ascii="Arial" w:cs="Arial" w:eastAsia="Arial" w:hAnsi="Arial"/>
                <w:color w:val="111111"/>
                <w:sz w:val="20"/>
                <w:szCs w:val="20"/>
              </w:rPr>
              <w:t xml:space="preserve">Discards all session changes (enabler completion adjustments and weight changes) and returns to the baseline state. Only visible when session changes are present.</w:t>
            </w:r>
          </w:p>
        </w:tc>
      </w:tr>
      <w:tr>
        <w:tc>
          <w:tcPr>
            <w:tcW w:type="dxa" w:w="280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 Light / ☾ Dark</w:t>
            </w:r>
          </w:p>
        </w:tc>
        <w:tc>
          <w:tcPr>
            <w:tcW w:type="dxa" w:w="6560"/>
            <w:tcBorders>
              <w:top w:val="single" w:color="D1D5DB" w:sz="3"/>
              <w:left w:val="single" w:color="D1D5DB" w:sz="3"/>
              <w:bottom w:val="single" w:color="D1D5DB" w:sz="3"/>
              <w:right w:val="single" w:color="D1D5DB" w:sz="3"/>
            </w:tcBorders>
            <w:shd w:fill="FFFFFF" w:val="clear"/>
            <w:tcMar>
              <w:top w:type="dxa" w:w="80"/>
              <w:left w:type="dxa" w:w="120"/>
              <w:bottom w:type="dxa" w:w="80"/>
              <w:right w:type="dxa" w:w="120"/>
            </w:tcMar>
          </w:tcPr>
          <w:p>
            <w:r>
              <w:rPr>
                <w:rFonts w:ascii="Arial" w:cs="Arial" w:eastAsia="Arial" w:hAnsi="Arial"/>
                <w:color w:val="111111"/>
                <w:sz w:val="20"/>
                <w:szCs w:val="20"/>
              </w:rPr>
              <w:t xml:space="preserve">Switches between light and dark display themes.</w:t>
            </w:r>
          </w:p>
        </w:tc>
      </w:tr>
    </w:tbl>
    <w:p>
      <w:pPr>
        <w:spacing w:after="0" w:before="160"/>
      </w:pPr>
    </w:p>
    <w:p>
      <w:pPr>
        <w:pStyle w:val="Heading1"/>
        <w:pBdr>
          <w:bottom w:val="single" w:color="2A7D8C" w:sz="6" w:space="4"/>
        </w:pBdr>
        <w:spacing w:after="140" w:before="360"/>
      </w:pPr>
      <w:r>
        <w:rPr>
          <w:rFonts w:ascii="Georgia" w:cs="Georgia" w:eastAsia="Georgia" w:hAnsi="Georgia"/>
          <w:b/>
          <w:bCs/>
          <w:color w:val="1B3A5C"/>
          <w:sz w:val="32"/>
          <w:szCs w:val="32"/>
        </w:rPr>
        <w:t xml:space="preserve">5. Session Changes and Export</w:t>
      </w:r>
    </w:p>
    <w:p>
      <w:pPr>
        <w:spacing w:after="100" w:before="60"/>
      </w:pPr>
      <w:r>
        <w:rPr>
          <w:rFonts w:ascii="Arial" w:cs="Arial" w:eastAsia="Arial" w:hAnsi="Arial"/>
          <w:color w:val="111111"/>
          <w:sz w:val="20"/>
          <w:szCs w:val="20"/>
        </w:rPr>
        <w:t xml:space="preserve">The tool operates with two layers of state: a baseline dataset (the scores and settings loaded when the file opens) and a session layer that accumulates any adjustments made during the current session.</w:t>
      </w:r>
    </w:p>
    <w:p>
      <w:pPr>
        <w:spacing w:after="0" w:before="80"/>
      </w:pPr>
    </w:p>
    <w:p>
      <w:pPr>
        <w:spacing w:after="100" w:before="60"/>
      </w:pPr>
      <w:r>
        <w:rPr>
          <w:rFonts w:ascii="Arial" w:cs="Arial" w:eastAsia="Arial" w:hAnsi="Arial"/>
          <w:color w:val="111111"/>
          <w:sz w:val="20"/>
          <w:szCs w:val="20"/>
        </w:rPr>
        <w:t xml:space="preserve">The baseline is never modified during a session. All adjustments — enabler completion level changes, impact weight changes, readiness weight changes — are held as a session overlay. This means:</w:t>
      </w:r>
    </w:p>
    <w:p>
      <w:pPr>
        <w:pStyle w:val="ListParagraph"/>
        <w:numPr>
          <w:ilvl w:val="0"/>
          <w:numId w:val="2"/>
        </w:numPr>
        <w:spacing w:after="40" w:before="40"/>
      </w:pPr>
      <w:r>
        <w:rPr>
          <w:rFonts w:ascii="Arial" w:cs="Arial" w:eastAsia="Arial" w:hAnsi="Arial"/>
          <w:color w:val="111111"/>
          <w:sz w:val="20"/>
          <w:szCs w:val="20"/>
        </w:rPr>
        <w:t xml:space="preserve">Adjustments can be freely explored without permanently altering the underlying data</w:t>
      </w:r>
    </w:p>
    <w:p>
      <w:pPr>
        <w:pStyle w:val="ListParagraph"/>
        <w:numPr>
          <w:ilvl w:val="0"/>
          <w:numId w:val="2"/>
        </w:numPr>
        <w:spacing w:after="40" w:before="40"/>
      </w:pPr>
      <w:r>
        <w:rPr>
          <w:rFonts w:ascii="Arial" w:cs="Arial" w:eastAsia="Arial" w:hAnsi="Arial"/>
          <w:color w:val="111111"/>
          <w:sz w:val="20"/>
          <w:szCs w:val="20"/>
        </w:rPr>
        <w:t xml:space="preserve">The Reset button returns to baseline at any time</w:t>
      </w:r>
    </w:p>
    <w:p>
      <w:pPr>
        <w:pStyle w:val="ListParagraph"/>
        <w:numPr>
          <w:ilvl w:val="0"/>
          <w:numId w:val="2"/>
        </w:numPr>
        <w:spacing w:after="40" w:before="40"/>
      </w:pPr>
      <w:r>
        <w:rPr>
          <w:rFonts w:ascii="Arial" w:cs="Arial" w:eastAsia="Arial" w:hAnsi="Arial"/>
          <w:color w:val="111111"/>
          <w:sz w:val="20"/>
          <w:szCs w:val="20"/>
        </w:rPr>
        <w:t xml:space="preserve">Changes can be captured and applied deliberately via the export mechanism</w:t>
      </w:r>
    </w:p>
    <w:p>
      <w:pPr>
        <w:spacing w:after="0" w:before="80"/>
      </w:pPr>
    </w:p>
    <w:p>
      <w:pPr>
        <w:pStyle w:val="Heading2"/>
        <w:spacing w:after="100" w:before="280"/>
      </w:pPr>
      <w:r>
        <w:rPr>
          <w:rFonts w:ascii="Arial" w:cs="Arial" w:eastAsia="Arial" w:hAnsi="Arial"/>
          <w:b/>
          <w:bCs/>
          <w:color w:val="2A7D8C"/>
          <w:sz w:val="26"/>
          <w:szCs w:val="26"/>
        </w:rPr>
        <w:t xml:space="preserve">5.1 Exporting changes</w:t>
      </w:r>
    </w:p>
    <w:p>
      <w:pPr>
        <w:spacing w:after="100" w:before="60"/>
      </w:pPr>
      <w:r>
        <w:rPr>
          <w:rFonts w:ascii="Arial" w:cs="Arial" w:eastAsia="Arial" w:hAnsi="Arial"/>
          <w:color w:val="111111"/>
          <w:sz w:val="20"/>
          <w:szCs w:val="20"/>
        </w:rPr>
        <w:t xml:space="preserve">When session changes are present, the "↓ Export changes" button becomes active (blue). Clicking it opens a modal showing:</w:t>
      </w:r>
    </w:p>
    <w:p>
      <w:pPr>
        <w:pStyle w:val="ListParagraph"/>
        <w:numPr>
          <w:ilvl w:val="0"/>
          <w:numId w:val="2"/>
        </w:numPr>
        <w:spacing w:after="40" w:before="40"/>
      </w:pPr>
      <w:r>
        <w:rPr>
          <w:rFonts w:ascii="Arial" w:cs="Arial" w:eastAsia="Arial" w:hAnsi="Arial"/>
          <w:color w:val="111111"/>
          <w:sz w:val="20"/>
          <w:szCs w:val="20"/>
        </w:rPr>
        <w:t xml:space="preserve">A human-readable summary of each change, with from and to values labelled</w:t>
      </w:r>
    </w:p>
    <w:p>
      <w:pPr>
        <w:pStyle w:val="ListParagraph"/>
        <w:numPr>
          <w:ilvl w:val="0"/>
          <w:numId w:val="2"/>
        </w:numPr>
        <w:spacing w:after="40" w:before="40"/>
      </w:pPr>
      <w:r>
        <w:rPr>
          <w:rFonts w:ascii="Arial" w:cs="Arial" w:eastAsia="Arial" w:hAnsi="Arial"/>
          <w:color w:val="111111"/>
          <w:sz w:val="20"/>
          <w:szCs w:val="20"/>
        </w:rPr>
        <w:t xml:space="preserve">A raw JSON block containing the full structured diff, ready to be copied</w:t>
      </w:r>
    </w:p>
    <w:p>
      <w:pPr>
        <w:spacing w:after="0" w:before="80"/>
      </w:pPr>
    </w:p>
    <w:p>
      <w:pPr>
        <w:spacing w:after="100" w:before="60"/>
      </w:pPr>
      <w:r>
        <w:rPr>
          <w:rFonts w:ascii="Arial" w:cs="Arial" w:eastAsia="Arial" w:hAnsi="Arial"/>
          <w:color w:val="111111"/>
          <w:sz w:val="20"/>
          <w:szCs w:val="20"/>
        </w:rPr>
        <w:t xml:space="preserve">The JSON can be copied to the clipboard using the "Copy JSON" button. This structured diff can then be applied back to the source dataset by whoever maintains it — either manually or programmatically.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D8C" w:sz="12"/>
              <w:left w:val="single" w:color="2A7D8C" w:sz="18"/>
              <w:bottom w:val="single" w:color="2A7D8C" w:sz="12"/>
              <w:right w:val="single" w:color="2A7D8C" w:sz="12"/>
            </w:tcBorders>
            <w:shd w:fill="D4EEF2" w:val="clear"/>
            <w:tcMar>
              <w:top w:type="dxa" w:w="100"/>
              <w:left w:type="dxa" w:w="160"/>
              <w:bottom w:type="dxa" w:w="100"/>
              <w:right w:type="dxa" w:w="160"/>
            </w:tcMar>
          </w:tcPr>
          <w:p>
            <w:pPr>
              <w:spacing w:after="60" w:before="0"/>
            </w:pPr>
            <w:r>
              <w:rPr>
                <w:rFonts w:ascii="Arial" w:cs="Arial" w:eastAsia="Arial" w:hAnsi="Arial"/>
                <w:b/>
                <w:bCs/>
                <w:color w:val="2A7D8C"/>
                <w:sz w:val="20"/>
                <w:szCs w:val="20"/>
              </w:rPr>
              <w:t xml:space="preserve">Export JSON format</w:t>
            </w:r>
          </w:p>
          <w:p>
            <w:pPr>
              <w:spacing w:after="30" w:before="0"/>
            </w:pPr>
            <w:r>
              <w:rPr>
                <w:rFonts w:ascii="Arial" w:cs="Arial" w:eastAsia="Arial" w:hAnsi="Arial"/>
                <w:color w:val="111111"/>
                <w:sz w:val="20"/>
                <w:szCs w:val="20"/>
              </w:rPr>
              <w:t xml:space="preserve">The exported JSON contains three optional sections:</w:t>
            </w:r>
          </w:p>
          <w:p>
            <w:pPr>
              <w:spacing w:after="30" w:before="0"/>
            </w:pPr>
            <w:r>
              <w:rPr>
                <w:rFonts w:ascii="Arial" w:cs="Arial" w:eastAsia="Arial" w:hAnsi="Arial"/>
                <w:color w:val="111111"/>
                <w:sz w:val="20"/>
                <w:szCs w:val="20"/>
              </w:rPr>
              <w:t xml:space="preserve">  enabler_completion_levels — changes to enabler completion, with from/to values and labels</w:t>
            </w:r>
          </w:p>
          <w:p>
            <w:pPr>
              <w:spacing w:after="30" w:before="0"/>
            </w:pPr>
            <w:r>
              <w:rPr>
                <w:rFonts w:ascii="Arial" w:cs="Arial" w:eastAsia="Arial" w:hAnsi="Arial"/>
                <w:color w:val="111111"/>
                <w:sz w:val="20"/>
                <w:szCs w:val="20"/>
              </w:rPr>
              <w:t xml:space="preserve">  impact_weights — changes to impact factor weights</w:t>
            </w:r>
          </w:p>
          <w:p>
            <w:pPr>
              <w:spacing w:after="30" w:before="0"/>
            </w:pPr>
            <w:r>
              <w:rPr>
                <w:rFonts w:ascii="Arial" w:cs="Arial" w:eastAsia="Arial" w:hAnsi="Arial"/>
                <w:color w:val="111111"/>
                <w:sz w:val="20"/>
                <w:szCs w:val="20"/>
              </w:rPr>
              <w:t xml:space="preserve">  readiness_weights — changes to readiness factor weights</w:t>
            </w:r>
          </w:p>
          <w:p>
            <w:pPr>
              <w:spacing w:after="30" w:before="0"/>
            </w:pPr>
            <w:r>
              <w:rPr>
                <w:rFonts w:ascii="Arial" w:cs="Arial" w:eastAsia="Arial" w:hAnsi="Arial"/>
                <w:color w:val="111111"/>
                <w:sz w:val="20"/>
                <w:szCs w:val="20"/>
              </w:rPr>
              <w:t xml:space="preserve">Only sections with actual changes are included. Unchanged items are omitted.</w:t>
            </w:r>
          </w:p>
        </w:tc>
      </w:tr>
    </w:tbl>
    <w:p>
      <w:pPr>
        <w:spacing w:after="0" w:before="160"/>
      </w:pPr>
    </w:p>
    <w:p>
      <w:pPr>
        <w:pStyle w:val="Heading1"/>
        <w:pBdr>
          <w:bottom w:val="single" w:color="2A7D8C" w:sz="6" w:space="4"/>
        </w:pBdr>
        <w:spacing w:after="140" w:before="360"/>
      </w:pPr>
      <w:r>
        <w:rPr>
          <w:rFonts w:ascii="Georgia" w:cs="Georgia" w:eastAsia="Georgia" w:hAnsi="Georgia"/>
          <w:b/>
          <w:bCs/>
          <w:color w:val="1B3A5C"/>
          <w:sz w:val="32"/>
          <w:szCs w:val="32"/>
        </w:rPr>
        <w:t xml:space="preserve">6. The Sample Dataset</w:t>
      </w:r>
    </w:p>
    <w:p>
      <w:pPr>
        <w:spacing w:after="100" w:before="60"/>
      </w:pPr>
      <w:r>
        <w:rPr>
          <w:rFonts w:ascii="Arial" w:cs="Arial" w:eastAsia="Arial" w:hAnsi="Arial"/>
          <w:color w:val="111111"/>
          <w:sz w:val="20"/>
          <w:szCs w:val="20"/>
        </w:rPr>
        <w:t xml:space="preserve">The tool is pre-loaded with a sample dataset representing a fictional retail insurance firm. It contains 30 AI use cases spanning six business domains, assessed against six impact factors and seven readiness factors, with eight implementation enablers.</w:t>
      </w:r>
    </w:p>
    <w:p>
      <w:pPr>
        <w:spacing w:after="0" w:before="80"/>
      </w:pPr>
    </w:p>
    <w:p>
      <w:pPr>
        <w:pStyle w:val="Heading2"/>
        <w:spacing w:after="100" w:before="280"/>
      </w:pPr>
      <w:r>
        <w:rPr>
          <w:rFonts w:ascii="Arial" w:cs="Arial" w:eastAsia="Arial" w:hAnsi="Arial"/>
          <w:b/>
          <w:bCs/>
          <w:color w:val="2A7D8C"/>
          <w:sz w:val="26"/>
          <w:szCs w:val="26"/>
        </w:rPr>
        <w:t xml:space="preserve">6.1 Business domains in the sample</w:t>
      </w:r>
    </w:p>
    <w:p>
      <w:pPr>
        <w:pStyle w:val="ListParagraph"/>
        <w:numPr>
          <w:ilvl w:val="0"/>
          <w:numId w:val="2"/>
        </w:numPr>
        <w:spacing w:after="40" w:before="40"/>
      </w:pPr>
      <w:r>
        <w:rPr>
          <w:rFonts w:ascii="Arial" w:cs="Arial" w:eastAsia="Arial" w:hAnsi="Arial"/>
          <w:color w:val="111111"/>
          <w:sz w:val="20"/>
          <w:szCs w:val="20"/>
        </w:rPr>
        <w:t xml:space="preserve">Personal Lines Underwriting</w:t>
      </w:r>
    </w:p>
    <w:p>
      <w:pPr>
        <w:pStyle w:val="ListParagraph"/>
        <w:numPr>
          <w:ilvl w:val="0"/>
          <w:numId w:val="2"/>
        </w:numPr>
        <w:spacing w:after="40" w:before="40"/>
      </w:pPr>
      <w:r>
        <w:rPr>
          <w:rFonts w:ascii="Arial" w:cs="Arial" w:eastAsia="Arial" w:hAnsi="Arial"/>
          <w:color w:val="111111"/>
          <w:sz w:val="20"/>
          <w:szCs w:val="20"/>
        </w:rPr>
        <w:t xml:space="preserve">Claims</w:t>
      </w:r>
    </w:p>
    <w:p>
      <w:pPr>
        <w:pStyle w:val="ListParagraph"/>
        <w:numPr>
          <w:ilvl w:val="0"/>
          <w:numId w:val="2"/>
        </w:numPr>
        <w:spacing w:after="40" w:before="40"/>
      </w:pPr>
      <w:r>
        <w:rPr>
          <w:rFonts w:ascii="Arial" w:cs="Arial" w:eastAsia="Arial" w:hAnsi="Arial"/>
          <w:color w:val="111111"/>
          <w:sz w:val="20"/>
          <w:szCs w:val="20"/>
        </w:rPr>
        <w:t xml:space="preserve">Customer &amp; Distribution</w:t>
      </w:r>
    </w:p>
    <w:p>
      <w:pPr>
        <w:pStyle w:val="ListParagraph"/>
        <w:numPr>
          <w:ilvl w:val="0"/>
          <w:numId w:val="2"/>
        </w:numPr>
        <w:spacing w:after="40" w:before="40"/>
      </w:pPr>
      <w:r>
        <w:rPr>
          <w:rFonts w:ascii="Arial" w:cs="Arial" w:eastAsia="Arial" w:hAnsi="Arial"/>
          <w:color w:val="111111"/>
          <w:sz w:val="20"/>
          <w:szCs w:val="20"/>
        </w:rPr>
        <w:t xml:space="preserve">Finance &amp; Actuarial</w:t>
      </w:r>
    </w:p>
    <w:p>
      <w:pPr>
        <w:pStyle w:val="ListParagraph"/>
        <w:numPr>
          <w:ilvl w:val="0"/>
          <w:numId w:val="2"/>
        </w:numPr>
        <w:spacing w:after="40" w:before="40"/>
      </w:pPr>
      <w:r>
        <w:rPr>
          <w:rFonts w:ascii="Arial" w:cs="Arial" w:eastAsia="Arial" w:hAnsi="Arial"/>
          <w:color w:val="111111"/>
          <w:sz w:val="20"/>
          <w:szCs w:val="20"/>
        </w:rPr>
        <w:t xml:space="preserve">Compliance &amp; Risk</w:t>
      </w:r>
    </w:p>
    <w:p>
      <w:pPr>
        <w:pStyle w:val="ListParagraph"/>
        <w:numPr>
          <w:ilvl w:val="0"/>
          <w:numId w:val="2"/>
        </w:numPr>
        <w:spacing w:after="40" w:before="40"/>
      </w:pPr>
      <w:r>
        <w:rPr>
          <w:rFonts w:ascii="Arial" w:cs="Arial" w:eastAsia="Arial" w:hAnsi="Arial"/>
          <w:color w:val="111111"/>
          <w:sz w:val="20"/>
          <w:szCs w:val="20"/>
        </w:rPr>
        <w:t xml:space="preserve">Operations &amp; IT</w:t>
      </w:r>
    </w:p>
    <w:p>
      <w:pPr>
        <w:spacing w:after="0" w:before="80"/>
      </w:pPr>
    </w:p>
    <w:p>
      <w:pPr>
        <w:pStyle w:val="Heading2"/>
        <w:spacing w:after="100" w:before="280"/>
      </w:pPr>
      <w:r>
        <w:rPr>
          <w:rFonts w:ascii="Arial" w:cs="Arial" w:eastAsia="Arial" w:hAnsi="Arial"/>
          <w:b/>
          <w:bCs/>
          <w:color w:val="2A7D8C"/>
          <w:sz w:val="26"/>
          <w:szCs w:val="26"/>
        </w:rPr>
        <w:t xml:space="preserve">6.2 Investment themes</w:t>
      </w:r>
    </w:p>
    <w:p>
      <w:pPr>
        <w:pStyle w:val="ListParagraph"/>
        <w:numPr>
          <w:ilvl w:val="0"/>
          <w:numId w:val="2"/>
        </w:numPr>
        <w:spacing w:after="40" w:before="40"/>
      </w:pPr>
      <w:r>
        <w:rPr>
          <w:rFonts w:ascii="Arial" w:cs="Arial" w:eastAsia="Arial" w:hAnsi="Arial"/>
          <w:color w:val="111111"/>
          <w:sz w:val="20"/>
          <w:szCs w:val="20"/>
        </w:rPr>
        <w:t xml:space="preserve">Efficiency — automation and cost reduction</w:t>
      </w:r>
    </w:p>
    <w:p>
      <w:pPr>
        <w:pStyle w:val="ListParagraph"/>
        <w:numPr>
          <w:ilvl w:val="0"/>
          <w:numId w:val="2"/>
        </w:numPr>
        <w:spacing w:after="40" w:before="40"/>
      </w:pPr>
      <w:r>
        <w:rPr>
          <w:rFonts w:ascii="Arial" w:cs="Arial" w:eastAsia="Arial" w:hAnsi="Arial"/>
          <w:color w:val="111111"/>
          <w:sz w:val="20"/>
          <w:szCs w:val="20"/>
        </w:rPr>
        <w:t xml:space="preserve">Intelligence — decision support and analytics</w:t>
      </w:r>
    </w:p>
    <w:p>
      <w:pPr>
        <w:pStyle w:val="ListParagraph"/>
        <w:numPr>
          <w:ilvl w:val="0"/>
          <w:numId w:val="2"/>
        </w:numPr>
        <w:spacing w:after="40" w:before="40"/>
      </w:pPr>
      <w:r>
        <w:rPr>
          <w:rFonts w:ascii="Arial" w:cs="Arial" w:eastAsia="Arial" w:hAnsi="Arial"/>
          <w:color w:val="111111"/>
          <w:sz w:val="20"/>
          <w:szCs w:val="20"/>
        </w:rPr>
        <w:t xml:space="preserve">Engagement — customer and employee experience</w:t>
      </w:r>
    </w:p>
    <w:p>
      <w:pPr>
        <w:pStyle w:val="ListParagraph"/>
        <w:numPr>
          <w:ilvl w:val="0"/>
          <w:numId w:val="2"/>
        </w:numPr>
        <w:spacing w:after="40" w:before="40"/>
      </w:pPr>
      <w:r>
        <w:rPr>
          <w:rFonts w:ascii="Arial" w:cs="Arial" w:eastAsia="Arial" w:hAnsi="Arial"/>
          <w:color w:val="111111"/>
          <w:sz w:val="20"/>
          <w:szCs w:val="20"/>
        </w:rPr>
        <w:t xml:space="preserve">Foundations — enabling infrastructure and capability</w:t>
      </w:r>
    </w:p>
    <w:p>
      <w:pPr>
        <w:spacing w:after="0" w:before="80"/>
      </w:pPr>
    </w:p>
    <w:p>
      <w:pPr>
        <w:pStyle w:val="Heading2"/>
        <w:spacing w:after="100" w:before="280"/>
      </w:pPr>
      <w:r>
        <w:rPr>
          <w:rFonts w:ascii="Arial" w:cs="Arial" w:eastAsia="Arial" w:hAnsi="Arial"/>
          <w:b/>
          <w:bCs/>
          <w:color w:val="2A7D8C"/>
          <w:sz w:val="26"/>
          <w:szCs w:val="26"/>
        </w:rPr>
        <w:t xml:space="preserve">6.3 Score interpretation</w:t>
      </w:r>
    </w:p>
    <w:p>
      <w:pPr>
        <w:spacing w:after="100" w:before="60"/>
      </w:pPr>
      <w:r>
        <w:rPr>
          <w:rFonts w:ascii="Arial" w:cs="Arial" w:eastAsia="Arial" w:hAnsi="Arial"/>
          <w:color w:val="111111"/>
          <w:sz w:val="20"/>
          <w:szCs w:val="20"/>
        </w:rPr>
        <w:t xml:space="preserve">All factor scores are on a 1–5 scale. The composite scores (visible as axis positions and in the Detail panel) are weighted averages of the underlying factor scores. Because scores tend to cluster in the middle of the range, the chart axes are scaled dynamically to the actual data range — this is intentional and expected.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6B10" w:sz="12"/>
              <w:left w:val="single" w:color="B36B10" w:sz="18"/>
              <w:bottom w:val="single" w:color="B36B10" w:sz="12"/>
              <w:right w:val="single" w:color="B36B10" w:sz="12"/>
            </w:tcBorders>
            <w:shd w:fill="FDF3E3" w:val="clear"/>
            <w:tcMar>
              <w:top w:type="dxa" w:w="100"/>
              <w:left w:type="dxa" w:w="160"/>
              <w:bottom w:type="dxa" w:w="100"/>
              <w:right w:type="dxa" w:w="160"/>
            </w:tcMar>
          </w:tcPr>
          <w:p>
            <w:pPr>
              <w:spacing w:after="60" w:before="0"/>
            </w:pPr>
            <w:r>
              <w:rPr>
                <w:rFonts w:ascii="Arial" w:cs="Arial" w:eastAsia="Arial" w:hAnsi="Arial"/>
                <w:b/>
                <w:bCs/>
                <w:color w:val="B36B10"/>
                <w:sz w:val="20"/>
                <w:szCs w:val="20"/>
              </w:rPr>
              <w:t xml:space="preserve">Note on readiness scores</w:t>
            </w:r>
          </w:p>
          <w:p>
            <w:pPr>
              <w:spacing w:after="30" w:before="0"/>
            </w:pPr>
            <w:r>
              <w:rPr>
                <w:rFonts w:ascii="Arial" w:cs="Arial" w:eastAsia="Arial" w:hAnsi="Arial"/>
                <w:color w:val="111111"/>
                <w:sz w:val="20"/>
                <w:szCs w:val="20"/>
              </w:rPr>
              <w:t xml:space="preserve">The readiness scores for each use case already reflect the current real-world state of each enabler at the time the dataset was created.</w:t>
            </w:r>
          </w:p>
          <w:p>
            <w:pPr>
              <w:spacing w:after="30" w:before="0"/>
            </w:pPr>
            <w:r>
              <w:rPr>
                <w:rFonts w:ascii="Arial" w:cs="Arial" w:eastAsia="Arial" w:hAnsi="Arial"/>
                <w:color w:val="111111"/>
                <w:sz w:val="20"/>
                <w:szCs w:val="20"/>
              </w:rPr>
              <w:t xml:space="preserve">The enabler completion levels in the Enablers tab represent that same baseline. Adjusting a completion level models a future scenario — what would the readiness scores look like if that enabler were more (or less) advanced.</w:t>
            </w:r>
          </w:p>
        </w:tc>
      </w:tr>
    </w:tbl>
    <w:p>
      <w:pPr>
        <w:spacing w:after="0" w:before="160"/>
      </w:pPr>
    </w:p>
    <w:p>
      <w:pPr>
        <w:pStyle w:val="Heading1"/>
        <w:pBdr>
          <w:bottom w:val="single" w:color="2A7D8C" w:sz="6" w:space="4"/>
        </w:pBdr>
        <w:spacing w:after="140" w:before="360"/>
      </w:pPr>
      <w:r>
        <w:rPr>
          <w:rFonts w:ascii="Georgia" w:cs="Georgia" w:eastAsia="Georgia" w:hAnsi="Georgia"/>
          <w:b/>
          <w:bCs/>
          <w:color w:val="1B3A5C"/>
          <w:sz w:val="32"/>
          <w:szCs w:val="32"/>
        </w:rPr>
        <w:t xml:space="preserve">7. Tips for Workshop Use</w:t>
      </w:r>
    </w:p>
    <w:p>
      <w:pPr>
        <w:pStyle w:val="ListParagraph"/>
        <w:numPr>
          <w:ilvl w:val="0"/>
          <w:numId w:val="2"/>
        </w:numPr>
        <w:spacing w:after="40" w:before="40"/>
      </w:pPr>
      <w:r>
        <w:rPr>
          <w:rFonts w:ascii="Arial" w:cs="Arial" w:eastAsia="Arial" w:hAnsi="Arial"/>
          <w:color w:val="111111"/>
          <w:sz w:val="20"/>
          <w:szCs w:val="20"/>
        </w:rPr>
        <w:t xml:space="preserve">Start with the default view to give participants a sense of the overall landscape before applying any filters.</w:t>
      </w:r>
    </w:p>
    <w:p>
      <w:pPr>
        <w:pStyle w:val="ListParagraph"/>
        <w:numPr>
          <w:ilvl w:val="0"/>
          <w:numId w:val="2"/>
        </w:numPr>
        <w:spacing w:after="40" w:before="40"/>
      </w:pPr>
      <w:r>
        <w:rPr>
          <w:rFonts w:ascii="Arial" w:cs="Arial" w:eastAsia="Arial" w:hAnsi="Arial"/>
          <w:color w:val="111111"/>
          <w:sz w:val="20"/>
          <w:szCs w:val="20"/>
        </w:rPr>
        <w:t xml:space="preserve">Use the colour-by selector to cycle through different views of the same data — switching from "Investment theme" to "Regulatory risk" often surfaces interesting patterns.</w:t>
      </w:r>
    </w:p>
    <w:p>
      <w:pPr>
        <w:pStyle w:val="ListParagraph"/>
        <w:numPr>
          <w:ilvl w:val="0"/>
          <w:numId w:val="2"/>
        </w:numPr>
        <w:spacing w:after="40" w:before="40"/>
      </w:pPr>
      <w:r>
        <w:rPr>
          <w:rFonts w:ascii="Arial" w:cs="Arial" w:eastAsia="Arial" w:hAnsi="Arial"/>
          <w:color w:val="111111"/>
          <w:sz w:val="20"/>
          <w:szCs w:val="20"/>
        </w:rPr>
        <w:t xml:space="preserve">Use the Enablers tab to explore the "what if" question: which foundational investment would move the most high-impact use cases into a more deliverable position?</w:t>
      </w:r>
    </w:p>
    <w:p>
      <w:pPr>
        <w:pStyle w:val="ListParagraph"/>
        <w:numPr>
          <w:ilvl w:val="0"/>
          <w:numId w:val="2"/>
        </w:numPr>
        <w:spacing w:after="40" w:before="40"/>
      </w:pPr>
      <w:r>
        <w:rPr>
          <w:rFonts w:ascii="Arial" w:cs="Arial" w:eastAsia="Arial" w:hAnsi="Arial"/>
          <w:color w:val="111111"/>
          <w:sz w:val="20"/>
          <w:szCs w:val="20"/>
        </w:rPr>
        <w:t xml:space="preserve">Tick multiple enablers simultaneously to show which use cases would become accessible if a combination of investments were made.</w:t>
      </w:r>
    </w:p>
    <w:p>
      <w:pPr>
        <w:pStyle w:val="ListParagraph"/>
        <w:numPr>
          <w:ilvl w:val="0"/>
          <w:numId w:val="2"/>
        </w:numPr>
        <w:spacing w:after="40" w:before="40"/>
      </w:pPr>
      <w:r>
        <w:rPr>
          <w:rFonts w:ascii="Arial" w:cs="Arial" w:eastAsia="Arial" w:hAnsi="Arial"/>
          <w:color w:val="111111"/>
          <w:sz w:val="20"/>
          <w:szCs w:val="20"/>
        </w:rPr>
        <w:t xml:space="preserve">Turn on dependency arrows after establishing the basic landscape — they add useful context once participants are oriented, but can be overwhelming as an opening view.</w:t>
      </w:r>
    </w:p>
    <w:p>
      <w:pPr>
        <w:pStyle w:val="ListParagraph"/>
        <w:numPr>
          <w:ilvl w:val="0"/>
          <w:numId w:val="2"/>
        </w:numPr>
        <w:spacing w:after="40" w:before="40"/>
      </w:pPr>
      <w:r>
        <w:rPr>
          <w:rFonts w:ascii="Arial" w:cs="Arial" w:eastAsia="Arial" w:hAnsi="Arial"/>
          <w:color w:val="111111"/>
          <w:sz w:val="20"/>
          <w:szCs w:val="20"/>
        </w:rPr>
        <w:t xml:space="preserve">Use the Weight tab to surface disagreements about priorities. Asking "what would the chart look like if we weighted revenue growth more heavily than risk reduction?" often provokes productive discussion.</w:t>
      </w:r>
    </w:p>
    <w:p>
      <w:pPr>
        <w:pStyle w:val="ListParagraph"/>
        <w:numPr>
          <w:ilvl w:val="0"/>
          <w:numId w:val="2"/>
        </w:numPr>
        <w:spacing w:after="40" w:before="40"/>
      </w:pPr>
      <w:r>
        <w:rPr>
          <w:rFonts w:ascii="Arial" w:cs="Arial" w:eastAsia="Arial" w:hAnsi="Arial"/>
          <w:color w:val="111111"/>
          <w:sz w:val="20"/>
          <w:szCs w:val="20"/>
        </w:rPr>
        <w:t xml:space="preserve">Export the SVG at the end of the session to capture the view agreed by the group. Use Export Changes to record any adjustments made to enabler levels or weights.</w:t>
      </w:r>
    </w:p>
    <w:p>
      <w:pPr>
        <w:spacing w:after="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D8C" w:sz="6" w:space="4"/>
      </w:pBdr>
      <w:spacing w:after="0" w:before="120"/>
    </w:pPr>
    <w:r>
      <w:rPr>
        <w:rFonts w:ascii="Arial" w:cs="Arial" w:eastAsia="Arial" w:hAnsi="Arial"/>
        <w:color w:val="4A5568"/>
        <w:sz w:val="16"/>
        <w:szCs w:val="16"/>
      </w:rPr>
      <w:t xml:space="preserve">Confidential  |  For reviewer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D8C" w:sz="6" w:space="4"/>
      </w:pBdr>
      <w:spacing w:after="120" w:before="0"/>
    </w:pPr>
    <w:r>
      <w:rPr>
        <w:rFonts w:ascii="Arial" w:cs="Arial" w:eastAsia="Arial" w:hAnsi="Arial"/>
        <w:color w:val="4A5568"/>
        <w:sz w:val="18"/>
        <w:szCs w:val="18"/>
      </w:rPr>
      <w:t xml:space="preserve">AI Opportunity Map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B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A7D8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2026-03-30T12:01:46.025Z</dcterms:created>
  <dcterms:modified xsi:type="dcterms:W3CDTF">2026-03-30T12:01:46.026Z</dcterms:modified>
</cp:coreProperties>
</file>

<file path=docProps/custom.xml><?xml version="1.0" encoding="utf-8"?>
<Properties xmlns="http://schemas.openxmlformats.org/officeDocument/2006/custom-properties" xmlns:vt="http://schemas.openxmlformats.org/officeDocument/2006/docPropsVTypes"/>
</file>