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</w:pPr>
      <w:r>
        <w:rPr>
          <w:b/>
          <w:bCs/>
          <w:color w:val="00A87A"/>
          <w:spacing w:val="30"/>
          <w:sz w:val="16"/>
          <w:szCs w:val="16"/>
        </w:rPr>
        <w:t xml:space="preserve">POSITIONING NOTE  ·  CNA ONBOARDING ENGINE</w:t>
      </w:r>
    </w:p>
    <w:p>
      <w:pPr>
        <w:spacing w:after="60"/>
      </w:pPr>
      <w:r>
        <w:rPr>
          <w:b/>
          <w:bCs/>
          <w:color w:val="0A1826"/>
          <w:sz w:val="44"/>
          <w:szCs w:val="44"/>
        </w:rPr>
        <w:t xml:space="preserve">Onboarding </w:t>
      </w:r>
      <w:r>
        <w:rPr>
          <w:b/>
          <w:bCs/>
          <w:color w:val="D94B12"/>
          <w:sz w:val="44"/>
          <w:szCs w:val="44"/>
        </w:rPr>
        <w:t xml:space="preserve">→</w:t>
      </w:r>
      <w:r>
        <w:rPr>
          <w:b/>
          <w:bCs/>
          <w:color w:val="0A1826"/>
          <w:sz w:val="44"/>
          <w:szCs w:val="44"/>
        </w:rPr>
        <w:t xml:space="preserve"> Upskilling </w:t>
      </w:r>
      <w:r>
        <w:rPr>
          <w:b/>
          <w:bCs/>
          <w:color w:val="D94B12"/>
          <w:sz w:val="44"/>
          <w:szCs w:val="44"/>
        </w:rPr>
        <w:t xml:space="preserve">→</w:t>
      </w:r>
      <w:r>
        <w:rPr>
          <w:b/>
          <w:bCs/>
          <w:color w:val="0A1826"/>
          <w:sz w:val="44"/>
          <w:szCs w:val="44"/>
        </w:rPr>
        <w:t xml:space="preserve"> Retention</w:t>
      </w:r>
    </w:p>
    <w:p>
      <w:pPr>
        <w:spacing w:after="240"/>
      </w:pPr>
      <w:r>
        <w:rPr>
          <w:i/>
          <w:iCs/>
          <w:color w:val="6B88A0"/>
          <w:sz w:val="22"/>
          <w:szCs w:val="22"/>
        </w:rPr>
        <w:t xml:space="preserve">Positioning the AIWIZN CNA Onboarding Engine against the first-90-day turnover problem.</w:t>
      </w:r>
    </w:p>
    <w:p>
      <w:pPr>
        <w:pStyle w:val="Heading1"/>
      </w:pPr>
      <w:r>
        <w:t xml:space="preserve">1.  The Problem Worth Solving</w:t>
      </w:r>
    </w:p>
    <w:p>
      <w:pPr>
        <w:spacing w:after="160"/>
      </w:pPr>
      <w:r>
        <w:t xml:space="preserve">Turnover among hospital patient care staff — Certified Nursing Assistants, Patient Care Technicians, and Patient Care Assistants — is highest in the </w:t>
      </w:r>
      <w:r>
        <w:rPr>
          <w:b/>
          <w:bCs/>
        </w:rPr>
        <w:t xml:space="preserve">first 90 days of employment</w:t>
      </w:r>
      <w:r>
        <w:t xml:space="preserve">. This is the single most expensive, most addressable window in the workforce lifecycle. A new hire who leaves inside three months returns almost none of the recruiting, credentialing, and orientation investment made in them.</w:t>
      </w:r>
    </w:p>
    <w:p>
      <w:pPr>
        <w:spacing w:after="160"/>
      </w:pPr>
      <w:r>
        <w:t xml:space="preserve">Industry training data makes the size of the prize clear: by one widely cited HR figure, </w:t>
      </w:r>
      <w:r>
        <w:rPr>
          <w:b/>
          <w:bCs/>
        </w:rPr>
        <w:t xml:space="preserve">roughly 69% of employees who experience a strong onboarding process are likely to stay three years</w:t>
      </w:r>
      <w:r>
        <w:t xml:space="preserve"> — and are meaningfully more likely to stay beyond that. Onboarding is not an administrative cost. It is a retention lever.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A87A" w:sz="18"/>
              <w:bottom w:val="none"/>
              <w:right w:val="none"/>
            </w:tcBorders>
            <w:shd w:fill="EEF3F7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A87A"/>
                <w:spacing w:val="20"/>
                <w:sz w:val="16"/>
                <w:szCs w:val="16"/>
              </w:rPr>
              <w:t xml:space="preserve">THE CORE INSIGHT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Structured onboarding is the cheapest retention intervention a hospital can make. </w:t>
            </w:r>
            <w:r>
              <w:t xml:space="preserve">The AIWIZN CNA Onboarding Engine is built to occupy exactly that window — and to convert it into measurable readiness.</w:t>
            </w:r>
          </w:p>
        </w:tc>
      </w:tr>
    </w:tbl>
    <w:p>
      <w:pPr>
        <w:pStyle w:val="Heading1"/>
      </w:pPr>
      <w:r>
        <w:t xml:space="preserve">2.  The Positioning: One Continuum, Not One Event</w:t>
      </w:r>
    </w:p>
    <w:p>
      <w:pPr>
        <w:spacing w:after="160"/>
      </w:pPr>
      <w:r>
        <w:t xml:space="preserve">Onboarding should not be sold, or built, as a discrete event that ends on day one. The most effective workforce platforms in adjacent markets frame it as the first stage of a single continuum:</w:t>
      </w:r>
    </w:p>
    <w:p>
      <w:pPr>
        <w:spacing w:after="40" w:before="60"/>
      </w:pPr>
      <w:r>
        <w:rPr>
          <w:b/>
          <w:bCs/>
          <w:color w:val="00A87A"/>
          <w:spacing w:val="30"/>
          <w:sz w:val="16"/>
          <w:szCs w:val="16"/>
        </w:rPr>
        <w:t xml:space="preserve">THE CONTINUUM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Onboarding — </w:t>
      </w:r>
      <w:r>
        <w:t xml:space="preserve">credential, orient, and validate the new hire across the eight elements, ending in a placement-ready READINESS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Upskilling — </w:t>
      </w:r>
      <w:r>
        <w:t xml:space="preserve">targeted re-education on gap-flagged judgment areas, plus unit-specific and specialty growth as the role develops.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Retention — </w:t>
      </w:r>
      <w:r>
        <w:t xml:space="preserve">structured 30 / 60 / 90-day and annual checkpoints that catch struggles early, reinforce competence, and keep staff engaged.</w:t>
      </w:r>
    </w:p>
    <w:p>
      <w:pPr>
        <w:spacing w:after="160"/>
      </w:pPr>
      <w:r>
        <w:t xml:space="preserve">The CNA Onboarding Engine already contains all three stages. Element 8 (Ongoing Checkpoints) is the retention engine; the gap-flagging in the READINESS profile is the upskilling trigger. The positioning shift is simply to </w:t>
      </w:r>
      <w:r>
        <w:rPr>
          <w:b/>
          <w:bCs/>
        </w:rPr>
        <w:t xml:space="preserve">name the continuum explicitly</w:t>
      </w:r>
      <w:r>
        <w:t xml:space="preserve"> — so a hospital buyer sees a workforce-lifecycle platform, not a checklist tool.</w:t>
      </w:r>
    </w:p>
    <w:p>
      <w:pPr>
        <w:pStyle w:val="Heading1"/>
      </w:pPr>
      <w:r>
        <w:t xml:space="preserve">3.  Market Reference Points</w:t>
      </w:r>
    </w:p>
    <w:p>
      <w:pPr>
        <w:spacing w:after="160"/>
      </w:pPr>
      <w:r>
        <w:t xml:space="preserve">Three companies in the adjacent post-acute and home-care market illustrate both the model to learn from and the distinction to preserve.</w:t>
      </w:r>
    </w:p>
    <w:p>
      <w:pPr>
        <w:pStyle w:val="Heading2"/>
      </w:pPr>
      <w:r>
        <w:t xml:space="preserve">CareAcademy — the framing to borrow</w:t>
      </w:r>
    </w:p>
    <w:p>
      <w:pPr>
        <w:spacing w:after="160"/>
      </w:pPr>
      <w:r>
        <w:t xml:space="preserve">An online training platform for post-acute caregivers. Its entire market message is built on the onboarding → upskilling → retention continuum, backed by a sharp data point: in its own survey, </w:t>
      </w:r>
      <w:r>
        <w:rPr>
          <w:b/>
          <w:bCs/>
        </w:rPr>
        <w:t xml:space="preserve">75% of caregivers said their employer had never discussed ongoing education with them, while nearly 70% said they wanted it</w:t>
      </w:r>
      <w:r>
        <w:t xml:space="preserve">. That gap — demand for development that employers fail to meet — is the retention argument AIWIZN should make in hospital language.</w:t>
      </w:r>
    </w:p>
    <w:p>
      <w:pPr>
        <w:pStyle w:val="Heading2"/>
      </w:pPr>
      <w:r>
        <w:t xml:space="preserve">Checkr — the credentialing model</w:t>
      </w:r>
    </w:p>
    <w:p>
      <w:pPr>
        <w:spacing w:after="160"/>
      </w:pPr>
      <w:r>
        <w:t xml:space="preserve">A background-screening company whose healthcare workflow maps almost exactly onto Element 1 of the engine. Checkr separates </w:t>
      </w:r>
      <w:r>
        <w:rPr>
          <w:b/>
          <w:bCs/>
        </w:rPr>
        <w:t xml:space="preserve">HR-owned screening</w:t>
      </w:r>
      <w:r>
        <w:t xml:space="preserve"> (criminal, exclusion-list, eligibility) from </w:t>
      </w:r>
      <w:r>
        <w:rPr>
          <w:b/>
          <w:bCs/>
        </w:rPr>
        <w:t xml:space="preserve">Occupational Health-owned clearance</w:t>
      </w:r>
      <w:r>
        <w:t xml:space="preserve"> (physicals, immunizations, drug testing) — the same two-lane structure the engine’s revised Credentialing element now uses. Checkr also treats the fit-for-duty physical as role-dependent, which supports the engine marking it “where required by policy.”</w:t>
      </w:r>
    </w:p>
    <w:p>
      <w:pPr>
        <w:pStyle w:val="Heading2"/>
      </w:pPr>
      <w:r>
        <w:t xml:space="preserve">WellSky — the integration hub</w:t>
      </w:r>
    </w:p>
    <w:p>
      <w:pPr>
        <w:spacing w:after="160"/>
      </w:pPr>
      <w:r>
        <w:t xml:space="preserve">A post-acute / home-care operating platform that serves as the system of record for thousands of agencies, with a large partner-integration ecosystem — Checkr and CareAcademy both plug into it. The relevance to AIWIZN: if the engine ever extends into post-acute settings, WellSky is the hub that onboarding, screening, and training tools connect through.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A87A" w:sz="18"/>
              <w:bottom w:val="none"/>
              <w:right w:val="none"/>
            </w:tcBorders>
            <w:shd w:fill="EEF3F7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A87A"/>
                <w:spacing w:val="20"/>
                <w:sz w:val="16"/>
                <w:szCs w:val="16"/>
              </w:rPr>
              <w:t xml:space="preserve">IMPORTANT SCOPE DISTINCTION</w:t>
            </w:r>
          </w:p>
          <w:p>
            <w:pPr>
              <w:spacing w:after="80"/>
            </w:pPr>
            <w:r>
              <w:t xml:space="preserve">Checkr, CareAcademy, and WellSky all operate in the </w:t>
            </w:r>
            <w:r>
              <w:rPr>
                <w:b/>
                <w:bCs/>
              </w:rPr>
              <w:t xml:space="preserve">post-acute / home-care</w:t>
            </w:r>
            <w:r>
              <w:t xml:space="preserve"> market — nursing homes, home health, hospice. The AIWIZN CNA Onboarding Engine targets </w:t>
            </w:r>
            <w:r>
              <w:rPr>
                <w:b/>
                <w:bCs/>
              </w:rPr>
              <w:t xml:space="preserve">hospital / acute-care</w:t>
            </w:r>
            <w:r>
              <w:t xml:space="preserve"> patient care staff.</w:t>
            </w:r>
          </w:p>
          <w:p>
            <w:pPr>
              <w:spacing w:after="0"/>
            </w:pPr>
            <w:r>
              <w:t xml:space="preserve">The frameworks transfer; the language should not be copied wholesale. A hospital workforce buyer is a different audience from a home-care agency owner — the engine should speak to acute-care credentialing, unit structure, and chain of command.</w:t>
            </w:r>
          </w:p>
        </w:tc>
      </w:tr>
    </w:tbl>
    <w:p>
      <w:pPr>
        <w:pStyle w:val="Heading1"/>
      </w:pPr>
      <w:r>
        <w:t xml:space="preserve">4.  How the Engine Delivers on the Positioning</w:t>
      </w:r>
    </w:p>
    <w:p>
      <w:pPr>
        <w:spacing w:after="160"/>
      </w:pPr>
      <w:r>
        <w:t xml:space="preserve">The positioning is not aspirational — the eight-element architecture already implements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A18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Continuum Stage</w:t>
            </w:r>
          </w:p>
        </w:tc>
        <w:tc>
          <w:tcPr>
            <w:tcW w:type="dxa" w:w="6760"/>
            <w:shd w:fill="0A18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the Engine Delivers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1826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A38"/>
                <w:sz w:val="20"/>
                <w:szCs w:val="20"/>
              </w:rPr>
              <w:t xml:space="preserve">Elements 1–7: credentialing through preceptorship, ending in a placement-ready READINESS profile and CNA Readiness Index (CRI).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1826"/>
                <w:sz w:val="20"/>
                <w:szCs w:val="20"/>
              </w:rPr>
              <w:t xml:space="preserve">Upskilling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A38"/>
                <w:sz w:val="20"/>
                <w:szCs w:val="20"/>
              </w:rPr>
              <w:t xml:space="preserve">Gap-flagged decision nodes in the READINESS profile trigger targeted re-education; Element 6 adds unit-specific and specialty growth.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1826"/>
                <w:sz w:val="20"/>
                <w:szCs w:val="20"/>
              </w:rPr>
              <w:t xml:space="preserve">Retention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A38"/>
                <w:sz w:val="20"/>
                <w:szCs w:val="20"/>
              </w:rPr>
              <w:t xml:space="preserve">Element 8: structured 30 / 60 / 90-day and annual checkpoints that surface struggles early and keep competence current.</w:t>
            </w:r>
          </w:p>
        </w:tc>
      </w:tr>
    </w:tbl>
    <w:p>
      <w:pPr>
        <w:pStyle w:val="Heading1"/>
      </w:pPr>
      <w:r>
        <w:t xml:space="preserve">5.  Recommended Message</w:t>
      </w:r>
    </w:p>
    <w:p>
      <w:pPr>
        <w:spacing w:after="160"/>
      </w:pPr>
      <w:r>
        <w:t xml:space="preserve">For pitch and marketing material, lead with the turnover problem and the continuum — not the feature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A87A" w:sz="18"/>
              <w:bottom w:val="none"/>
              <w:right w:val="none"/>
            </w:tcBorders>
            <w:shd w:fill="EEF3F7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A87A"/>
                <w:spacing w:val="20"/>
                <w:sz w:val="16"/>
                <w:szCs w:val="16"/>
              </w:rPr>
              <w:t xml:space="preserve">THE LINE TO LEAD WITH</w:t>
            </w:r>
          </w:p>
          <w:p>
            <w:pPr>
              <w:spacing w:after="0"/>
            </w:pPr>
            <w:r>
              <w:rPr>
                <w:i/>
                <w:iCs/>
                <w:sz w:val="22"/>
                <w:szCs w:val="22"/>
              </w:rPr>
              <w:t xml:space="preserve">“Most CNA turnover happens in the first 90 days. The AIWIZN CNA Onboarding Engine turns that window into measurable readiness — and makes onboarding the first stage of a continuous onboarding, upskilling, and retention pathway.”</w:t>
            </w:r>
          </w:p>
        </w:tc>
      </w:tr>
    </w:tbl>
    <w:p>
      <w:pPr>
        <w:spacing w:after="40" w:before="200"/>
      </w:pPr>
      <w:r>
        <w:rPr>
          <w:b/>
          <w:bCs/>
          <w:color w:val="0A1826"/>
          <w:sz w:val="21"/>
          <w:szCs w:val="21"/>
        </w:rPr>
        <w:t xml:space="preserve">Supporting points for the deck: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the first-90-day turnover cliff as the problem the engine is built around.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the product as a workforce-lifecycle platform, not an onboarding checklist.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CareAcademy data gap — staff want development their employers don’t offer — reframed for the hospital CNA audience.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language acute-care: credentialing, unit structure, chain of command, the READINESS profile and CRI.</w:t>
      </w:r>
    </w:p>
    <w:p>
      <w:pPr>
        <w:spacing w:before="280"/>
      </w:pPr>
      <w:r>
        <w:rPr>
          <w:i/>
          <w:iCs/>
          <w:color w:val="6B88A0"/>
          <w:sz w:val="16"/>
          <w:szCs w:val="16"/>
        </w:rPr>
        <w:t xml:space="preserve">Prepared for AIWIZN / ATEN Inc — internal positioning reference. Market data points are drawn from publicly available industry sources (CareAcademy, Checkr, WellSky) and a widely cited SHRM onboarding statistic; figures should be re-verified before use in external material.</w:t>
      </w:r>
    </w:p>
    <w:sectPr>
      <w:headerReference w:type="default" r:id="rId7"/>
      <w:footerReference w:type="default" r:id="rId8"/>
      <w:pgSz w:w="12240" w:h="15840" w:orient="portrait"/>
      <w:pgMar w:top="19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8EF" w:sz="4" w:space="6"/>
      </w:pBdr>
      <w:tabs>
        <w:tab w:val="right" w:pos="9026"/>
      </w:tabs>
    </w:pPr>
    <w:r>
      <w:rPr>
        <w:b/>
        <w:bCs/>
        <w:color w:val="00A87A"/>
        <w:spacing w:val="20"/>
        <w:sz w:val="13"/>
        <w:szCs w:val="13"/>
      </w:rPr>
      <w:t xml:space="preserve">IMAGINATION UNLIMITED</w:t>
    </w:r>
    <w:r>
      <w:rPr>
        <w:color w:val="6B88A0"/>
        <w:sz w:val="13"/>
        <w:szCs w:val="13"/>
      </w:rPr>
      <w:t xml:space="preserve">   Thomas@ateninc.com  ·  +1.919.341.8234</w:t>
    </w:r>
    <w:r>
      <w:rPr>
        <w:sz w:val="13"/>
        <w:szCs w:val="13"/>
      </w:rPr>
      <w:t xml:space="preserve">	</w:t>
    </w:r>
    <w:r>
      <w:rPr>
        <w:color w:val="6B88A0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</w:r>
  </w:p>
  <w:p>
    <w:pPr>
      <w:spacing w:before="30"/>
    </w:pPr>
    <w:r>
      <w:rPr>
        <w:color w:val="6B88A0"/>
        <w:sz w:val="12"/>
        <w:szCs w:val="12"/>
      </w:rPr>
      <w:t xml:space="preserve">© AIWIZN / ATEN Inc 2026  ·  Private &amp;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428750" cy="4095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DE8EF" w:sz="4" w:space="4"/>
      </w:pBdr>
      <w:spacing w:before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00A8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A87A" w:sz="6" w:space="4"/>
      </w:pBdr>
      <w:spacing w:after="140" w:before="320"/>
      <w:outlineLvl w:val="0"/>
    </w:pPr>
    <w:rPr>
      <w:rFonts w:ascii="Arial" w:cs="Arial" w:eastAsia="Arial" w:hAnsi="Arial"/>
      <w:b/>
      <w:bCs/>
      <w:color w:val="0A182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A18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99693ea98134909d3059bf26f79c68636b358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2026-05-26T18:02:08.866Z</dcterms:created>
  <dcterms:modified xsi:type="dcterms:W3CDTF">2026-05-26T18:02:08.866Z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