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before="200" w:after="80" w:line="320" w:lineRule="auto"/>
      </w:pPr>
      <w:r>
        <w:rPr>
          <w:rFonts w:ascii="Helvetica Neue" w:hAnsi="Helvetica Neue" w:cs="Helvetica Neue"/>
          <w:b/>
          <w:i w:val="0"/>
          <w:caps w:val="0"/>
          <w:color w:val="D08840"/>
          <w:sz w:val="16"/>
          <w:spacing w:val="120"/>
        </w:rPr>
        <w:t>SECURITY &amp; IT POSTURE · ONE-PAGER</w:t>
      </w:r>
    </w:p>
    <w:p>
      <w:pPr>
        <w:spacing w:before="0" w:after="320" w:line="320" w:lineRule="auto"/>
      </w:pPr>
      <w:r>
        <w:rPr>
          <w:rFonts w:ascii="Helvetica Neue" w:hAnsi="Helvetica Neue" w:cs="Helvetica Neue"/>
          <w:b w:val="0"/>
          <w:i w:val="0"/>
          <w:caps w:val="0"/>
          <w:color w:val="7C7A75"/>
          <w:sz w:val="18"/>
          <w:spacing w:val="40"/>
        </w:rPr>
        <w:t>Prepared for WakeMed CIO Review (or equivalent at any prospective customer)</w:t>
      </w:r>
    </w:p>
    <w:p>
      <w:pPr>
        <w:spacing w:before="80" w:after="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72"/>
        </w:rPr>
        <w:t>No PHI,</w:t>
      </w:r>
    </w:p>
    <w:p>
      <w:pPr>
        <w:spacing w:before="80" w:after="240" w:line="320" w:lineRule="auto"/>
      </w:pPr>
      <w:r>
        <w:rPr>
          <w:rFonts w:ascii="Georgia" w:hAnsi="Georgia" w:cs="Georgia"/>
          <w:b w:val="0"/>
          <w:i/>
          <w:caps w:val="0"/>
          <w:color w:val="2D7570"/>
          <w:sz w:val="72"/>
        </w:rPr>
        <w:t>by architecture.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/>
          <w:caps w:val="0"/>
          <w:color w:val="7C7A75"/>
          <w:sz w:val="22"/>
        </w:rPr>
        <w:t>Zero net-new IT lift. AIWIZN runs as SaaS — nurses log in at aiwizn.com. The patient cases are synthetic. The isolation model is Postgres row-level security with per-customer policies. ScORM exports pipe into the LMS you already run.</w:t>
      </w:r>
    </w:p>
    <w:p>
      <w:pPr>
        <w:spacing w:before="160" w:after="160"/>
        <w:pBdr>
          <w:bottom w:val="single" w:sz="6" w:space="1" w:color="CFC8BE"/>
        </w:pBdr>
      </w:pP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1 · NO PHI, BY ARCHITECTURE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AIWIZN scenarios use synthetic patient cases authored by Dr. Graham Snyder (Medical Director, WakeMed Center for Innovative Learning) and reviewed against current AHA / ASA / Surviving Sepsis Campaign guidelines. No identifiable patient data of any kind is ingested, stored, or processed. Learner data captured per session is limited to decision selections, time-on-task, scoring profile, and free-text reflection. No demographics, no employment data, no clinical records — unless the customer's admin explicitly opts in (and even then, scoped to anonymized aggregate metrics).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2 · MULTI-TENANT ISOLATION ENFORCED AT THE DATABASE ROW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AIWIZN runs on Supabase (managed Postgres). Every learner-data table has Row-Level Security policies that gate every query by the authenticated user's customer_id. A WakeMed user cannot query a Duke row regardless of API path. Security-definer helper functions are locked to search_path = public, pg_temp to prevent escalation. Isolation is validated by an automated smoke test that runs as a low-privilege user and asserts zero cross-customer visibility before each migration ships.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3 · AUTHENTICATION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Email / magic-link by default (Supabase Auth)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SSO via SAML or OIDC on Supabase Pro — Azure AD / Entra ID, Okta, Google Workspace supported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Enterprise tier assumes SSO mandatory (matches most hospitals on Azure / MS 365)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Session lifetime, refresh, and MFA policies configurable per customer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4 · COMPLIANCE ROADMAP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SOC 2 Type II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In-design (controls inventory drafted) · Q1 2027 audit target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HIPAA / BAA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Not required at early-demo stage (no PHI); BAA available on request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HITRUST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Roadmap · Q3 2027 if customer demand justifies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FedRAMP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Out of scope (no federal customer pipeline)</w:t>
            </w:r>
          </w:p>
        </w:tc>
      </w:tr>
    </w:tbl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5 · LMS INTEGRATION (SCORM)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AIWIZN sessions export as ScORM 1.2 / 2004 packages compatible with Cornerstone, SumTotal, HealthStream, and other hospital LMS platforms. Completion status, score, and time-on-task pipe into the LMS gradebook automatically. Roadmap includes xAPI for finer-grained analytics where the LMS supports it.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6 · DEPLOYMENT OPTIONS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SaaS multi-tenant (default)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Shared Supabase project, RLS-enforced isolation. Recommended for early demo and standard production. ZERO net-new infrastructure — nurses log in at aiwizn.com.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Single-tenant SaaS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Dedicated Supabase project per customer. Enterprise tier when IT wants no shared infra. One-day provisioning, customer signs BAA + reviews instance.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VPC-isolated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Customer's AWS / Azure subscription. High-sensitivity / federally regulated customers. Customer hosts; AIWIZN deploys.</w:t>
            </w:r>
          </w:p>
        </w:tc>
      </w:tr>
      <w:tr>
        <w:tc>
          <w:tcPr>
            <w:tcW w:type="dxa" w:w="2592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Helvetica Neue" w:hAnsi="Helvetica Neue" w:cs="Helvetica Neue"/>
                <w:b/>
                <w:i w:val="0"/>
                <w:caps w:val="0"/>
                <w:color w:val="2C2A28"/>
                <w:sz w:val="19"/>
              </w:rPr>
              <w:t>On-prem</w:t>
            </w:r>
          </w:p>
        </w:tc>
        <w:tc>
          <w:tcPr>
            <w:tcW w:type="dxa" w:w="6480"/>
            <w:tcBorders>
              <w:bottom w:val="single" w:sz="4" w:color="E5DDD0"/>
            </w:tcBorders>
          </w:tcPr>
          <w:p>
            <w:pPr>
              <w:spacing w:before="120" w:after="120"/>
            </w:pPr>
            <w:r>
              <w:rPr>
                <w:rFonts w:ascii="Georgia" w:hAnsi="Georgia" w:cs="Georgia"/>
                <w:b w:val="0"/>
                <w:i w:val="0"/>
                <w:caps w:val="0"/>
                <w:color w:val="2C2A28"/>
                <w:sz w:val="21"/>
              </w:rPr>
              <w:t>Self-hosted Postgres + static engine bundle. Only on contractual request — high effort.</w:t>
            </w:r>
          </w:p>
        </w:tc>
      </w:tr>
    </w:tbl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Recommended for early-demo customers: SaaS multi-tenant. Zero new infrastructure, ships in hours not weeks, no PHI by design. The CIO bar to clear is BAA + SOC-2 roadmap, not net-new infrastructure approval.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7 · AUDIT LOGGING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Append-only audit_log table records every config edit, user assignment change, admin action, and session-trace event. RLS-scoped per customer; admins query their own logs through the dashboard. Exportable to SIEM (Splunk, Sentinel, Datadog).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8 · VULNERABILITY AND INCIDENT RESPONSE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Supabase manages OS-level patching for the Postgres tier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Static engine artifacts served via Vercel + GitHub Pages — no server runtime to compromise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Dependency scanning via GitHub Dependabot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Disclosure email: security@ateninc.com</w:t>
      </w:r>
    </w:p>
    <w:p>
      <w:pPr>
        <w:spacing w:after="120"/>
        <w:ind w:left="648" w:hanging="360"/>
      </w:pPr>
      <w:r>
        <w:rPr>
          <w:rFonts w:ascii="Georgia" w:hAnsi="Georgia" w:cs="Georgia"/>
          <w:b/>
          <w:i w:val="0"/>
          <w:caps w:val="0"/>
          <w:color w:val="D08840"/>
          <w:sz w:val="22"/>
        </w:rPr>
        <w:t xml:space="preserve">•   </w:t>
      </w: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Incident response SLA — 4-hour acknowledge, 24-hour containment, 72-hour post-mortem to customer</w:t>
      </w:r>
    </w:p>
    <w:p>
      <w:pPr>
        <w:spacing w:before="240" w:after="10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8"/>
          <w:spacing w:val="80"/>
        </w:rPr>
        <w:t>9 · BACKGROUND OF VENDOR</w:t>
      </w:r>
    </w:p>
    <w:p>
      <w:pPr>
        <w:spacing w:before="0" w:after="16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2"/>
        </w:rPr>
        <w:t>AIWIZN is built by Aten Inc., a 25-year-old research-grade simulation house with federal and Fortune-500 training contracts across pharma, aviation, and clinical training. Awards include the JP Morgan Chase innovation award (2012), NBME Centennial Competition recognition (2015), and Bill &amp; Melinda Gates Foundation and MacArthur Foundation finalist status. We are not a venture-backed startup with single-digit-month runway.</w:t>
      </w:r>
    </w:p>
    <w:p>
      <w:pPr>
        <w:spacing w:before="160" w:after="160"/>
        <w:pBdr>
          <w:bottom w:val="single" w:sz="6" w:space="1" w:color="CFC8BE"/>
        </w:pBdr>
      </w:pPr>
    </w:p>
    <w:p>
      <w:pPr>
        <w:spacing w:before="0" w:after="80" w:line="320" w:lineRule="auto"/>
      </w:pPr>
      <w:r>
        <w:rPr>
          <w:rFonts w:ascii="Helvetica Neue" w:hAnsi="Helvetica Neue" w:cs="Helvetica Neue"/>
          <w:b/>
          <w:i w:val="0"/>
          <w:caps w:val="0"/>
          <w:color w:val="2D7570"/>
          <w:sz w:val="16"/>
          <w:spacing w:val="120"/>
        </w:rPr>
        <w:t>Direct technical contact for CIO conversations</w:t>
      </w:r>
    </w:p>
    <w:p>
      <w:pPr>
        <w:spacing w:before="0" w:after="120" w:line="320" w:lineRule="auto"/>
      </w:pPr>
      <w:r>
        <w:rPr>
          <w:rFonts w:ascii="Georgia" w:hAnsi="Georgia" w:cs="Georgia"/>
          <w:b w:val="0"/>
          <w:i w:val="0"/>
          <w:caps w:val="0"/>
          <w:color w:val="2C2A28"/>
          <w:sz w:val="20"/>
        </w:rPr>
        <w:t>Thomas K Vaidhyan · thomas@ateninc.com · +1 (919) 341-8234</w:t>
      </w:r>
    </w:p>
    <w:sectPr>
      <w:headerReference w:type="default" r:id="rId4"/>
      <w:footerReference w:type="default" r:id="rId5"/>
      <w:pgSz w:w="12240" w:h="15840" w:orient="portrait"/>
      <w:pgMar w:top="2160" w:right="1800" w:bottom="1800" w:left="180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 Light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320"/>
        <w:tab w:val="right" w:pos="8640"/>
        <w:tab w:val="clear" w:pos="9020"/>
      </w:tabs>
      <w:jc w:val="left"/>
    </w:pPr>
  </w:p>
  <w:p>
    <w:pPr>
      <w:pStyle w:val="Header &amp; Footer"/>
      <w:tabs>
        <w:tab w:val="center" w:pos="4320"/>
        <w:tab w:val="right" w:pos="8640"/>
        <w:tab w:val="clear" w:pos="9020"/>
      </w:tabs>
      <w:jc w:val="left"/>
      <w:rPr>
        <w:rFonts w:ascii="Helvetica Neue Light" w:cs="Helvetica Neue Light" w:hAnsi="Helvetica Neue Light" w:eastAsia="Helvetica Neue Light"/>
        <w:caps w:val="1"/>
        <w:outline w:val="0"/>
        <w:color w:val="808080"/>
        <w:spacing w:val="169"/>
        <w:position w:val="28"/>
        <w:sz w:val="20"/>
        <w:szCs w:val="20"/>
        <w:lang w:val="en-US"/>
        <w14:textFill>
          <w14:solidFill>
            <w14:srgbClr w14:val="808080"/>
          </w14:solidFill>
        </w14:textFill>
      </w:rPr>
    </w:pPr>
    <w:r>
      <w:rPr>
        <w:rFonts w:ascii="Helvetica Neue Light" w:hAnsi="Helvetica Neue Light"/>
        <w:caps w:val="1"/>
        <w:outline w:val="0"/>
        <w:color w:val="808080"/>
        <w:spacing w:val="169"/>
        <w:position w:val="28"/>
        <w:sz w:val="20"/>
        <w:szCs w:val="20"/>
        <w:lang w:val="en-US"/>
        <w14:textFill>
          <w14:solidFill>
            <w14:srgbClr w14:val="808080"/>
          </w14:solidFill>
        </w14:textFill>
      </w:rPr>
      <w:tab/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808080"/>
        <w:spacing w:val="169"/>
        <w:position w:val="28"/>
        <w:sz w:val="20"/>
        <w:szCs w:val="20"/>
        <w:rtl w:val="0"/>
        <w:lang w:val="en-US"/>
        <w14:textFill>
          <w14:solidFill>
            <w14:srgbClr w14:val="808080"/>
          </w14:solidFill>
        </w14:textFill>
      </w:rPr>
      <w:t>imagination Unlimited</w:t>
    </w:r>
  </w:p>
  <w:p>
    <w:pPr>
      <w:pStyle w:val="Header &amp; Footer"/>
      <w:tabs>
        <w:tab w:val="center" w:pos="4320"/>
        <w:tab w:val="right" w:pos="8640"/>
        <w:tab w:val="clear" w:pos="9020"/>
      </w:tabs>
      <w:jc w:val="left"/>
      <w:rPr>
        <w:rFonts w:ascii="Helvetica Neue Light" w:cs="Helvetica Neue Light" w:hAnsi="Helvetica Neue Light" w:eastAsia="Helvetica Neue Light"/>
        <w:caps w:val="1"/>
        <w:spacing w:val="-1"/>
        <w:position w:val="-2"/>
        <w:sz w:val="16"/>
        <w:szCs w:val="16"/>
        <w:lang w:val="en-US"/>
      </w:rPr>
    </w:pPr>
    <w:r>
      <w:rPr>
        <w:rFonts w:ascii="Helvetica Neue Light" w:cs="Helvetica Neue Light" w:hAnsi="Helvetica Neue Light" w:eastAsia="Helvetica Neue Light"/>
        <w:caps w:val="1"/>
        <w:spacing w:val="-1"/>
        <w:position w:val="-2"/>
        <w:sz w:val="16"/>
        <w:szCs w:val="16"/>
        <w:lang w:val="en-US"/>
      </w:rPr>
      <w:tab/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6"/>
        <w:szCs w:val="16"/>
        <w:rtl w:val="0"/>
        <w:lang w:val="en-US"/>
        <w14:textFill>
          <w14:solidFill>
            <w14:srgbClr w14:val="7A7A7A"/>
          </w14:solidFill>
        </w14:textFill>
      </w:rPr>
      <w:t>♦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6"/>
        <w:szCs w:val="16"/>
        <w:rtl w:val="0"/>
        <w:lang w:val="en-US"/>
        <w14:textFill>
          <w14:solidFill>
            <w14:srgbClr w14:val="7A7A7A"/>
          </w14:solidFill>
        </w14:textFill>
      </w:rPr>
      <w:t xml:space="preserve"> AIWIZN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, 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 PO 12521, Research Triangle Park, Durham, NC 27709-2521</w:t>
    </w:r>
  </w:p>
  <w:p>
    <w:pPr>
      <w:pStyle w:val="Header &amp; Footer"/>
      <w:tabs>
        <w:tab w:val="center" w:pos="4320"/>
        <w:tab w:val="right" w:pos="8640"/>
        <w:tab w:val="clear" w:pos="9020"/>
      </w:tabs>
      <w:jc w:val="left"/>
    </w:pPr>
    <w:r>
      <w:rPr>
        <w:rFonts w:ascii="Helvetica Neue Light" w:cs="Helvetica Neue Light" w:hAnsi="Helvetica Neue Light" w:eastAsia="Helvetica Neue Light"/>
        <w:caps w:val="1"/>
        <w:spacing w:val="-1"/>
        <w:position w:val="-2"/>
        <w:sz w:val="14"/>
        <w:szCs w:val="14"/>
        <w:lang w:val="en-US"/>
      </w:rPr>
      <w:tab/>
    </w:r>
    <w:r>
      <w:rPr>
        <w:rStyle w:val="Hyperlink.0"/>
        <w:rFonts w:ascii="Helvetica Neue Light" w:cs="Helvetica Neue Light" w:hAnsi="Helvetica Neue Light" w:eastAsia="Helvetica Neue Light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lang w:val="en-US"/>
      </w:rPr>
      <w:fldChar w:fldCharType="begin" w:fldLock="0"/>
    </w:r>
    <w:r>
      <w:rPr>
        <w:rStyle w:val="Hyperlink.0"/>
        <w:rFonts w:ascii="Helvetica Neue Light" w:cs="Helvetica Neue Light" w:hAnsi="Helvetica Neue Light" w:eastAsia="Helvetica Neue Light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lang w:val="en-US"/>
      </w:rPr>
      <w:instrText xml:space="preserve"> HYPERLINK "http://www.aiwizn.com"</w:instrText>
    </w:r>
    <w:r>
      <w:rPr>
        <w:rStyle w:val="Hyperlink.0"/>
        <w:rFonts w:ascii="Helvetica Neue Light" w:cs="Helvetica Neue Light" w:hAnsi="Helvetica Neue Light" w:eastAsia="Helvetica Neue Light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lang w:val="en-US"/>
      </w:rPr>
      <w:fldChar w:fldCharType="separate" w:fldLock="0"/>
    </w:r>
    <w:r>
      <w:rPr>
        <w:rStyle w:val="Hyperlink.0"/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spacing w:val="-1"/>
        <w:position w:val="-2"/>
        <w:sz w:val="14"/>
        <w:szCs w:val="14"/>
        <w:u w:val="single"/>
        <w:rtl w:val="0"/>
        <w:lang w:val="en-US"/>
      </w:rPr>
      <w:t>www.aiwizn.com</w:t>
    </w:r>
    <w:r>
      <w:rPr>
        <w:rFonts w:ascii="Helvetica Neue Light" w:cs="Helvetica Neue Light" w:hAnsi="Helvetica Neue Light" w:eastAsia="Helvetica Neue Light"/>
        <w:caps w:val="1"/>
        <w:spacing w:val="-1"/>
        <w:position w:val="-2"/>
        <w:sz w:val="14"/>
        <w:szCs w:val="14"/>
        <w:lang w:val="en-US"/>
      </w:rPr>
      <w:fldChar w:fldCharType="end" w:fldLock="0"/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 </w:t>
    </w:r>
    <w:r>
      <w:rPr>
        <w:rFonts w:ascii="Arial Unicode MS" w:cs="Arial Unicode MS" w:hAnsi="Arial Unicode MS" w:eastAsia="Arial Unicode MS" w:hint="default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>♦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 xml:space="preserve"> 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>Tel: 919.</w:t>
    </w:r>
    <w:r>
      <w:rPr>
        <w:rFonts w:ascii="Helvetica Neue Light" w:cs="Arial Unicode MS" w:hAnsi="Helvetica Neue Light" w:eastAsia="Arial Unicode MS"/>
        <w:b w:val="0"/>
        <w:bCs w:val="0"/>
        <w:i w:val="0"/>
        <w:iCs w:val="0"/>
        <w:caps w:val="1"/>
        <w:outline w:val="0"/>
        <w:color w:val="7a7a7a"/>
        <w:spacing w:val="-1"/>
        <w:position w:val="-2"/>
        <w:sz w:val="14"/>
        <w:szCs w:val="14"/>
        <w:rtl w:val="0"/>
        <w:lang w:val="en-US"/>
        <w14:textFill>
          <w14:solidFill>
            <w14:srgbClr w14:val="7A7A7A"/>
          </w14:solidFill>
        </w14:textFill>
      </w:rPr>
      <w:t>341.8234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320"/>
        <w:tab w:val="right" w:pos="8640"/>
        <w:tab w:val="clear" w:pos="9020"/>
      </w:tabs>
      <w:jc w:val="left"/>
    </w:pPr>
    <w:r>
      <w:tab/>
    </w:r>
    <w:r>
      <w:drawing xmlns:a="http://schemas.openxmlformats.org/drawingml/2006/main">
        <wp:inline distT="0" distB="0" distL="0" distR="0">
          <wp:extent cx="2474656" cy="707045"/>
          <wp:effectExtent l="0" t="0" r="0" b="0"/>
          <wp:docPr id="1073741825" name="officeArt object" descr="aiwizn_logo_white.sv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aiwizn_logo_white.svg" descr="aiwizn_logo_white.sv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4656" cy="70704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rFonts w:ascii="Helvetica Neue Light" w:cs="Helvetica Neue Light" w:hAnsi="Helvetica Neue Light" w:eastAsia="Helvetica Neue Light"/>
      <w:b w:val="0"/>
      <w:bCs w:val="0"/>
      <w:i w:val="0"/>
      <w:iCs w:val="0"/>
      <w:caps w:val="1"/>
      <w:spacing w:val="-1"/>
      <w:position w:val="-2"/>
      <w:sz w:val="14"/>
      <w:szCs w:val="14"/>
      <w:u w:val="singl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