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spacing w:before="200" w:after="80" w:line="320" w:lineRule="auto"/>
      </w:pPr>
      <w:r>
        <w:rPr>
          <w:rFonts w:ascii="Helvetica Neue" w:hAnsi="Helvetica Neue" w:cs="Helvetica Neue"/>
          <w:b/>
          <w:i w:val="0"/>
          <w:caps w:val="0"/>
          <w:color w:val="D08840"/>
          <w:sz w:val="16"/>
          <w:spacing w:val="120"/>
        </w:rPr>
        <w:t>RESEARCH COLLABORATION PROPOSAL · CONFIDENTIAL</w:t>
      </w:r>
    </w:p>
    <w:p>
      <w:pPr>
        <w:spacing w:before="0" w:after="320" w:line="320" w:lineRule="auto"/>
      </w:pPr>
      <w:r>
        <w:rPr>
          <w:rFonts w:ascii="Helvetica Neue" w:hAnsi="Helvetica Neue" w:cs="Helvetica Neue"/>
          <w:b w:val="0"/>
          <w:i w:val="0"/>
          <w:caps w:val="0"/>
          <w:color w:val="7C7A75"/>
          <w:sz w:val="18"/>
          <w:spacing w:val="40"/>
        </w:rPr>
        <w:t>Prepared for WakeMed Health &amp; Hospitals</w:t>
      </w:r>
    </w:p>
    <w:p>
      <w:pPr>
        <w:spacing w:before="80" w:after="0" w:line="320" w:lineRule="auto"/>
      </w:pPr>
      <w:r>
        <w:rPr>
          <w:rFonts w:ascii="Georgia" w:hAnsi="Georgia" w:cs="Georgia"/>
          <w:b w:val="0"/>
          <w:i w:val="0"/>
          <w:caps w:val="0"/>
          <w:color w:val="2C2A28"/>
          <w:sz w:val="76"/>
        </w:rPr>
        <w:t>AIWIZN ×</w:t>
      </w:r>
    </w:p>
    <w:p>
      <w:pPr>
        <w:spacing w:before="80" w:after="240" w:line="320" w:lineRule="auto"/>
      </w:pPr>
      <w:r>
        <w:rPr>
          <w:rFonts w:ascii="Georgia" w:hAnsi="Georgia" w:cs="Georgia"/>
          <w:b w:val="0"/>
          <w:i/>
          <w:caps w:val="0"/>
          <w:color w:val="2D7570"/>
          <w:sz w:val="76"/>
        </w:rPr>
        <w:t>WakeMed.</w:t>
      </w:r>
    </w:p>
    <w:p>
      <w:pPr>
        <w:spacing w:before="0" w:after="160" w:line="320" w:lineRule="auto"/>
      </w:pPr>
      <w:r>
        <w:rPr>
          <w:rFonts w:ascii="Georgia" w:hAnsi="Georgia" w:cs="Georgia"/>
          <w:b w:val="0"/>
          <w:i/>
          <w:caps w:val="0"/>
          <w:color w:val="7C7A75"/>
          <w:sz w:val="20"/>
        </w:rPr>
        <w:t>For: Diane Rhyne / Robin Jacob, Director of Innovations, WakeMed.  Via: Dr. Graham Snyder, Medical Director, WakeMed Center for Innovative Learning. From: Thomas K Vaidhyan, CEO, AIWIZN / Aten Inc.</w:t>
      </w:r>
    </w:p>
    <w:p>
      <w:pPr>
        <w:spacing w:before="160" w:after="160"/>
        <w:pBdr>
          <w:bottom w:val="single" w:sz="6" w:space="1" w:color="CFC8BE"/>
        </w:pBdr>
      </w:pPr>
    </w:p>
    <w:p>
      <w:pPr>
        <w:spacing w:before="240" w:after="100" w:line="320" w:lineRule="auto"/>
      </w:pPr>
      <w:r>
        <w:rPr>
          <w:rFonts w:ascii="Helvetica Neue" w:hAnsi="Helvetica Neue" w:cs="Helvetica Neue"/>
          <w:b/>
          <w:i w:val="0"/>
          <w:caps w:val="0"/>
          <w:color w:val="2D7570"/>
          <w:sz w:val="18"/>
          <w:spacing w:val="80"/>
        </w:rPr>
        <w:t>THE PROBLEM YOU ALREADY KNOW</w:t>
      </w:r>
    </w:p>
    <w:p>
      <w:pPr>
        <w:spacing w:before="0" w:after="160" w:line="320" w:lineRule="auto"/>
      </w:pPr>
      <w:r>
        <w:rPr>
          <w:rFonts w:ascii="Georgia" w:hAnsi="Georgia" w:cs="Georgia"/>
          <w:b w:val="0"/>
          <w:i w:val="0"/>
          <w:caps w:val="0"/>
          <w:color w:val="2C2A28"/>
          <w:sz w:val="22"/>
        </w:rPr>
        <w:t>Inadequate onboarding accounts for 35% of first-year nurse departures. Replacing one bedside nurse costs ~$52K. Time-to-independent-competency is 6–12 months. The national workforce shortage is projected to cost $917B by 2030. WakeMed isn't immune — and slide-deck-plus-shadowing isn't moving the curve.</w:t>
      </w:r>
    </w:p>
    <w:p>
      <w:pPr>
        <w:spacing w:before="240" w:after="100" w:line="320" w:lineRule="auto"/>
      </w:pPr>
      <w:r>
        <w:rPr>
          <w:rFonts w:ascii="Helvetica Neue" w:hAnsi="Helvetica Neue" w:cs="Helvetica Neue"/>
          <w:b/>
          <w:i w:val="0"/>
          <w:caps w:val="0"/>
          <w:color w:val="2D7570"/>
          <w:sz w:val="18"/>
          <w:spacing w:val="80"/>
        </w:rPr>
        <w:t>WHAT WE BUILT</w:t>
      </w:r>
    </w:p>
    <w:p>
      <w:pPr>
        <w:spacing w:before="0" w:after="160" w:line="320" w:lineRule="auto"/>
      </w:pPr>
      <w:r>
        <w:rPr>
          <w:rFonts w:ascii="Georgia" w:hAnsi="Georgia" w:cs="Georgia"/>
          <w:b w:val="0"/>
          <w:i w:val="0"/>
          <w:caps w:val="0"/>
          <w:color w:val="2C2A28"/>
          <w:sz w:val="22"/>
        </w:rPr>
        <w:t>AIWIZN is an AI-driven scenario engine that puts new nurses inside the decisions that matter — STEMI activation under hypotension, tPA candidacy with consent crises, sepsis bundle execution under pressure. The engine reads the patient state machine, captures every decision via a stealth assessment layer (Bayesian knowledge networks, NBME-validated methodology), and produces a placement-ready competency profile. Live monitor traces. Real-time pedagogy reveal after each decision. No slide decks.</w:t>
      </w:r>
    </w:p>
    <w:p>
      <w:pPr>
        <w:spacing w:before="0" w:after="160" w:line="320" w:lineRule="auto"/>
      </w:pPr>
      <w:r>
        <w:rPr>
          <w:rFonts w:ascii="Georgia" w:hAnsi="Georgia" w:cs="Georgia"/>
          <w:b w:val="0"/>
          <w:i/>
          <w:caps w:val="0"/>
          <w:color w:val="2D7570"/>
          <w:sz w:val="22"/>
        </w:rPr>
        <w:t>It's already running. Try it: demo.aiwizn.com.</w:t>
      </w:r>
    </w:p>
    <w:p>
      <w:pPr>
        <w:spacing w:before="240" w:after="100" w:line="320" w:lineRule="auto"/>
      </w:pPr>
      <w:r>
        <w:rPr>
          <w:rFonts w:ascii="Helvetica Neue" w:hAnsi="Helvetica Neue" w:cs="Helvetica Neue"/>
          <w:b/>
          <w:i w:val="0"/>
          <w:caps w:val="0"/>
          <w:color w:val="2D7570"/>
          <w:sz w:val="18"/>
          <w:spacing w:val="80"/>
        </w:rPr>
        <w:t>WHY WAKEMED FIRST</w:t>
      </w:r>
    </w:p>
    <w:p>
      <w:pPr>
        <w:spacing w:before="0" w:after="160" w:line="320" w:lineRule="auto"/>
      </w:pPr>
      <w:r>
        <w:rPr>
          <w:rFonts w:ascii="Georgia" w:hAnsi="Georgia" w:cs="Georgia"/>
          <w:b w:val="0"/>
          <w:i w:val="0"/>
          <w:caps w:val="0"/>
          <w:color w:val="2C2A28"/>
          <w:sz w:val="22"/>
        </w:rPr>
        <w:t>Graham has been the clinical anchor for this work since v1. Every scenario in the cardiac, stroke, and sepsis modules has been built against WakeMed-grade clinical standards. The engine is multi-tenant by design — WakeMed's door-to-balloon targets, standing-order vocabulary, scope-of-practice rules, and branding all configure independently of the engine code. When a WakeMed nurse logs in, they see WakeMed protocols, not a generic textbook.</w:t>
      </w:r>
    </w:p>
    <w:p>
      <w:pPr>
        <w:spacing w:before="0" w:after="160" w:line="320" w:lineRule="auto"/>
      </w:pPr>
      <w:r>
        <w:rPr>
          <w:rFonts w:ascii="Georgia" w:hAnsi="Georgia" w:cs="Georgia"/>
          <w:b w:val="0"/>
          <w:i/>
          <w:caps w:val="0"/>
          <w:color w:val="2D7570"/>
          <w:sz w:val="22"/>
        </w:rPr>
        <w:t>The pilot is wired up. Diane and Robin can log in this week.</w:t>
      </w:r>
    </w:p>
    <w:p>
      <w:pPr>
        <w:spacing w:before="240" w:after="100" w:line="320" w:lineRule="auto"/>
      </w:pPr>
      <w:r>
        <w:rPr>
          <w:rFonts w:ascii="Helvetica Neue" w:hAnsi="Helvetica Neue" w:cs="Helvetica Neue"/>
          <w:b/>
          <w:i w:val="0"/>
          <w:caps w:val="0"/>
          <w:color w:val="2D7570"/>
          <w:sz w:val="18"/>
          <w:spacing w:val="80"/>
        </w:rPr>
        <w:t>WHY THIS IS RESEARCH, NOT PROCUREMENT</w:t>
      </w:r>
    </w:p>
    <w:p>
      <w:pPr>
        <w:spacing w:before="0" w:after="160" w:line="320" w:lineRule="auto"/>
      </w:pPr>
      <w:r>
        <w:rPr>
          <w:rFonts w:ascii="Georgia" w:hAnsi="Georgia" w:cs="Georgia"/>
          <w:b w:val="0"/>
          <w:i w:val="0"/>
          <w:caps w:val="0"/>
          <w:color w:val="2C2A28"/>
          <w:sz w:val="22"/>
        </w:rPr>
        <w:t>We're proposing a co-designed, IRB-pathway investigation: control cohort runs WakeMed's current onboarding pathway, intervention cohort augments with AIWIZN. Primary endpoint: time-to-competency. Secondary: knowledge retention at 6 months, first-year retention. Pre-registered protocol, Graham as senior author, publication target in Simulation in Healthcare or Nurse Educator. Both sides own the data; WakeMed owns the institutional learning.</w:t>
      </w:r>
    </w:p>
    <w:p>
      <w:pPr>
        <w:spacing w:before="0" w:after="160" w:line="320" w:lineRule="auto"/>
      </w:pPr>
      <w:r>
        <w:rPr>
          <w:rFonts w:ascii="Georgia" w:hAnsi="Georgia" w:cs="Georgia"/>
          <w:b w:val="0"/>
          <w:i w:val="0"/>
          <w:caps w:val="0"/>
          <w:color w:val="2C2A28"/>
          <w:sz w:val="22"/>
        </w:rPr>
        <w:t>If the engine works, you have a published validation paper. If it doesn't, you've protected the cohort and learned something definitive. Either way, you don't carry vendor risk.</w:t>
      </w:r>
    </w:p>
    <w:p>
      <w:pPr>
        <w:spacing w:before="240" w:after="100" w:line="320" w:lineRule="auto"/>
      </w:pPr>
      <w:r>
        <w:rPr>
          <w:rFonts w:ascii="Helvetica Neue" w:hAnsi="Helvetica Neue" w:cs="Helvetica Neue"/>
          <w:b/>
          <w:i w:val="0"/>
          <w:caps w:val="0"/>
          <w:color w:val="2D7570"/>
          <w:sz w:val="18"/>
          <w:spacing w:val="80"/>
        </w:rPr>
        <w:t>ADDRESSING THE RESISTANCE EARLY</w:t>
      </w:r>
    </w:p>
    <w:p>
      <w:pPr>
        <w:spacing w:before="0" w:after="160" w:line="320" w:lineRule="auto"/>
      </w:pPr>
      <w:r>
        <w:rPr>
          <w:rFonts w:ascii="Georgia" w:hAnsi="Georgia" w:cs="Georgia"/>
          <w:b w:val="0"/>
          <w:i w:val="0"/>
          <w:caps w:val="0"/>
          <w:color w:val="2C2A28"/>
          <w:sz w:val="22"/>
        </w:rPr>
        <w:t>Per Dr. Snyder's principle — say what they will say before they say it. Existing instructors and training leaders predictably push back on any new platform. AIWIZN does not displace them — it makes them measurably more effective. Preceptors stop spending their scarcest hours on repetitive demos and spend them where their judgment actually matters. The CME chief finally has per-decision telemetry the C-suite has been asking for. The education team's institutional artifact stays exactly where it is — we replace the shadowing-by-attrition bottleneck, where time-to-competency actually lives. The pedagogical and analytical approach is what turns resistance into early advocacy and moves the bottom-line turnover number.</w:t>
      </w:r>
    </w:p>
    <w:p>
      <w:pPr>
        <w:spacing w:before="240" w:after="100" w:line="320" w:lineRule="auto"/>
      </w:pPr>
      <w:r>
        <w:rPr>
          <w:rFonts w:ascii="Helvetica Neue" w:hAnsi="Helvetica Neue" w:cs="Helvetica Neue"/>
          <w:b/>
          <w:i w:val="0"/>
          <w:caps w:val="0"/>
          <w:color w:val="2D7570"/>
          <w:sz w:val="18"/>
          <w:spacing w:val="80"/>
        </w:rPr>
        <w:t>WHY WE'RE NOT A VENDOR RISK</w:t>
      </w:r>
    </w:p>
    <w:p>
      <w:pPr>
        <w:spacing w:before="0" w:after="160" w:line="320" w:lineRule="auto"/>
      </w:pPr>
      <w:r>
        <w:rPr>
          <w:rFonts w:ascii="Georgia" w:hAnsi="Georgia" w:cs="Georgia"/>
          <w:b w:val="0"/>
          <w:i w:val="0"/>
          <w:caps w:val="0"/>
          <w:color w:val="2C2A28"/>
          <w:sz w:val="22"/>
        </w:rPr>
        <w:t>Aten Inc. is 25 years old. AIWIZN is built on the same adaptive-learning methodology that earned us a JP Morgan Chase innovation award (Jamie Dimon, 2012), NBME Centennial Competition recognition (2015), MacArthur and Gates finalist status, and 21 years of immersive training contracts across pharma, aviation, and clinical training. We're not a fly-by-night startup pitching a demo. We're an established research-grade simulation house extending that capability into nursing.</w:t>
      </w:r>
    </w:p>
    <w:p>
      <w:pPr>
        <w:spacing w:before="240" w:after="100" w:line="320" w:lineRule="auto"/>
      </w:pPr>
      <w:r>
        <w:rPr>
          <w:rFonts w:ascii="Helvetica Neue" w:hAnsi="Helvetica Neue" w:cs="Helvetica Neue"/>
          <w:b/>
          <w:i w:val="0"/>
          <w:caps w:val="0"/>
          <w:color w:val="2D7570"/>
          <w:sz w:val="18"/>
          <w:spacing w:val="80"/>
        </w:rPr>
        <w:t>THE ASK</w:t>
      </w:r>
    </w:p>
    <w:p>
      <w:pPr>
        <w:spacing w:before="0" w:after="160" w:line="320" w:lineRule="auto"/>
      </w:pPr>
      <w:r>
        <w:rPr>
          <w:rFonts w:ascii="Georgia" w:hAnsi="Georgia" w:cs="Georgia"/>
          <w:b w:val="0"/>
          <w:i w:val="0"/>
          <w:caps w:val="0"/>
          <w:color w:val="2C2A28"/>
          <w:sz w:val="22"/>
        </w:rPr>
        <w:t>A 30-minute working session with Graham, Thomas, and your innovation team. We'll log in as WakeMed, walk five modules end-to-end, share the pre-specified research endpoints we'd target together, and answer the IT / security / LMS questions up front (ScORM-exportable, SOC-2 roadmap, Supabase RLS isolation per customer). If after that you want to investigate further, we draft a one-page research collaboration MOU. If not, no harm done.</w:t>
      </w:r>
    </w:p>
    <w:p>
      <w:pPr>
        <w:spacing w:before="160" w:after="160"/>
        <w:pBdr>
          <w:bottom w:val="single" w:sz="6" w:space="1" w:color="CFC8BE"/>
        </w:pBdr>
      </w:pPr>
    </w:p>
    <w:p>
      <w:pPr>
        <w:spacing w:before="0" w:after="0" w:line="320" w:lineRule="auto"/>
      </w:pPr>
      <w:r>
        <w:rPr>
          <w:rFonts w:ascii="Georgia" w:hAnsi="Georgia" w:cs="Georgia"/>
          <w:b/>
          <w:i w:val="0"/>
          <w:caps w:val="0"/>
          <w:color w:val="2C2A28"/>
          <w:sz w:val="24"/>
        </w:rPr>
        <w:t>Thomas K Vaidhyan</w:t>
      </w:r>
    </w:p>
    <w:p>
      <w:pPr>
        <w:spacing w:before="0" w:after="60" w:line="320" w:lineRule="auto"/>
      </w:pPr>
      <w:r>
        <w:rPr>
          <w:rFonts w:ascii="Georgia" w:hAnsi="Georgia" w:cs="Georgia"/>
          <w:b w:val="0"/>
          <w:i/>
          <w:caps w:val="0"/>
          <w:color w:val="7C7A75"/>
          <w:sz w:val="20"/>
        </w:rPr>
        <w:t>CEO, AIWIZN / Aten Inc.</w:t>
      </w:r>
    </w:p>
    <w:p>
      <w:pPr>
        <w:spacing w:before="0" w:after="120" w:line="320" w:lineRule="auto"/>
      </w:pPr>
      <w:r>
        <w:rPr>
          <w:rFonts w:ascii="Georgia" w:hAnsi="Georgia" w:cs="Georgia"/>
          <w:b w:val="0"/>
          <w:i w:val="0"/>
          <w:caps w:val="0"/>
          <w:color w:val="2D7570"/>
          <w:sz w:val="20"/>
        </w:rPr>
        <w:t>thomas@ateninc.com · +1 (919) 341-8234 · www.aiwizn.com</w:t>
      </w:r>
    </w:p>
    <w:sectPr>
      <w:headerReference w:type="default" r:id="rId4"/>
      <w:footerReference w:type="default" r:id="rId5"/>
      <w:pgSz w:w="12240" w:h="15840" w:orient="portrait"/>
      <w:pgMar w:top="2160" w:right="1800" w:bottom="1800" w:left="180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 w:name="Helvetica Neue Light">
    <w:charset w:val="00"/>
    <w:family w:val="roman"/>
    <w:pitch w:val="default"/>
  </w:font>
  <w:font w:name="Georg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320"/>
        <w:tab w:val="right" w:pos="8640"/>
        <w:tab w:val="clear" w:pos="9020"/>
      </w:tabs>
      <w:jc w:val="left"/>
    </w:pPr>
  </w:p>
  <w:p>
    <w:pPr>
      <w:pStyle w:val="Header &amp; Footer"/>
      <w:tabs>
        <w:tab w:val="center" w:pos="4320"/>
        <w:tab w:val="right" w:pos="8640"/>
        <w:tab w:val="clear" w:pos="9020"/>
      </w:tabs>
      <w:jc w:val="left"/>
      <w:rPr>
        <w:rFonts w:ascii="Helvetica Neue Light" w:cs="Helvetica Neue Light" w:hAnsi="Helvetica Neue Light" w:eastAsia="Helvetica Neue Light"/>
        <w:caps w:val="1"/>
        <w:outline w:val="0"/>
        <w:color w:val="808080"/>
        <w:spacing w:val="169"/>
        <w:position w:val="28"/>
        <w:sz w:val="20"/>
        <w:szCs w:val="20"/>
        <w:lang w:val="en-US"/>
        <w14:textFill>
          <w14:solidFill>
            <w14:srgbClr w14:val="808080"/>
          </w14:solidFill>
        </w14:textFill>
      </w:rPr>
    </w:pPr>
    <w:r>
      <w:rPr>
        <w:rFonts w:ascii="Helvetica Neue Light" w:hAnsi="Helvetica Neue Light"/>
        <w:caps w:val="1"/>
        <w:outline w:val="0"/>
        <w:color w:val="808080"/>
        <w:spacing w:val="169"/>
        <w:position w:val="28"/>
        <w:sz w:val="20"/>
        <w:szCs w:val="20"/>
        <w:lang w:val="en-US"/>
        <w14:textFill>
          <w14:solidFill>
            <w14:srgbClr w14:val="808080"/>
          </w14:solidFill>
        </w14:textFill>
      </w:rPr>
      <w:tab/>
    </w:r>
    <w:r>
      <w:rPr>
        <w:rFonts w:ascii="Helvetica Neue Light" w:cs="Arial Unicode MS" w:hAnsi="Helvetica Neue Light" w:eastAsia="Arial Unicode MS"/>
        <w:b w:val="0"/>
        <w:bCs w:val="0"/>
        <w:i w:val="0"/>
        <w:iCs w:val="0"/>
        <w:caps w:val="1"/>
        <w:outline w:val="0"/>
        <w:color w:val="808080"/>
        <w:spacing w:val="169"/>
        <w:position w:val="28"/>
        <w:sz w:val="20"/>
        <w:szCs w:val="20"/>
        <w:rtl w:val="0"/>
        <w:lang w:val="en-US"/>
        <w14:textFill>
          <w14:solidFill>
            <w14:srgbClr w14:val="808080"/>
          </w14:solidFill>
        </w14:textFill>
      </w:rPr>
      <w:t>imagination Unlimited</w:t>
    </w:r>
  </w:p>
  <w:p>
    <w:pPr>
      <w:pStyle w:val="Header &amp; Footer"/>
      <w:tabs>
        <w:tab w:val="center" w:pos="4320"/>
        <w:tab w:val="right" w:pos="8640"/>
        <w:tab w:val="clear" w:pos="9020"/>
      </w:tabs>
      <w:jc w:val="left"/>
      <w:rPr>
        <w:rFonts w:ascii="Helvetica Neue Light" w:cs="Helvetica Neue Light" w:hAnsi="Helvetica Neue Light" w:eastAsia="Helvetica Neue Light"/>
        <w:caps w:val="1"/>
        <w:spacing w:val="-1"/>
        <w:position w:val="-2"/>
        <w:sz w:val="16"/>
        <w:szCs w:val="16"/>
        <w:lang w:val="en-US"/>
      </w:rPr>
    </w:pPr>
    <w:r>
      <w:rPr>
        <w:rFonts w:ascii="Helvetica Neue Light" w:cs="Helvetica Neue Light" w:hAnsi="Helvetica Neue Light" w:eastAsia="Helvetica Neue Light"/>
        <w:caps w:val="1"/>
        <w:spacing w:val="-1"/>
        <w:position w:val="-2"/>
        <w:sz w:val="16"/>
        <w:szCs w:val="16"/>
        <w:lang w:val="en-US"/>
      </w:rPr>
      <w:tab/>
    </w:r>
    <w:r>
      <w:rPr>
        <w:rFonts w:ascii="Arial Unicode MS" w:cs="Arial Unicode MS" w:hAnsi="Arial Unicode MS" w:eastAsia="Arial Unicode MS" w:hint="default"/>
        <w:b w:val="0"/>
        <w:bCs w:val="0"/>
        <w:i w:val="0"/>
        <w:iCs w:val="0"/>
        <w:caps w:val="1"/>
        <w:outline w:val="0"/>
        <w:color w:val="7a7a7a"/>
        <w:spacing w:val="-1"/>
        <w:position w:val="-2"/>
        <w:sz w:val="16"/>
        <w:szCs w:val="16"/>
        <w:rtl w:val="0"/>
        <w:lang w:val="en-US"/>
        <w14:textFill>
          <w14:solidFill>
            <w14:srgbClr w14:val="7A7A7A"/>
          </w14:solidFill>
        </w14:textFill>
      </w:rPr>
      <w:t>♦</w:t>
    </w:r>
    <w:r>
      <w:rPr>
        <w:rFonts w:ascii="Helvetica Neue Light" w:cs="Arial Unicode MS" w:hAnsi="Helvetica Neue Light" w:eastAsia="Arial Unicode MS"/>
        <w:b w:val="0"/>
        <w:bCs w:val="0"/>
        <w:i w:val="0"/>
        <w:iCs w:val="0"/>
        <w:caps w:val="1"/>
        <w:outline w:val="0"/>
        <w:color w:val="7a7a7a"/>
        <w:spacing w:val="-1"/>
        <w:position w:val="-2"/>
        <w:sz w:val="16"/>
        <w:szCs w:val="16"/>
        <w:rtl w:val="0"/>
        <w:lang w:val="en-US"/>
        <w14:textFill>
          <w14:solidFill>
            <w14:srgbClr w14:val="7A7A7A"/>
          </w14:solidFill>
        </w14:textFill>
      </w:rPr>
      <w:t xml:space="preserve"> AIWIZN</w:t>
    </w:r>
    <w:r>
      <w:rPr>
        <w:rFonts w:ascii="Helvetica Neue Light" w:cs="Arial Unicode MS" w:hAnsi="Helvetica Neue Light" w:eastAsia="Arial Unicode MS"/>
        <w:b w:val="0"/>
        <w:bCs w:val="0"/>
        <w:i w:val="0"/>
        <w:iCs w:val="0"/>
        <w:caps w:val="1"/>
        <w:outline w:val="0"/>
        <w:color w:val="7a7a7a"/>
        <w:spacing w:val="-1"/>
        <w:position w:val="-2"/>
        <w:sz w:val="14"/>
        <w:szCs w:val="14"/>
        <w:rtl w:val="0"/>
        <w:lang w:val="en-US"/>
        <w14:textFill>
          <w14:solidFill>
            <w14:srgbClr w14:val="7A7A7A"/>
          </w14:solidFill>
        </w14:textFill>
      </w:rPr>
      <w:t xml:space="preserve">, </w:t>
    </w:r>
    <w:r>
      <w:rPr>
        <w:rFonts w:ascii="Helvetica Neue Light" w:cs="Arial Unicode MS" w:hAnsi="Helvetica Neue Light" w:eastAsia="Arial Unicode MS"/>
        <w:b w:val="0"/>
        <w:bCs w:val="0"/>
        <w:i w:val="0"/>
        <w:iCs w:val="0"/>
        <w:caps w:val="1"/>
        <w:outline w:val="0"/>
        <w:color w:val="7a7a7a"/>
        <w:spacing w:val="-1"/>
        <w:position w:val="-2"/>
        <w:sz w:val="14"/>
        <w:szCs w:val="14"/>
        <w:rtl w:val="0"/>
        <w:lang w:val="en-US"/>
        <w14:textFill>
          <w14:solidFill>
            <w14:srgbClr w14:val="7A7A7A"/>
          </w14:solidFill>
        </w14:textFill>
      </w:rPr>
      <w:t xml:space="preserve"> PO 12521, Research Triangle Park, Durham, NC 27709-2521</w:t>
    </w:r>
  </w:p>
  <w:p>
    <w:pPr>
      <w:pStyle w:val="Header &amp; Footer"/>
      <w:tabs>
        <w:tab w:val="center" w:pos="4320"/>
        <w:tab w:val="right" w:pos="8640"/>
        <w:tab w:val="clear" w:pos="9020"/>
      </w:tabs>
      <w:jc w:val="left"/>
    </w:pPr>
    <w:r>
      <w:rPr>
        <w:rFonts w:ascii="Helvetica Neue Light" w:cs="Helvetica Neue Light" w:hAnsi="Helvetica Neue Light" w:eastAsia="Helvetica Neue Light"/>
        <w:caps w:val="1"/>
        <w:spacing w:val="-1"/>
        <w:position w:val="-2"/>
        <w:sz w:val="14"/>
        <w:szCs w:val="14"/>
        <w:lang w:val="en-US"/>
      </w:rPr>
      <w:tab/>
    </w:r>
    <w:r>
      <w:rPr>
        <w:rStyle w:val="Hyperlink.0"/>
        <w:rFonts w:ascii="Helvetica Neue Light" w:cs="Helvetica Neue Light" w:hAnsi="Helvetica Neue Light" w:eastAsia="Helvetica Neue Light"/>
        <w:b w:val="0"/>
        <w:bCs w:val="0"/>
        <w:i w:val="0"/>
        <w:iCs w:val="0"/>
        <w:caps w:val="1"/>
        <w:spacing w:val="-1"/>
        <w:position w:val="-2"/>
        <w:sz w:val="14"/>
        <w:szCs w:val="14"/>
        <w:u w:val="single"/>
        <w:lang w:val="en-US"/>
      </w:rPr>
      <w:fldChar w:fldCharType="begin" w:fldLock="0"/>
    </w:r>
    <w:r>
      <w:rPr>
        <w:rStyle w:val="Hyperlink.0"/>
        <w:rFonts w:ascii="Helvetica Neue Light" w:cs="Helvetica Neue Light" w:hAnsi="Helvetica Neue Light" w:eastAsia="Helvetica Neue Light"/>
        <w:b w:val="0"/>
        <w:bCs w:val="0"/>
        <w:i w:val="0"/>
        <w:iCs w:val="0"/>
        <w:caps w:val="1"/>
        <w:spacing w:val="-1"/>
        <w:position w:val="-2"/>
        <w:sz w:val="14"/>
        <w:szCs w:val="14"/>
        <w:u w:val="single"/>
        <w:lang w:val="en-US"/>
      </w:rPr>
      <w:instrText xml:space="preserve"> HYPERLINK "http://www.aiwizn.com"</w:instrText>
    </w:r>
    <w:r>
      <w:rPr>
        <w:rStyle w:val="Hyperlink.0"/>
        <w:rFonts w:ascii="Helvetica Neue Light" w:cs="Helvetica Neue Light" w:hAnsi="Helvetica Neue Light" w:eastAsia="Helvetica Neue Light"/>
        <w:b w:val="0"/>
        <w:bCs w:val="0"/>
        <w:i w:val="0"/>
        <w:iCs w:val="0"/>
        <w:caps w:val="1"/>
        <w:spacing w:val="-1"/>
        <w:position w:val="-2"/>
        <w:sz w:val="14"/>
        <w:szCs w:val="14"/>
        <w:u w:val="single"/>
        <w:lang w:val="en-US"/>
      </w:rPr>
      <w:fldChar w:fldCharType="separate" w:fldLock="0"/>
    </w:r>
    <w:r>
      <w:rPr>
        <w:rStyle w:val="Hyperlink.0"/>
        <w:rFonts w:ascii="Helvetica Neue Light" w:cs="Arial Unicode MS" w:hAnsi="Helvetica Neue Light" w:eastAsia="Arial Unicode MS"/>
        <w:b w:val="0"/>
        <w:bCs w:val="0"/>
        <w:i w:val="0"/>
        <w:iCs w:val="0"/>
        <w:caps w:val="1"/>
        <w:spacing w:val="-1"/>
        <w:position w:val="-2"/>
        <w:sz w:val="14"/>
        <w:szCs w:val="14"/>
        <w:u w:val="single"/>
        <w:rtl w:val="0"/>
        <w:lang w:val="en-US"/>
      </w:rPr>
      <w:t>www.aiwizn.com</w:t>
    </w:r>
    <w:r>
      <w:rPr>
        <w:rFonts w:ascii="Helvetica Neue Light" w:cs="Helvetica Neue Light" w:hAnsi="Helvetica Neue Light" w:eastAsia="Helvetica Neue Light"/>
        <w:caps w:val="1"/>
        <w:spacing w:val="-1"/>
        <w:position w:val="-2"/>
        <w:sz w:val="14"/>
        <w:szCs w:val="14"/>
        <w:lang w:val="en-US"/>
      </w:rPr>
      <w:fldChar w:fldCharType="end" w:fldLock="0"/>
    </w:r>
    <w:r>
      <w:rPr>
        <w:rFonts w:ascii="Helvetica Neue Light" w:cs="Arial Unicode MS" w:hAnsi="Helvetica Neue Light" w:eastAsia="Arial Unicode MS"/>
        <w:b w:val="0"/>
        <w:bCs w:val="0"/>
        <w:i w:val="0"/>
        <w:iCs w:val="0"/>
        <w:caps w:val="1"/>
        <w:outline w:val="0"/>
        <w:color w:val="7a7a7a"/>
        <w:spacing w:val="-1"/>
        <w:position w:val="-2"/>
        <w:sz w:val="14"/>
        <w:szCs w:val="14"/>
        <w:rtl w:val="0"/>
        <w:lang w:val="en-US"/>
        <w14:textFill>
          <w14:solidFill>
            <w14:srgbClr w14:val="7A7A7A"/>
          </w14:solidFill>
        </w14:textFill>
      </w:rPr>
      <w:t xml:space="preserve"> </w:t>
    </w:r>
    <w:r>
      <w:rPr>
        <w:rFonts w:ascii="Arial Unicode MS" w:cs="Arial Unicode MS" w:hAnsi="Arial Unicode MS" w:eastAsia="Arial Unicode MS" w:hint="default"/>
        <w:b w:val="0"/>
        <w:bCs w:val="0"/>
        <w:i w:val="0"/>
        <w:iCs w:val="0"/>
        <w:caps w:val="1"/>
        <w:outline w:val="0"/>
        <w:color w:val="7a7a7a"/>
        <w:spacing w:val="-1"/>
        <w:position w:val="-2"/>
        <w:sz w:val="14"/>
        <w:szCs w:val="14"/>
        <w:rtl w:val="0"/>
        <w:lang w:val="en-US"/>
        <w14:textFill>
          <w14:solidFill>
            <w14:srgbClr w14:val="7A7A7A"/>
          </w14:solidFill>
        </w14:textFill>
      </w:rPr>
      <w:t>♦</w:t>
    </w:r>
    <w:r>
      <w:rPr>
        <w:rFonts w:ascii="Helvetica Neue Light" w:cs="Arial Unicode MS" w:hAnsi="Helvetica Neue Light" w:eastAsia="Arial Unicode MS"/>
        <w:b w:val="0"/>
        <w:bCs w:val="0"/>
        <w:i w:val="0"/>
        <w:iCs w:val="0"/>
        <w:caps w:val="1"/>
        <w:outline w:val="0"/>
        <w:color w:val="7a7a7a"/>
        <w:spacing w:val="-1"/>
        <w:position w:val="-2"/>
        <w:sz w:val="14"/>
        <w:szCs w:val="14"/>
        <w:rtl w:val="0"/>
        <w:lang w:val="en-US"/>
        <w14:textFill>
          <w14:solidFill>
            <w14:srgbClr w14:val="7A7A7A"/>
          </w14:solidFill>
        </w14:textFill>
      </w:rPr>
      <w:t xml:space="preserve"> </w:t>
    </w:r>
    <w:r>
      <w:rPr>
        <w:rFonts w:ascii="Helvetica Neue Light" w:cs="Arial Unicode MS" w:hAnsi="Helvetica Neue Light" w:eastAsia="Arial Unicode MS"/>
        <w:b w:val="0"/>
        <w:bCs w:val="0"/>
        <w:i w:val="0"/>
        <w:iCs w:val="0"/>
        <w:caps w:val="1"/>
        <w:outline w:val="0"/>
        <w:color w:val="7a7a7a"/>
        <w:spacing w:val="-1"/>
        <w:position w:val="-2"/>
        <w:sz w:val="14"/>
        <w:szCs w:val="14"/>
        <w:rtl w:val="0"/>
        <w:lang w:val="en-US"/>
        <w14:textFill>
          <w14:solidFill>
            <w14:srgbClr w14:val="7A7A7A"/>
          </w14:solidFill>
        </w14:textFill>
      </w:rPr>
      <w:t>Tel: 919.</w:t>
    </w:r>
    <w:r>
      <w:rPr>
        <w:rFonts w:ascii="Helvetica Neue Light" w:cs="Arial Unicode MS" w:hAnsi="Helvetica Neue Light" w:eastAsia="Arial Unicode MS"/>
        <w:b w:val="0"/>
        <w:bCs w:val="0"/>
        <w:i w:val="0"/>
        <w:iCs w:val="0"/>
        <w:caps w:val="1"/>
        <w:outline w:val="0"/>
        <w:color w:val="7a7a7a"/>
        <w:spacing w:val="-1"/>
        <w:position w:val="-2"/>
        <w:sz w:val="14"/>
        <w:szCs w:val="14"/>
        <w:rtl w:val="0"/>
        <w:lang w:val="en-US"/>
        <w14:textFill>
          <w14:solidFill>
            <w14:srgbClr w14:val="7A7A7A"/>
          </w14:solidFill>
        </w14:textFill>
      </w:rPr>
      <w:t>341.8234</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320"/>
        <w:tab w:val="right" w:pos="8640"/>
        <w:tab w:val="clear" w:pos="9020"/>
      </w:tabs>
      <w:jc w:val="left"/>
    </w:pPr>
    <w:r>
      <w:tab/>
    </w:r>
    <w:r>
      <w:drawing xmlns:a="http://schemas.openxmlformats.org/drawingml/2006/main">
        <wp:inline distT="0" distB="0" distL="0" distR="0">
          <wp:extent cx="2474656" cy="707045"/>
          <wp:effectExtent l="0" t="0" r="0" b="0"/>
          <wp:docPr id="1073741825" name="officeArt object" descr="aiwizn_logo_white.svg"/>
          <wp:cNvGraphicFramePr/>
          <a:graphic xmlns:a="http://schemas.openxmlformats.org/drawingml/2006/main">
            <a:graphicData uri="http://schemas.openxmlformats.org/drawingml/2006/picture">
              <pic:pic xmlns:pic="http://schemas.openxmlformats.org/drawingml/2006/picture">
                <pic:nvPicPr>
                  <pic:cNvPr id="1073741825" name="aiwizn_logo_white.svg" descr="aiwizn_logo_white.svg"/>
                  <pic:cNvPicPr>
                    <a:picLocks noChangeAspect="1"/>
                  </pic:cNvPicPr>
                </pic:nvPicPr>
                <pic:blipFill>
                  <a:blip r:embed="rId1">
                    <a:extLst/>
                  </a:blip>
                  <a:stretch>
                    <a:fillRect/>
                  </a:stretch>
                </pic:blipFill>
                <pic:spPr>
                  <a:xfrm>
                    <a:off x="0" y="0"/>
                    <a:ext cx="2474656" cy="707045"/>
                  </a:xfrm>
                  <a:prstGeom prst="rect">
                    <a:avLst/>
                  </a:prstGeom>
                  <a:ln w="12700" cap="flat">
                    <a:noFill/>
                    <a:miter lim="400000"/>
                  </a:ln>
                  <a:effectLst/>
                </pic:spPr>
              </pic:pic>
            </a:graphicData>
          </a:graphic>
        </wp:inline>
      </w:drawing>
    </w: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character" w:styleId="Hyperlink.0">
    <w:name w:val="Hyperlink.0"/>
    <w:basedOn w:val="Hyperlink"/>
    <w:next w:val="Hyperlink.0"/>
    <w:rPr>
      <w:rFonts w:ascii="Helvetica Neue Light" w:cs="Helvetica Neue Light" w:hAnsi="Helvetica Neue Light" w:eastAsia="Helvetica Neue Light"/>
      <w:b w:val="0"/>
      <w:bCs w:val="0"/>
      <w:i w:val="0"/>
      <w:iCs w:val="0"/>
      <w:caps w:val="1"/>
      <w:spacing w:val="-1"/>
      <w:position w:val="-2"/>
      <w:sz w:val="14"/>
      <w:szCs w:val="14"/>
      <w:u w:val="single"/>
      <w:lang w:val="en-US"/>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Helvetica" w:hAnsi="Helvetica" w:eastAsia="Helvetica"/>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r:embed="rId1"/>
          <a:srcRect l="0" t="0" r="0" b="0"/>
          <a:tile tx="0" ty="0" sx="100000" sy="100000" flip="none" algn="tl"/>
        </a:blipFill>
        <a:ln w="12700" cap="flat">
          <a:noFill/>
          <a:miter lim="400000"/>
        </a:ln>
        <a:effectLst>
          <a:outerShdw sx="100000" sy="100000" kx="0" ky="0" algn="b" rotWithShape="0" blurRad="38100" dist="25400" dir="5400000">
            <a:srgbClr val="000000">
              <a:alpha val="50000"/>
            </a:srgbClr>
          </a:outerShdw>
        </a:effectLst>
        <a:sp3d/>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outerShdw sx="100000" sy="100000" kx="0" ky="0" algn="b" rotWithShape="0" blurRad="25400" dist="23998" dir="270000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