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spacing w:before="200" w:after="80" w:line="320" w:lineRule="auto"/>
      </w:pPr>
      <w:r>
        <w:rPr>
          <w:rFonts w:ascii="Helvetica Neue" w:hAnsi="Helvetica Neue" w:cs="Helvetica Neue"/>
          <w:b/>
          <w:i w:val="0"/>
          <w:caps w:val="0"/>
          <w:color w:val="D08840"/>
          <w:sz w:val="16"/>
          <w:spacing w:val="120"/>
        </w:rPr>
        <w:t>PRE-EMPTION BRIEF · INTERNAL USE ONLY</w:t>
      </w:r>
    </w:p>
    <w:p>
      <w:pPr>
        <w:spacing w:before="0" w:after="320" w:line="320" w:lineRule="auto"/>
      </w:pPr>
      <w:r>
        <w:rPr>
          <w:rFonts w:ascii="Helvetica Neue" w:hAnsi="Helvetica Neue" w:cs="Helvetica Neue"/>
          <w:b w:val="0"/>
          <w:i w:val="0"/>
          <w:caps w:val="0"/>
          <w:color w:val="7C7A75"/>
          <w:sz w:val="18"/>
          <w:spacing w:val="40"/>
        </w:rPr>
        <w:t>The five conversations every hospital innovation team has — pre-empted</w:t>
      </w:r>
    </w:p>
    <w:p>
      <w:pPr>
        <w:spacing w:before="80" w:after="0" w:line="320" w:lineRule="auto"/>
      </w:pPr>
      <w:r>
        <w:rPr>
          <w:rFonts w:ascii="Georgia" w:hAnsi="Georgia" w:cs="Georgia"/>
          <w:b w:val="0"/>
          <w:i w:val="0"/>
          <w:caps w:val="0"/>
          <w:color w:val="2C2A28"/>
          <w:sz w:val="64"/>
        </w:rPr>
        <w:t>Say what they'll say</w:t>
      </w:r>
    </w:p>
    <w:p>
      <w:pPr>
        <w:spacing w:before="80" w:after="200" w:line="320" w:lineRule="auto"/>
      </w:pPr>
      <w:r>
        <w:rPr>
          <w:rFonts w:ascii="Georgia" w:hAnsi="Georgia" w:cs="Georgia"/>
          <w:b w:val="0"/>
          <w:i/>
          <w:caps w:val="0"/>
          <w:color w:val="2D7570"/>
          <w:sz w:val="64"/>
        </w:rPr>
        <w:t>before they say it.</w:t>
      </w:r>
    </w:p>
    <w:p>
      <w:pPr>
        <w:spacing w:before="0" w:after="160" w:line="320" w:lineRule="auto"/>
      </w:pPr>
      <w:r>
        <w:rPr>
          <w:rFonts w:ascii="Georgia" w:hAnsi="Georgia" w:cs="Georgia"/>
          <w:b w:val="0"/>
          <w:i/>
          <w:caps w:val="0"/>
          <w:color w:val="7C7A75"/>
          <w:sz w:val="22"/>
        </w:rPr>
        <w:t>Graham's principle from the call: "Say what they will say before they say it. It defuses the resistance and earns the room." Format: use this as the second slide / first five minutes of the meeting. Spend ≤90 seconds per item. Don't read it verbatim — internalize it, deliver it conversationally.</w:t>
      </w:r>
    </w:p>
    <w:p>
      <w:pPr>
        <w:spacing w:before="240" w:after="100" w:line="320" w:lineRule="auto"/>
      </w:pPr>
      <w:r>
        <w:rPr>
          <w:rFonts w:ascii="Helvetica Neue" w:hAnsi="Helvetica Neue" w:cs="Helvetica Neue"/>
          <w:b/>
          <w:i w:val="0"/>
          <w:caps w:val="0"/>
          <w:color w:val="2D7570"/>
          <w:sz w:val="18"/>
          <w:spacing w:val="80"/>
        </w:rPr>
        <w:t>OPENER (60 SECONDS)</w:t>
      </w:r>
    </w:p>
    <w:p>
      <w:pPr>
        <w:spacing w:before="160" w:after="80"/>
        <w:ind w:left="576"/>
      </w:pPr>
      <w:r>
        <w:rPr>
          <w:rFonts w:ascii="Georgia" w:hAnsi="Georgia" w:cs="Georgia"/>
          <w:b w:val="0"/>
          <w:i/>
          <w:caps w:val="0"/>
          <w:color w:val="2D7570"/>
          <w:sz w:val="22"/>
        </w:rPr>
        <w:t>“Before we show you anything, let me preempt the four conversations every hospital innovation team has when a new training platform shows up. We've thought about each of them. If we miss something, push back — that's the most useful thing you can do today.”</w:t>
      </w:r>
    </w:p>
    <w:p>
      <w:pPr>
        <w:spacing w:before="240" w:after="100" w:line="320" w:lineRule="auto"/>
      </w:pPr>
      <w:r>
        <w:rPr>
          <w:rFonts w:ascii="Helvetica Neue" w:hAnsi="Helvetica Neue" w:cs="Helvetica Neue"/>
          <w:b/>
          <w:i w:val="0"/>
          <w:caps w:val="0"/>
          <w:color w:val="2D7570"/>
          <w:sz w:val="18"/>
          <w:spacing w:val="80"/>
        </w:rPr>
        <w:t>1 · THE CME / MEDICAL-EDUCATION CONCERN</w:t>
      </w:r>
    </w:p>
    <w:p>
      <w:pPr>
        <w:spacing w:before="0" w:after="40" w:line="320" w:lineRule="auto"/>
      </w:pPr>
      <w:r>
        <w:rPr>
          <w:rFonts w:ascii="Georgia" w:hAnsi="Georgia" w:cs="Georgia"/>
          <w:b w:val="0"/>
          <w:i/>
          <w:caps w:val="0"/>
          <w:color w:val="7C7A75"/>
          <w:sz w:val="22"/>
        </w:rPr>
        <w:t>What they'll think:</w:t>
      </w:r>
    </w:p>
    <w:p>
      <w:pPr>
        <w:spacing w:before="0" w:after="80" w:line="320" w:lineRule="auto"/>
      </w:pPr>
      <w:r>
        <w:rPr>
          <w:rFonts w:ascii="Georgia" w:hAnsi="Georgia" w:cs="Georgia"/>
          <w:b w:val="0"/>
          <w:i/>
          <w:caps w:val="0"/>
          <w:color w:val="2C2A28"/>
          <w:sz w:val="22"/>
        </w:rPr>
        <w:t>"This is going to make our department look obsolete."</w:t>
      </w:r>
    </w:p>
    <w:p>
      <w:pPr>
        <w:spacing w:before="0" w:after="40" w:line="320" w:lineRule="auto"/>
      </w:pPr>
      <w:r>
        <w:rPr>
          <w:rFonts w:ascii="Georgia" w:hAnsi="Georgia" w:cs="Georgia"/>
          <w:b/>
          <w:i w:val="0"/>
          <w:caps w:val="0"/>
          <w:color w:val="2D7570"/>
          <w:sz w:val="20"/>
        </w:rPr>
        <w:t>Your line:</w:t>
      </w:r>
    </w:p>
    <w:p>
      <w:pPr>
        <w:spacing w:before="160" w:after="80"/>
        <w:ind w:left="576"/>
      </w:pPr>
      <w:r>
        <w:rPr>
          <w:rFonts w:ascii="Georgia" w:hAnsi="Georgia" w:cs="Georgia"/>
          <w:b w:val="0"/>
          <w:i/>
          <w:caps w:val="0"/>
          <w:color w:val="2D7570"/>
          <w:sz w:val="22"/>
        </w:rPr>
        <w:t>“AIWIZN is the evidence layer underneath your existing program, not a replacement for it. Your education team still owns curriculum, accreditation, and the institutional voice. What we add is per-decision telemetry your team can't get from a slide deck — so your CME chief has data to show the C-suite that the program is working.”</w:t>
      </w:r>
    </w:p>
    <w:p>
      <w:pPr>
        <w:spacing w:before="0" w:after="160" w:line="320" w:lineRule="auto"/>
      </w:pPr>
      <w:r>
        <w:rPr>
          <w:rFonts w:ascii="Georgia" w:hAnsi="Georgia" w:cs="Georgia"/>
          <w:b w:val="0"/>
          <w:i/>
          <w:caps w:val="0"/>
          <w:color w:val="7C7A75"/>
          <w:sz w:val="20"/>
        </w:rPr>
        <w:t>Subtext you deliver implicitly: their job gets easier and more defensible, not threatened.</w:t>
      </w:r>
    </w:p>
    <w:p>
      <w:pPr>
        <w:spacing w:before="240" w:after="100" w:line="320" w:lineRule="auto"/>
      </w:pPr>
      <w:r>
        <w:rPr>
          <w:rFonts w:ascii="Helvetica Neue" w:hAnsi="Helvetica Neue" w:cs="Helvetica Neue"/>
          <w:b/>
          <w:i w:val="0"/>
          <w:caps w:val="0"/>
          <w:color w:val="2D7570"/>
          <w:sz w:val="18"/>
          <w:spacing w:val="80"/>
        </w:rPr>
        <w:t>2 · THE CIO / SECURITY CONCERN (CAMERON, PER GRAHAM)</w:t>
      </w:r>
    </w:p>
    <w:p>
      <w:pPr>
        <w:spacing w:before="0" w:after="40" w:line="320" w:lineRule="auto"/>
      </w:pPr>
      <w:r>
        <w:rPr>
          <w:rFonts w:ascii="Georgia" w:hAnsi="Georgia" w:cs="Georgia"/>
          <w:b w:val="0"/>
          <w:i/>
          <w:caps w:val="0"/>
          <w:color w:val="7C7A75"/>
          <w:sz w:val="22"/>
        </w:rPr>
        <w:t>What they'll think:</w:t>
      </w:r>
    </w:p>
    <w:p>
      <w:pPr>
        <w:spacing w:before="0" w:after="80" w:line="320" w:lineRule="auto"/>
      </w:pPr>
      <w:r>
        <w:rPr>
          <w:rFonts w:ascii="Georgia" w:hAnsi="Georgia" w:cs="Georgia"/>
          <w:b w:val="0"/>
          <w:i/>
          <w:caps w:val="0"/>
          <w:color w:val="2C2A28"/>
          <w:sz w:val="22"/>
        </w:rPr>
        <w:t>"Another insecure SaaS that creates IT work and leaks PHI."</w:t>
      </w:r>
    </w:p>
    <w:p>
      <w:pPr>
        <w:spacing w:before="0" w:after="40" w:line="320" w:lineRule="auto"/>
      </w:pPr>
      <w:r>
        <w:rPr>
          <w:rFonts w:ascii="Georgia" w:hAnsi="Georgia" w:cs="Georgia"/>
          <w:b/>
          <w:i w:val="0"/>
          <w:caps w:val="0"/>
          <w:color w:val="2D7570"/>
          <w:sz w:val="20"/>
        </w:rPr>
        <w:t>Your line:</w:t>
      </w:r>
    </w:p>
    <w:p>
      <w:pPr>
        <w:spacing w:before="160" w:after="80"/>
        <w:ind w:left="576"/>
      </w:pPr>
      <w:r>
        <w:rPr>
          <w:rFonts w:ascii="Georgia" w:hAnsi="Georgia" w:cs="Georgia"/>
          <w:b w:val="0"/>
          <w:i/>
          <w:caps w:val="0"/>
          <w:color w:val="2D7570"/>
          <w:sz w:val="22"/>
        </w:rPr>
        <w:t>“Three things to know before you ask. One: no PHI touches AIWIZN — the patient cases are synthetic, by design. Two: our isolation model is row-level security in Postgres with per-customer policies, so WakeMed's session data cannot leak to any other tenant. Three: we ship ScORM exports for your existing LMS, and we're on a SOC-2 roadmap with single-tenant deployment available at enterprise tier. We've drafted a security one-pager — happy to send it to Cameron directly before any deeper conversation.”</w:t>
      </w:r>
    </w:p>
    <w:p>
      <w:pPr>
        <w:spacing w:before="0" w:after="160" w:line="320" w:lineRule="auto"/>
      </w:pPr>
      <w:r>
        <w:rPr>
          <w:rFonts w:ascii="Georgia" w:hAnsi="Georgia" w:cs="Georgia"/>
          <w:b w:val="0"/>
          <w:i/>
          <w:caps w:val="0"/>
          <w:color w:val="7C7A75"/>
          <w:sz w:val="20"/>
        </w:rPr>
        <w:t>Subtext: you've already thought about him and you'll route around him cleanly.</w:t>
      </w:r>
    </w:p>
    <w:p>
      <w:pPr>
        <w:spacing w:before="240" w:after="100" w:line="320" w:lineRule="auto"/>
      </w:pPr>
      <w:r>
        <w:rPr>
          <w:rFonts w:ascii="Helvetica Neue" w:hAnsi="Helvetica Neue" w:cs="Helvetica Neue"/>
          <w:b/>
          <w:i w:val="0"/>
          <w:caps w:val="0"/>
          <w:color w:val="2D7570"/>
          <w:sz w:val="18"/>
          <w:spacing w:val="80"/>
        </w:rPr>
        <w:t>3 · THE EDUCATION / POWERPOINT OLD GUARD</w:t>
      </w:r>
    </w:p>
    <w:p>
      <w:pPr>
        <w:spacing w:before="0" w:after="40" w:line="320" w:lineRule="auto"/>
      </w:pPr>
      <w:r>
        <w:rPr>
          <w:rFonts w:ascii="Georgia" w:hAnsi="Georgia" w:cs="Georgia"/>
          <w:b w:val="0"/>
          <w:i/>
          <w:caps w:val="0"/>
          <w:color w:val="7C7A75"/>
          <w:sz w:val="22"/>
        </w:rPr>
        <w:t>What they'll think:</w:t>
      </w:r>
    </w:p>
    <w:p>
      <w:pPr>
        <w:spacing w:before="0" w:after="80" w:line="320" w:lineRule="auto"/>
      </w:pPr>
      <w:r>
        <w:rPr>
          <w:rFonts w:ascii="Georgia" w:hAnsi="Georgia" w:cs="Georgia"/>
          <w:b w:val="0"/>
          <w:i/>
          <w:caps w:val="0"/>
          <w:color w:val="2C2A28"/>
          <w:sz w:val="22"/>
        </w:rPr>
        <w:t>"We have a 185-slide PDF. We've always done it this way."</w:t>
      </w:r>
    </w:p>
    <w:p>
      <w:pPr>
        <w:spacing w:before="0" w:after="40" w:line="320" w:lineRule="auto"/>
      </w:pPr>
      <w:r>
        <w:rPr>
          <w:rFonts w:ascii="Georgia" w:hAnsi="Georgia" w:cs="Georgia"/>
          <w:b/>
          <w:i w:val="0"/>
          <w:caps w:val="0"/>
          <w:color w:val="2D7570"/>
          <w:sz w:val="20"/>
        </w:rPr>
        <w:t>Your line:</w:t>
      </w:r>
    </w:p>
    <w:p>
      <w:pPr>
        <w:spacing w:before="160" w:after="80"/>
        <w:ind w:left="576"/>
      </w:pPr>
      <w:r>
        <w:rPr>
          <w:rFonts w:ascii="Georgia" w:hAnsi="Georgia" w:cs="Georgia"/>
          <w:b w:val="0"/>
          <w:i/>
          <w:caps w:val="0"/>
          <w:color w:val="2D7570"/>
          <w:sz w:val="22"/>
        </w:rPr>
        <w:t>“Honest assessment: nobody finishes that PDF. The hospital pays for compliance check-boxes but the actual learning happens in shadowing. We're not replacing the PDF — we're replacing the shadowing-by-attrition piece, which is where time-to-competency actually lives. The 185 slides stay where they are. We measure what changes when nurses get scenario reps in parallel.”</w:t>
      </w:r>
    </w:p>
    <w:p>
      <w:pPr>
        <w:spacing w:before="0" w:after="160" w:line="320" w:lineRule="auto"/>
      </w:pPr>
      <w:r>
        <w:rPr>
          <w:rFonts w:ascii="Georgia" w:hAnsi="Georgia" w:cs="Georgia"/>
          <w:b w:val="0"/>
          <w:i/>
          <w:caps w:val="0"/>
          <w:color w:val="7C7A75"/>
          <w:sz w:val="20"/>
        </w:rPr>
        <w:t>Subtext: you're not threatening the institutional artifact, you're solving the bottleneck around it.</w:t>
      </w:r>
    </w:p>
    <w:p>
      <w:pPr>
        <w:spacing w:before="240" w:after="100" w:line="320" w:lineRule="auto"/>
      </w:pPr>
      <w:r>
        <w:rPr>
          <w:rFonts w:ascii="Helvetica Neue" w:hAnsi="Helvetica Neue" w:cs="Helvetica Neue"/>
          <w:b/>
          <w:i w:val="0"/>
          <w:caps w:val="0"/>
          <w:color w:val="2D7570"/>
          <w:sz w:val="18"/>
          <w:spacing w:val="80"/>
        </w:rPr>
        <w:t>4 · THE VALUE-ADD COMMITTEE / 'SMALL VENDOR' CONCERN</w:t>
      </w:r>
    </w:p>
    <w:p>
      <w:pPr>
        <w:spacing w:before="0" w:after="40" w:line="320" w:lineRule="auto"/>
      </w:pPr>
      <w:r>
        <w:rPr>
          <w:rFonts w:ascii="Georgia" w:hAnsi="Georgia" w:cs="Georgia"/>
          <w:b w:val="0"/>
          <w:i/>
          <w:caps w:val="0"/>
          <w:color w:val="7C7A75"/>
          <w:sz w:val="22"/>
        </w:rPr>
        <w:t>What they'll think:</w:t>
      </w:r>
    </w:p>
    <w:p>
      <w:pPr>
        <w:spacing w:before="0" w:after="80" w:line="320" w:lineRule="auto"/>
      </w:pPr>
      <w:r>
        <w:rPr>
          <w:rFonts w:ascii="Georgia" w:hAnsi="Georgia" w:cs="Georgia"/>
          <w:b w:val="0"/>
          <w:i/>
          <w:caps w:val="0"/>
          <w:color w:val="2C2A28"/>
          <w:sz w:val="22"/>
        </w:rPr>
        <w:t>"This little company will disappear in two years. We can't bet a workforce program on them."</w:t>
      </w:r>
    </w:p>
    <w:p>
      <w:pPr>
        <w:spacing w:before="0" w:after="40" w:line="320" w:lineRule="auto"/>
      </w:pPr>
      <w:r>
        <w:rPr>
          <w:rFonts w:ascii="Georgia" w:hAnsi="Georgia" w:cs="Georgia"/>
          <w:b/>
          <w:i w:val="0"/>
          <w:caps w:val="0"/>
          <w:color w:val="2D7570"/>
          <w:sz w:val="20"/>
        </w:rPr>
        <w:t>Your line:</w:t>
      </w:r>
    </w:p>
    <w:p>
      <w:pPr>
        <w:spacing w:before="160" w:after="80"/>
        <w:ind w:left="576"/>
      </w:pPr>
      <w:r>
        <w:rPr>
          <w:rFonts w:ascii="Georgia" w:hAnsi="Georgia" w:cs="Georgia"/>
          <w:b w:val="0"/>
          <w:i/>
          <w:caps w:val="0"/>
          <w:color w:val="2D7570"/>
          <w:sz w:val="22"/>
        </w:rPr>
        <w:t>“Aten Inc. is 25 years old. We've held federal contracts for adaptive simulation training across pharma, aviation, and clinical for two decades, and we've won the NBME Centennial Competition, the JP Morgan Chase innovation award, and were Bill &amp; Melinda Gates Foundation and MacArthur Foundation finalists. AIWIZN is the latest expression of that capability, not a new company. The continuity risk you're worried about doesn't apply here — and the structure of the engagement protects you regardless: it's a research collaboration with co-authored publication, not a vendor lock-in.”</w:t>
      </w:r>
    </w:p>
    <w:p>
      <w:pPr>
        <w:spacing w:before="0" w:after="160" w:line="320" w:lineRule="auto"/>
      </w:pPr>
      <w:r>
        <w:rPr>
          <w:rFonts w:ascii="Georgia" w:hAnsi="Georgia" w:cs="Georgia"/>
          <w:b w:val="0"/>
          <w:i/>
          <w:caps w:val="0"/>
          <w:color w:val="7C7A75"/>
          <w:sz w:val="20"/>
        </w:rPr>
        <w:t>Subtext: the longevity question is wrong; here's the right frame.</w:t>
      </w:r>
    </w:p>
    <w:p>
      <w:pPr>
        <w:spacing w:before="240" w:after="100" w:line="320" w:lineRule="auto"/>
      </w:pPr>
      <w:r>
        <w:rPr>
          <w:rFonts w:ascii="Helvetica Neue" w:hAnsi="Helvetica Neue" w:cs="Helvetica Neue"/>
          <w:b/>
          <w:i w:val="0"/>
          <w:caps w:val="0"/>
          <w:color w:val="2D7570"/>
          <w:sz w:val="18"/>
          <w:spacing w:val="80"/>
        </w:rPr>
        <w:t>BONUS · THINGS TO VOLUNTEER, NOT WAIT FOR</w:t>
      </w:r>
    </w:p>
    <w:p>
      <w:pPr>
        <w:spacing w:before="0" w:after="160" w:line="320" w:lineRule="auto"/>
      </w:pPr>
      <w:r>
        <w:rPr>
          <w:rFonts w:ascii="Georgia" w:hAnsi="Georgia" w:cs="Georgia"/>
          <w:b w:val="0"/>
          <w:i/>
          <w:caps w:val="0"/>
          <w:color w:val="7C7A75"/>
          <w:sz w:val="22"/>
        </w:rPr>
        <w:t>Before they ask. Faster you give it, more confident you read.</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Pricing — "We're pricing this pilot as a research collaboration, well below our standard pilot. The value we extract is the co-authored publication. The value you extract is the institutional learning and the publication credit."</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Time commitment — "For Diane / Robin / Graham: ~30 minutes today, ~2 hours of design conversation if we move forward. For the nurse cohort: 20–25 minutes per scenario, ~5 scenarios total."</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Exit terms — "If at any point you decide the engine isn't working, you stop. You keep the data, you keep the institutional learning, you don't owe us anything."</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IP terms — "WakeMed owns its institutional data and methodology. AIWIZN owns the engine and the synthesized aggregate findings. Graham is senior author. Both organizations publish freely from their portion."</w:t>
      </w:r>
    </w:p>
    <w:p>
      <w:pPr>
        <w:spacing w:before="240" w:after="100" w:line="320" w:lineRule="auto"/>
      </w:pPr>
      <w:r>
        <w:rPr>
          <w:rFonts w:ascii="Helvetica Neue" w:hAnsi="Helvetica Neue" w:cs="Helvetica Neue"/>
          <w:b/>
          <w:i w:val="0"/>
          <w:caps w:val="0"/>
          <w:color w:val="2D7570"/>
          <w:sz w:val="18"/>
          <w:spacing w:val="80"/>
        </w:rPr>
        <w:t>THINGS TO NOT SAY (FAILURE MODES)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"We're using cutting-edge AI" — they hear "another AI hype demo"</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"This is the future of nursing education" — they hear "vendor with messianic posture"</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"We've been working really hard on this" — they hear "vendor seeking validation"</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"We just need a small commitment from you" — they hear "asking permission to be a problem"</w:t>
      </w:r>
    </w:p>
    <w:p>
      <w:pPr>
        <w:spacing w:before="120" w:after="40" w:line="320" w:lineRule="auto"/>
      </w:pPr>
      <w:r>
        <w:rPr>
          <w:rFonts w:ascii="Georgia" w:hAnsi="Georgia" w:cs="Georgia"/>
          <w:b/>
          <w:i w:val="0"/>
          <w:caps w:val="0"/>
          <w:color w:val="2D7570"/>
          <w:sz w:val="20"/>
        </w:rPr>
        <w:t>Instead:</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"We've already done X. The question for you is whether Y is worth your team's 30 minutes."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"Here's the trap we built around — we'd be curious whether it lines up with how you actually deploy."</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 "Graham has been our clinical anchor — he's why we'd want to start with WakeMed."</w:t>
      </w:r>
    </w:p>
    <w:p>
      <w:pPr>
        <w:spacing w:before="240" w:after="100" w:line="320" w:lineRule="auto"/>
      </w:pPr>
      <w:r>
        <w:rPr>
          <w:rFonts w:ascii="Helvetica Neue" w:hAnsi="Helvetica Neue" w:cs="Helvetica Neue"/>
          <w:b/>
          <w:i w:val="0"/>
          <w:caps w:val="0"/>
          <w:color w:val="2D7570"/>
          <w:sz w:val="18"/>
          <w:spacing w:val="80"/>
        </w:rPr>
        <w:t>END-OF-MEETING CLOSE</w:t>
      </w:r>
    </w:p>
    <w:p>
      <w:pPr>
        <w:spacing w:before="0" w:after="40" w:line="320" w:lineRule="auto"/>
      </w:pPr>
      <w:r>
        <w:rPr>
          <w:rFonts w:ascii="Georgia" w:hAnsi="Georgia" w:cs="Georgia"/>
          <w:b w:val="0"/>
          <w:i/>
          <w:caps w:val="0"/>
          <w:color w:val="7C7A75"/>
          <w:sz w:val="22"/>
        </w:rPr>
        <w:t>If the meeting goes well:</w:t>
      </w:r>
    </w:p>
    <w:p>
      <w:pPr>
        <w:spacing w:before="160" w:after="80"/>
        <w:ind w:left="576"/>
      </w:pPr>
      <w:r>
        <w:rPr>
          <w:rFonts w:ascii="Georgia" w:hAnsi="Georgia" w:cs="Georgia"/>
          <w:b w:val="0"/>
          <w:i/>
          <w:caps w:val="0"/>
          <w:color w:val="2D7570"/>
          <w:sz w:val="22"/>
        </w:rPr>
        <w:t>“Here's the working draft of the research collaboration MOU. One page. Read it tonight. If it makes sense, Graham introduces us to your IRB contact tomorrow and we scope the cohort design by Friday. If it doesn't, no follow-up, no awkward email chain. We respect your time either way.”</w:t>
      </w:r>
    </w:p>
    <w:p>
      <w:pPr>
        <w:spacing w:before="120" w:after="40" w:line="320" w:lineRule="auto"/>
      </w:pPr>
      <w:r>
        <w:rPr>
          <w:rFonts w:ascii="Georgia" w:hAnsi="Georgia" w:cs="Georgia"/>
          <w:b w:val="0"/>
          <w:i/>
          <w:caps w:val="0"/>
          <w:color w:val="7C7A75"/>
          <w:sz w:val="22"/>
        </w:rPr>
        <w:t>If the meeting goes badly (rare given Graham as anchor):</w:t>
      </w:r>
    </w:p>
    <w:p>
      <w:pPr>
        <w:spacing w:before="160" w:after="80"/>
        <w:ind w:left="576"/>
      </w:pPr>
      <w:r>
        <w:rPr>
          <w:rFonts w:ascii="Georgia" w:hAnsi="Georgia" w:cs="Georgia"/>
          <w:b w:val="0"/>
          <w:i/>
          <w:caps w:val="0"/>
          <w:color w:val="2D7570"/>
          <w:sz w:val="22"/>
        </w:rPr>
        <w:t>“Tell us specifically what's missing. We'd rather know the real objection now than spend two weeks chasing a 'let me circulate this internally.' What would make this a yes?”</w:t>
      </w:r>
    </w:p>
    <w:p>
      <w:pPr>
        <w:spacing w:before="160" w:after="160"/>
        <w:pBdr>
          <w:bottom w:val="single" w:sz="6" w:space="1" w:color="CFC8BE"/>
        </w:pBdr>
      </w:pPr>
    </w:p>
    <w:p>
      <w:pPr>
        <w:spacing w:before="0" w:after="80" w:line="320" w:lineRule="auto"/>
      </w:pPr>
      <w:r>
        <w:rPr>
          <w:rFonts w:ascii="Helvetica Neue" w:hAnsi="Helvetica Neue" w:cs="Helvetica Neue"/>
          <w:b/>
          <w:i w:val="0"/>
          <w:caps w:val="0"/>
          <w:color w:val="D08840"/>
          <w:sz w:val="18"/>
          <w:spacing w:val="80"/>
        </w:rPr>
        <w:t>Meeting prep checklist</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One-pager sent to Diane / Robin 48 hours before meeting</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Security one-pager drafted and ready to share post-meeting</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ScORM-export statement ready (roadmap commitment is fine)</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Research collaboration MOU drafted in skeleton form</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Graham confirmed attendance + has been briefed on this script</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WakeMed customer config sanity-checked in Supabase + dashboard works end-to-end</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Backup screenshare prepared in case live demo fails</w:t>
      </w:r>
    </w:p>
    <w:p>
      <w:pPr>
        <w:spacing w:after="120"/>
        <w:ind w:left="648" w:hanging="360"/>
      </w:pPr>
      <w:r>
        <w:rPr>
          <w:rFonts w:ascii="Georgia" w:hAnsi="Georgia" w:cs="Georgia"/>
          <w:b/>
          <w:i w:val="0"/>
          <w:caps w:val="0"/>
          <w:color w:val="D08840"/>
          <w:sz w:val="22"/>
        </w:rPr>
        <w:t xml:space="preserve">•   </w:t>
      </w:r>
      <w:r>
        <w:rPr>
          <w:rFonts w:ascii="Georgia" w:hAnsi="Georgia" w:cs="Georgia"/>
          <w:b w:val="0"/>
          <w:i w:val="0"/>
          <w:caps w:val="0"/>
          <w:color w:val="2C2A28"/>
          <w:sz w:val="22"/>
        </w:rPr>
        <w:t>Aten 25-year credibility slide ready (four logos: NBME, JP Morgan, Gates, MacArthur)</w:t>
      </w:r>
    </w:p>
    <w:sectPr>
      <w:headerReference w:type="default" r:id="rId4"/>
      <w:footerReference w:type="default" r:id="rId5"/>
      <w:pgSz w:w="12240" w:h="15840" w:orient="portrait"/>
      <w:pgMar w:top="2160" w:right="1800" w:bottom="1800" w:left="180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Helvetica Neue Light">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p>
  <w:p>
    <w:pPr>
      <w:pStyle w:val="Header &amp; Footer"/>
      <w:tabs>
        <w:tab w:val="center" w:pos="4320"/>
        <w:tab w:val="right" w:pos="8640"/>
        <w:tab w:val="clear" w:pos="9020"/>
      </w:tabs>
      <w:jc w:val="left"/>
      <w:rPr>
        <w:rFonts w:ascii="Helvetica Neue Light" w:cs="Helvetica Neue Light" w:hAnsi="Helvetica Neue Light" w:eastAsia="Helvetica Neue Light"/>
        <w:caps w:val="1"/>
        <w:outline w:val="0"/>
        <w:color w:val="808080"/>
        <w:spacing w:val="169"/>
        <w:position w:val="28"/>
        <w:sz w:val="20"/>
        <w:szCs w:val="20"/>
        <w:lang w:val="en-US"/>
        <w14:textFill>
          <w14:solidFill>
            <w14:srgbClr w14:val="808080"/>
          </w14:solidFill>
        </w14:textFill>
      </w:rPr>
    </w:pPr>
    <w:r>
      <w:rPr>
        <w:rFonts w:ascii="Helvetica Neue Light" w:hAnsi="Helvetica Neue Light"/>
        <w:caps w:val="1"/>
        <w:outline w:val="0"/>
        <w:color w:val="808080"/>
        <w:spacing w:val="169"/>
        <w:position w:val="28"/>
        <w:sz w:val="20"/>
        <w:szCs w:val="20"/>
        <w:lang w:val="en-US"/>
        <w14:textFill>
          <w14:solidFill>
            <w14:srgbClr w14:val="808080"/>
          </w14:solidFill>
        </w14:textFill>
      </w:rPr>
      <w:tab/>
    </w:r>
    <w:r>
      <w:rPr>
        <w:rFonts w:ascii="Helvetica Neue Light" w:cs="Arial Unicode MS" w:hAnsi="Helvetica Neue Light" w:eastAsia="Arial Unicode MS"/>
        <w:b w:val="0"/>
        <w:bCs w:val="0"/>
        <w:i w:val="0"/>
        <w:iCs w:val="0"/>
        <w:caps w:val="1"/>
        <w:outline w:val="0"/>
        <w:color w:val="808080"/>
        <w:spacing w:val="169"/>
        <w:position w:val="28"/>
        <w:sz w:val="20"/>
        <w:szCs w:val="20"/>
        <w:rtl w:val="0"/>
        <w:lang w:val="en-US"/>
        <w14:textFill>
          <w14:solidFill>
            <w14:srgbClr w14:val="808080"/>
          </w14:solidFill>
        </w14:textFill>
      </w:rPr>
      <w:t>imagination Unlimited</w:t>
    </w:r>
  </w:p>
  <w:p>
    <w:pPr>
      <w:pStyle w:val="Header &amp; Footer"/>
      <w:tabs>
        <w:tab w:val="center" w:pos="4320"/>
        <w:tab w:val="right" w:pos="8640"/>
        <w:tab w:val="clear" w:pos="9020"/>
      </w:tabs>
      <w:jc w:val="left"/>
      <w:rPr>
        <w:rFonts w:ascii="Helvetica Neue Light" w:cs="Helvetica Neue Light" w:hAnsi="Helvetica Neue Light" w:eastAsia="Helvetica Neue Light"/>
        <w:caps w:val="1"/>
        <w:spacing w:val="-1"/>
        <w:position w:val="-2"/>
        <w:sz w:val="16"/>
        <w:szCs w:val="16"/>
        <w:lang w:val="en-US"/>
      </w:rPr>
    </w:pPr>
    <w:r>
      <w:rPr>
        <w:rFonts w:ascii="Helvetica Neue Light" w:cs="Helvetica Neue Light" w:hAnsi="Helvetica Neue Light" w:eastAsia="Helvetica Neue Light"/>
        <w:caps w:val="1"/>
        <w:spacing w:val="-1"/>
        <w:position w:val="-2"/>
        <w:sz w:val="16"/>
        <w:szCs w:val="16"/>
        <w:lang w:val="en-US"/>
      </w:rPr>
      <w:tab/>
    </w:r>
    <w:r>
      <w:rPr>
        <w:rFonts w:ascii="Arial Unicode MS" w:cs="Arial Unicode MS" w:hAnsi="Arial Unicode MS" w:eastAsia="Arial Unicode MS" w:hint="default"/>
        <w:b w:val="0"/>
        <w:bCs w:val="0"/>
        <w:i w:val="0"/>
        <w:iCs w:val="0"/>
        <w:caps w:val="1"/>
        <w:outline w:val="0"/>
        <w:color w:val="7a7a7a"/>
        <w:spacing w:val="-1"/>
        <w:position w:val="-2"/>
        <w:sz w:val="16"/>
        <w:szCs w:val="16"/>
        <w:rtl w:val="0"/>
        <w:lang w:val="en-US"/>
        <w14:textFill>
          <w14:solidFill>
            <w14:srgbClr w14:val="7A7A7A"/>
          </w14:solidFill>
        </w14:textFill>
      </w:rPr>
      <w:t>♦</w:t>
    </w:r>
    <w:r>
      <w:rPr>
        <w:rFonts w:ascii="Helvetica Neue Light" w:cs="Arial Unicode MS" w:hAnsi="Helvetica Neue Light" w:eastAsia="Arial Unicode MS"/>
        <w:b w:val="0"/>
        <w:bCs w:val="0"/>
        <w:i w:val="0"/>
        <w:iCs w:val="0"/>
        <w:caps w:val="1"/>
        <w:outline w:val="0"/>
        <w:color w:val="7a7a7a"/>
        <w:spacing w:val="-1"/>
        <w:position w:val="-2"/>
        <w:sz w:val="16"/>
        <w:szCs w:val="16"/>
        <w:rtl w:val="0"/>
        <w:lang w:val="en-US"/>
        <w14:textFill>
          <w14:solidFill>
            <w14:srgbClr w14:val="7A7A7A"/>
          </w14:solidFill>
        </w14:textFill>
      </w:rPr>
      <w:t xml:space="preserve"> AIWIZN</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PO 12521, Research Triangle Park, Durham, NC 27709-2521</w:t>
    </w:r>
  </w:p>
  <w:p>
    <w:pPr>
      <w:pStyle w:val="Header &amp; Footer"/>
      <w:tabs>
        <w:tab w:val="center" w:pos="4320"/>
        <w:tab w:val="right" w:pos="8640"/>
        <w:tab w:val="clear" w:pos="9020"/>
      </w:tabs>
      <w:jc w:val="left"/>
    </w:pPr>
    <w:r>
      <w:rPr>
        <w:rFonts w:ascii="Helvetica Neue Light" w:cs="Helvetica Neue Light" w:hAnsi="Helvetica Neue Light" w:eastAsia="Helvetica Neue Light"/>
        <w:caps w:val="1"/>
        <w:spacing w:val="-1"/>
        <w:position w:val="-2"/>
        <w:sz w:val="14"/>
        <w:szCs w:val="14"/>
        <w:lang w:val="en-US"/>
      </w:rPr>
      <w:tab/>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fldChar w:fldCharType="begin" w:fldLock="0"/>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instrText xml:space="preserve"> HYPERLINK "http://www.aiwizn.com"</w:instrText>
    </w:r>
    <w:r>
      <w:rPr>
        <w:rStyle w:val="Hyperlink.0"/>
        <w:rFonts w:ascii="Helvetica Neue Light" w:cs="Helvetica Neue Light" w:hAnsi="Helvetica Neue Light" w:eastAsia="Helvetica Neue Light"/>
        <w:b w:val="0"/>
        <w:bCs w:val="0"/>
        <w:i w:val="0"/>
        <w:iCs w:val="0"/>
        <w:caps w:val="1"/>
        <w:spacing w:val="-1"/>
        <w:position w:val="-2"/>
        <w:sz w:val="14"/>
        <w:szCs w:val="14"/>
        <w:u w:val="single"/>
        <w:lang w:val="en-US"/>
      </w:rPr>
      <w:fldChar w:fldCharType="separate" w:fldLock="0"/>
    </w:r>
    <w:r>
      <w:rPr>
        <w:rStyle w:val="Hyperlink.0"/>
        <w:rFonts w:ascii="Helvetica Neue Light" w:cs="Arial Unicode MS" w:hAnsi="Helvetica Neue Light" w:eastAsia="Arial Unicode MS"/>
        <w:b w:val="0"/>
        <w:bCs w:val="0"/>
        <w:i w:val="0"/>
        <w:iCs w:val="0"/>
        <w:caps w:val="1"/>
        <w:spacing w:val="-1"/>
        <w:position w:val="-2"/>
        <w:sz w:val="14"/>
        <w:szCs w:val="14"/>
        <w:u w:val="single"/>
        <w:rtl w:val="0"/>
        <w:lang w:val="en-US"/>
      </w:rPr>
      <w:t>www.aiwizn.com</w:t>
    </w:r>
    <w:r>
      <w:rPr>
        <w:rFonts w:ascii="Helvetica Neue Light" w:cs="Helvetica Neue Light" w:hAnsi="Helvetica Neue Light" w:eastAsia="Helvetica Neue Light"/>
        <w:caps w:val="1"/>
        <w:spacing w:val="-1"/>
        <w:position w:val="-2"/>
        <w:sz w:val="14"/>
        <w:szCs w:val="14"/>
        <w:lang w:val="en-US"/>
      </w:rPr>
      <w:fldChar w:fldCharType="end" w:fldLock="0"/>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Arial Unicode MS" w:cs="Arial Unicode MS" w:hAnsi="Arial Unicode MS" w:eastAsia="Arial Unicode MS" w:hint="default"/>
        <w:b w:val="0"/>
        <w:bCs w:val="0"/>
        <w:i w:val="0"/>
        <w:iCs w:val="0"/>
        <w:caps w:val="1"/>
        <w:outline w:val="0"/>
        <w:color w:val="7a7a7a"/>
        <w:spacing w:val="-1"/>
        <w:position w:val="-2"/>
        <w:sz w:val="14"/>
        <w:szCs w:val="14"/>
        <w:rtl w:val="0"/>
        <w:lang w:val="en-US"/>
        <w14:textFill>
          <w14:solidFill>
            <w14:srgbClr w14:val="7A7A7A"/>
          </w14:solidFill>
        </w14:textFill>
      </w:rPr>
      <w:t>♦</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 xml:space="preserve"> </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Tel: 919.</w:t>
    </w:r>
    <w:r>
      <w:rPr>
        <w:rFonts w:ascii="Helvetica Neue Light" w:cs="Arial Unicode MS" w:hAnsi="Helvetica Neue Light" w:eastAsia="Arial Unicode MS"/>
        <w:b w:val="0"/>
        <w:bCs w:val="0"/>
        <w:i w:val="0"/>
        <w:iCs w:val="0"/>
        <w:caps w:val="1"/>
        <w:outline w:val="0"/>
        <w:color w:val="7a7a7a"/>
        <w:spacing w:val="-1"/>
        <w:position w:val="-2"/>
        <w:sz w:val="14"/>
        <w:szCs w:val="14"/>
        <w:rtl w:val="0"/>
        <w:lang w:val="en-US"/>
        <w14:textFill>
          <w14:solidFill>
            <w14:srgbClr w14:val="7A7A7A"/>
          </w14:solidFill>
        </w14:textFill>
      </w:rPr>
      <w:t>341.8234</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tab/>
    </w:r>
    <w:r>
      <w:drawing xmlns:a="http://schemas.openxmlformats.org/drawingml/2006/main">
        <wp:inline distT="0" distB="0" distL="0" distR="0">
          <wp:extent cx="2474656" cy="707045"/>
          <wp:effectExtent l="0" t="0" r="0" b="0"/>
          <wp:docPr id="1073741825" name="officeArt object" descr="aiwizn_logo_white.svg"/>
          <wp:cNvGraphicFramePr/>
          <a:graphic xmlns:a="http://schemas.openxmlformats.org/drawingml/2006/main">
            <a:graphicData uri="http://schemas.openxmlformats.org/drawingml/2006/picture">
              <pic:pic xmlns:pic="http://schemas.openxmlformats.org/drawingml/2006/picture">
                <pic:nvPicPr>
                  <pic:cNvPr id="1073741825" name="aiwizn_logo_white.svg" descr="aiwizn_logo_white.svg"/>
                  <pic:cNvPicPr>
                    <a:picLocks noChangeAspect="1"/>
                  </pic:cNvPicPr>
                </pic:nvPicPr>
                <pic:blipFill>
                  <a:blip r:embed="rId1">
                    <a:extLst/>
                  </a:blip>
                  <a:stretch>
                    <a:fillRect/>
                  </a:stretch>
                </pic:blipFill>
                <pic:spPr>
                  <a:xfrm>
                    <a:off x="0" y="0"/>
                    <a:ext cx="2474656" cy="707045"/>
                  </a:xfrm>
                  <a:prstGeom prst="rect">
                    <a:avLst/>
                  </a:prstGeom>
                  <a:ln w="12700" cap="flat">
                    <a:noFill/>
                    <a:miter lim="400000"/>
                  </a:ln>
                  <a:effectLst/>
                </pic:spPr>
              </pic:pic>
            </a:graphicData>
          </a:graphic>
        </wp:inline>
      </w:drawing>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rFonts w:ascii="Helvetica Neue Light" w:cs="Helvetica Neue Light" w:hAnsi="Helvetica Neue Light" w:eastAsia="Helvetica Neue Light"/>
      <w:b w:val="0"/>
      <w:bCs w:val="0"/>
      <w:i w:val="0"/>
      <w:iCs w:val="0"/>
      <w:caps w:val="1"/>
      <w:spacing w:val="-1"/>
      <w:position w:val="-2"/>
      <w:sz w:val="14"/>
      <w:szCs w:val="14"/>
      <w:u w:val="singl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