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spacing w:before="200" w:after="80" w:line="320" w:lineRule="auto"/>
      </w:pPr>
      <w:r>
        <w:rPr>
          <w:rFonts w:ascii="Helvetica Neue" w:hAnsi="Helvetica Neue" w:cs="Helvetica Neue"/>
          <w:b/>
          <w:i w:val="0"/>
          <w:caps w:val="0"/>
          <w:color w:val="D08840"/>
          <w:sz w:val="16"/>
          <w:spacing w:val="120"/>
        </w:rPr>
        <w:t>RESEARCH STUDY PROTOCOL · SKELETON V1</w:t>
      </w:r>
    </w:p>
    <w:p>
      <w:pPr>
        <w:spacing w:before="0" w:after="320" w:line="320" w:lineRule="auto"/>
      </w:pPr>
      <w:r>
        <w:rPr>
          <w:rFonts w:ascii="Helvetica Neue" w:hAnsi="Helvetica Neue" w:cs="Helvetica Neue"/>
          <w:b w:val="0"/>
          <w:i w:val="0"/>
          <w:caps w:val="0"/>
          <w:color w:val="7C7A75"/>
          <w:sz w:val="18"/>
          <w:spacing w:val="40"/>
        </w:rPr>
        <w:t>AIWIZN × WakeMed Health &amp; Hospitals · For IRB submission preparation</w:t>
      </w:r>
    </w:p>
    <w:p>
      <w:pPr>
        <w:spacing w:before="80" w:after="0" w:line="320" w:lineRule="auto"/>
      </w:pPr>
      <w:r>
        <w:rPr>
          <w:rFonts w:ascii="Georgia" w:hAnsi="Georgia" w:cs="Georgia"/>
          <w:b w:val="0"/>
          <w:i w:val="0"/>
          <w:caps w:val="0"/>
          <w:color w:val="2C2A28"/>
          <w:sz w:val="64"/>
        </w:rPr>
        <w:t>A pre-registered</w:t>
      </w:r>
    </w:p>
    <w:p>
      <w:pPr>
        <w:spacing w:before="80" w:after="200" w:line="320" w:lineRule="auto"/>
      </w:pPr>
      <w:r>
        <w:rPr>
          <w:rFonts w:ascii="Georgia" w:hAnsi="Georgia" w:cs="Georgia"/>
          <w:b w:val="0"/>
          <w:i/>
          <w:caps w:val="0"/>
          <w:color w:val="2D7570"/>
          <w:sz w:val="64"/>
        </w:rPr>
        <w:t>validation study.</w:t>
      </w:r>
    </w:p>
    <w:p>
      <w:pPr>
        <w:spacing w:before="0" w:after="160" w:line="320" w:lineRule="auto"/>
      </w:pPr>
      <w:r>
        <w:rPr>
          <w:rFonts w:ascii="Georgia" w:hAnsi="Georgia" w:cs="Georgia"/>
          <w:b w:val="0"/>
          <w:i/>
          <w:caps w:val="0"/>
          <w:color w:val="7C7A75"/>
          <w:sz w:val="22"/>
        </w:rPr>
        <w:t>Working title: Effect of an AI-driven scenario-based competency platform on time-to-independent-practice and 6-month retention in newly hired registered nurses — a prospective, parallel-group, controlled study at WakeMed Health &amp; Hospitals.</w:t>
      </w:r>
    </w:p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STUDY STRUCTURE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Sponsor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Aten Inc. (AIWIZN) — platform access, telemetry, engineering support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Site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WakeMed Center for Innovative Learning, Raleigh, NC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Senior author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Dr. Graham E. Snyder, MD FACEP, Medical Director WakeMed CIL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Statistical lead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TBD — WakeMed biostatistics or external academic partner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IRB pathway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Expedited / minimal risk — synthetic patient cases, no PHI ingest, employee training context. Confirm with WakeMed IRB office.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Pre-registration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OSF.io prior to first enrollment — required for journal acceptability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Design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Prospective, parallel-group, controlled study (cohort allocation by hire date OR unit-cluster)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Cohort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Newly hired RNs assigned to med-surg or ICU at WakeMed Raleigh, n ≈ 80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Duration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~14 months from IRB approval to manuscript submission</w:t>
            </w:r>
          </w:p>
        </w:tc>
      </w:tr>
    </w:tbl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SPECIFIC AIMS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PRIMARY · Time-to-independent-practice (preceptor sign-off) shorter in intervention arm — median ≥15% reduction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SECONDARY 1 · Knowledge retention at 6 months post-onboarding (blinded scenario-based assessment, ≥10 pp delta)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SECONDARY 2 · First-year voluntary turnover (≥20% relative reduction)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EXPLORATORY · Per-decision behavioral patterns from AIWIZN's stealth assessment layer correlated with preceptor sign-off outcomes</w:t>
      </w:r>
    </w:p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HYPOTHESES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H1 · Median time-to-independent-practice is ≥15% shorter in intervention arm (one-sided test, α = 0.05)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H2 · At 6 months, intervention nurses score ≥10 percentage points higher on blinded competency assessment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H3 · Voluntary turnover at 12 months in intervention arm is at least 20% lower (relative) than control</w:t>
      </w:r>
    </w:p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POWER CALCULATION (PRELIMINARY)</w:t>
      </w:r>
    </w:p>
    <w:p>
      <w:pPr>
        <w:spacing w:before="0" w:after="160" w:line="320" w:lineRule="auto"/>
      </w:pP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Assumed baseline median time-to-independent-practice at WakeMed: ~75 calendar days (working assumption — confirm with WakeMed Education). MCID set at ≥15% reduction (~11 days). With α = 0.05 (one-sided) and power = 0.80, n ≈ 36 per arm is sufficient. Targeting n = 40 per arm provides 10% attrition buffer.</w:t>
      </w:r>
    </w:p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INTERVENTION VS. CONTROL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Intervention arm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WakeMed's standard onboarding pathway PLUS access to AIWIZN's clinical engine. Five scenarios assigned during weeks 2–6 of orientation: STEMI Activation, Stroke tPA Decision, Sepsis Bundle, Authority Challenge, Language Access. ~2 hours over 4 weeks.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Control arm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WakeMed's standard onboarding pathway alone — slide modules, preceptor shadowing, simulation lab. No exposure to AIWIZN. Receives attention-control intervention (unrelated short module) to equalize attention.</w:t>
            </w:r>
          </w:p>
        </w:tc>
      </w:tr>
    </w:tbl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OUTCOMES</w:t>
      </w:r>
    </w:p>
    <w:p>
      <w:pPr>
        <w:spacing w:before="0" w:after="60" w:line="320" w:lineRule="auto"/>
      </w:pPr>
      <w:r>
        <w:rPr>
          <w:rFonts w:ascii="Georgia" w:hAnsi="Georgia" w:cs="Georgia"/>
          <w:b/>
          <w:i w:val="0"/>
          <w:caps w:val="0"/>
          <w:color w:val="2D7570"/>
          <w:sz w:val="20"/>
        </w:rPr>
        <w:t>PRIMARY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Calendar days from hire date to preceptor sign-off (WakeMed's existing rubric for independent practice). Measured by Nursing Education / Talent Management records.</w:t>
      </w:r>
    </w:p>
    <w:p>
      <w:pPr>
        <w:spacing w:before="120" w:after="60" w:line="320" w:lineRule="auto"/>
      </w:pPr>
      <w:r>
        <w:rPr>
          <w:rFonts w:ascii="Georgia" w:hAnsi="Georgia" w:cs="Georgia"/>
          <w:b/>
          <w:i w:val="0"/>
          <w:caps w:val="0"/>
          <w:color w:val="2D7570"/>
          <w:sz w:val="20"/>
        </w:rPr>
        <w:t>SECONDARY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6-month retention assessment — blinded scenario-based assessment delivered 6 months post-sign-off, scored by an assessor blinded to study arm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12-month voluntary turnover — tracked via HR records, pre-specified survival analysis (Kaplan-Meier + Cox model)</w:t>
      </w:r>
    </w:p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ENDPOINTS WAKEMED SHOULD SEE BEFORE THEY ASK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Time-to-sign-off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≥15% shorter in intervention arm (median)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6-month retention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≥10 percentage points higher on blinded assessment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12-month turnover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≥20% relative reduction in voluntary departures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Operational disruption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No incremental preceptor burden; ≤30-min/week overhead per nurse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Publication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Submission to Simulation in Healthcare or equivalent within 14 months of IRB approval, with Dr. Snyder as senior author</w:t>
            </w:r>
          </w:p>
        </w:tc>
      </w:tr>
    </w:tbl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CONFOUNDERS AND MITIGATIONS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Cohort-period effects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Document WakeMed operational changes during the study window; sensitivity analysis adjusting for any major events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Preceptor variability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Stratify by preceptor when n permits; otherwise random-effect for preceptor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Prior experience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Pre-defined strata for new-graduate vs. experienced-transfer; analyze separately and pooled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Hawthorne effect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Control arm receives attention-control intervention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Selection bias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Sensitivity check: confirm baseline characteristics balanced; if imbalanced, adjust in primary analysis</w:t>
            </w:r>
          </w:p>
        </w:tc>
      </w:tr>
    </w:tbl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DATA, PRIVACY, IP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All scenario data is synthetic — no PHI generated, stored, or transmitted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Telemetry data stored in AIWIZN's Supabase with RLS-enforced WakeMed-only access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WakeMed owns its institutional data (cohort outcomes, preceptor records). AIWIZN owns the platform telemetry and aggregate findings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Both organizations have publication rights to the joint findings; Dr. Snyder serves as senior author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A short MOU (separate document) details IP, data-handling, IRB roles, and publication terms</w:t>
      </w:r>
    </w:p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TARGET JOURNALS</w:t>
      </w:r>
    </w:p>
    <w:p>
      <w:pPr>
        <w:spacing w:before="0" w:after="160" w:line="320" w:lineRule="auto"/>
      </w:pP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Simulation in Healthcare (Society for Simulation in Healthcare — Dr. Snyder's home journal) · Nurse Educator · Journal of Nursing Administration · Academic Medicine (if expanded to medical-student crossover).</w:t>
      </w:r>
    </w:p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OPEN ITEMS REQUIRING WAKEMED DECISION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Cohort-allocation design — calendar-half vs. unit-cluster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Statistical lead identification (WakeMed biostats or external)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Baseline time-to-sign-off data — needed to refine power calculation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Preceptor rubric — confirm we can capture independent-practice timing precisely from existing records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IRB pathway preference — full board vs. expedited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Attention-control intervention selection for control arm</w:t>
      </w:r>
    </w:p>
    <w:p>
      <w:pPr>
        <w:spacing w:before="160" w:after="160"/>
        <w:pBdr>
          <w:bottom w:val="single" w:sz="6" w:space="1" w:color="CFC8BE"/>
        </w:pBdr>
      </w:pPr>
    </w:p>
    <w:p>
      <w:pPr>
        <w:spacing w:before="0" w:after="60" w:line="320" w:lineRule="auto"/>
      </w:pPr>
      <w:r>
        <w:rPr>
          <w:rFonts w:ascii="Georgia" w:hAnsi="Georgia" w:cs="Georgia"/>
          <w:b w:val="0"/>
          <w:i/>
          <w:caps w:val="0"/>
          <w:color w:val="7C7A75"/>
          <w:sz w:val="20"/>
        </w:rPr>
        <w:t>Drafted by Thomas K Vaidhyan, AIWIZN  ·  Senior reviewer: Dr. Graham E. Snyder</w:t>
      </w:r>
    </w:p>
    <w:p>
      <w:pPr>
        <w:spacing w:before="0" w:after="120" w:line="320" w:lineRule="auto"/>
      </w:pPr>
      <w:r>
        <w:rPr>
          <w:rFonts w:ascii="Helvetica Neue" w:hAnsi="Helvetica Neue" w:cs="Helvetica Neue"/>
          <w:b/>
          <w:i w:val="0"/>
          <w:caps w:val="0"/>
          <w:color w:val="D08840"/>
          <w:sz w:val="16"/>
          <w:spacing w:val="80"/>
        </w:rPr>
        <w:t>Status: v1 skeleton — for WakeMed internal review and Graham co-author input</w:t>
      </w:r>
    </w:p>
    <w:sectPr>
      <w:headerReference w:type="default" r:id="rId4"/>
      <w:footerReference w:type="default" r:id="rId5"/>
      <w:pgSz w:w="12240" w:h="15840" w:orient="portrait"/>
      <w:pgMar w:top="2160" w:right="1800" w:bottom="1800" w:left="180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Helvetica Neue Light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320"/>
        <w:tab w:val="right" w:pos="8640"/>
        <w:tab w:val="clear" w:pos="9020"/>
      </w:tabs>
      <w:jc w:val="left"/>
    </w:pPr>
  </w:p>
  <w:p>
    <w:pPr>
      <w:pStyle w:val="Header &amp; Footer"/>
      <w:tabs>
        <w:tab w:val="center" w:pos="4320"/>
        <w:tab w:val="right" w:pos="8640"/>
        <w:tab w:val="clear" w:pos="9020"/>
      </w:tabs>
      <w:jc w:val="left"/>
      <w:rPr>
        <w:rFonts w:ascii="Helvetica Neue Light" w:cs="Helvetica Neue Light" w:hAnsi="Helvetica Neue Light" w:eastAsia="Helvetica Neue Light"/>
        <w:caps w:val="1"/>
        <w:outline w:val="0"/>
        <w:color w:val="808080"/>
        <w:spacing w:val="169"/>
        <w:position w:val="28"/>
        <w:sz w:val="20"/>
        <w:szCs w:val="20"/>
        <w:lang w:val="en-US"/>
        <w14:textFill>
          <w14:solidFill>
            <w14:srgbClr w14:val="808080"/>
          </w14:solidFill>
        </w14:textFill>
      </w:rPr>
    </w:pPr>
    <w:r>
      <w:rPr>
        <w:rFonts w:ascii="Helvetica Neue Light" w:hAnsi="Helvetica Neue Light"/>
        <w:caps w:val="1"/>
        <w:outline w:val="0"/>
        <w:color w:val="808080"/>
        <w:spacing w:val="169"/>
        <w:position w:val="28"/>
        <w:sz w:val="20"/>
        <w:szCs w:val="20"/>
        <w:lang w:val="en-US"/>
        <w14:textFill>
          <w14:solidFill>
            <w14:srgbClr w14:val="808080"/>
          </w14:solidFill>
        </w14:textFill>
      </w:rPr>
      <w:tab/>
    </w:r>
    <w:r>
      <w:rPr>
        <w:rFonts w:ascii="Helvetica Neue Light" w:cs="Arial Unicode MS" w:hAnsi="Helvetica Neue Light" w:eastAsia="Arial Unicode MS"/>
        <w:b w:val="0"/>
        <w:bCs w:val="0"/>
        <w:i w:val="0"/>
        <w:iCs w:val="0"/>
        <w:caps w:val="1"/>
        <w:outline w:val="0"/>
        <w:color w:val="808080"/>
        <w:spacing w:val="169"/>
        <w:position w:val="28"/>
        <w:sz w:val="20"/>
        <w:szCs w:val="20"/>
        <w:rtl w:val="0"/>
        <w:lang w:val="en-US"/>
        <w14:textFill>
          <w14:solidFill>
            <w14:srgbClr w14:val="808080"/>
          </w14:solidFill>
        </w14:textFill>
      </w:rPr>
      <w:t>imagination Unlimited</w:t>
    </w:r>
  </w:p>
  <w:p>
    <w:pPr>
      <w:pStyle w:val="Header &amp; Footer"/>
      <w:tabs>
        <w:tab w:val="center" w:pos="4320"/>
        <w:tab w:val="right" w:pos="8640"/>
        <w:tab w:val="clear" w:pos="9020"/>
      </w:tabs>
      <w:jc w:val="left"/>
      <w:rPr>
        <w:rFonts w:ascii="Helvetica Neue Light" w:cs="Helvetica Neue Light" w:hAnsi="Helvetica Neue Light" w:eastAsia="Helvetica Neue Light"/>
        <w:caps w:val="1"/>
        <w:spacing w:val="-1"/>
        <w:position w:val="-2"/>
        <w:sz w:val="16"/>
        <w:szCs w:val="16"/>
        <w:lang w:val="en-US"/>
      </w:rPr>
    </w:pPr>
    <w:r>
      <w:rPr>
        <w:rFonts w:ascii="Helvetica Neue Light" w:cs="Helvetica Neue Light" w:hAnsi="Helvetica Neue Light" w:eastAsia="Helvetica Neue Light"/>
        <w:caps w:val="1"/>
        <w:spacing w:val="-1"/>
        <w:position w:val="-2"/>
        <w:sz w:val="16"/>
        <w:szCs w:val="16"/>
        <w:lang w:val="en-US"/>
      </w:rPr>
      <w:tab/>
    </w:r>
    <w:r>
      <w:rPr>
        <w:rFonts w:ascii="Arial Unicode MS" w:cs="Arial Unicode MS" w:hAnsi="Arial Unicode MS" w:eastAsia="Arial Unicode MS" w:hint="default"/>
        <w:b w:val="0"/>
        <w:bCs w:val="0"/>
        <w:i w:val="0"/>
        <w:iCs w:val="0"/>
        <w:caps w:val="1"/>
        <w:outline w:val="0"/>
        <w:color w:val="7a7a7a"/>
        <w:spacing w:val="-1"/>
        <w:position w:val="-2"/>
        <w:sz w:val="16"/>
        <w:szCs w:val="16"/>
        <w:rtl w:val="0"/>
        <w:lang w:val="en-US"/>
        <w14:textFill>
          <w14:solidFill>
            <w14:srgbClr w14:val="7A7A7A"/>
          </w14:solidFill>
        </w14:textFill>
      </w:rPr>
      <w:t>♦</w:t>
    </w:r>
    <w:r>
      <w:rPr>
        <w:rFonts w:ascii="Helvetica Neue Light" w:cs="Arial Unicode MS" w:hAnsi="Helvetica Neue Light" w:eastAsia="Arial Unicode MS"/>
        <w:b w:val="0"/>
        <w:bCs w:val="0"/>
        <w:i w:val="0"/>
        <w:iCs w:val="0"/>
        <w:caps w:val="1"/>
        <w:outline w:val="0"/>
        <w:color w:val="7a7a7a"/>
        <w:spacing w:val="-1"/>
        <w:position w:val="-2"/>
        <w:sz w:val="16"/>
        <w:szCs w:val="16"/>
        <w:rtl w:val="0"/>
        <w:lang w:val="en-US"/>
        <w14:textFill>
          <w14:solidFill>
            <w14:srgbClr w14:val="7A7A7A"/>
          </w14:solidFill>
        </w14:textFill>
      </w:rPr>
      <w:t xml:space="preserve"> AIWIZN</w:t>
    </w:r>
    <w:r>
      <w:rPr>
        <w:rFonts w:ascii="Helvetica Neue Light" w:cs="Arial Unicode MS" w:hAnsi="Helvetica Neue Light" w:eastAsia="Arial Unicode MS"/>
        <w:b w:val="0"/>
        <w:bCs w:val="0"/>
        <w:i w:val="0"/>
        <w:iCs w:val="0"/>
        <w:caps w:val="1"/>
        <w:outline w:val="0"/>
        <w:color w:val="7a7a7a"/>
        <w:spacing w:val="-1"/>
        <w:position w:val="-2"/>
        <w:sz w:val="14"/>
        <w:szCs w:val="14"/>
        <w:rtl w:val="0"/>
        <w:lang w:val="en-US"/>
        <w14:textFill>
          <w14:solidFill>
            <w14:srgbClr w14:val="7A7A7A"/>
          </w14:solidFill>
        </w14:textFill>
      </w:rPr>
      <w:t xml:space="preserve">, </w:t>
    </w:r>
    <w:r>
      <w:rPr>
        <w:rFonts w:ascii="Helvetica Neue Light" w:cs="Arial Unicode MS" w:hAnsi="Helvetica Neue Light" w:eastAsia="Arial Unicode MS"/>
        <w:b w:val="0"/>
        <w:bCs w:val="0"/>
        <w:i w:val="0"/>
        <w:iCs w:val="0"/>
        <w:caps w:val="1"/>
        <w:outline w:val="0"/>
        <w:color w:val="7a7a7a"/>
        <w:spacing w:val="-1"/>
        <w:position w:val="-2"/>
        <w:sz w:val="14"/>
        <w:szCs w:val="14"/>
        <w:rtl w:val="0"/>
        <w:lang w:val="en-US"/>
        <w14:textFill>
          <w14:solidFill>
            <w14:srgbClr w14:val="7A7A7A"/>
          </w14:solidFill>
        </w14:textFill>
      </w:rPr>
      <w:t xml:space="preserve"> PO 12521, Research Triangle Park, Durham, NC 27709-2521</w:t>
    </w:r>
  </w:p>
  <w:p>
    <w:pPr>
      <w:pStyle w:val="Header &amp; Footer"/>
      <w:tabs>
        <w:tab w:val="center" w:pos="4320"/>
        <w:tab w:val="right" w:pos="8640"/>
        <w:tab w:val="clear" w:pos="9020"/>
      </w:tabs>
      <w:jc w:val="left"/>
    </w:pPr>
    <w:r>
      <w:rPr>
        <w:rFonts w:ascii="Helvetica Neue Light" w:cs="Helvetica Neue Light" w:hAnsi="Helvetica Neue Light" w:eastAsia="Helvetica Neue Light"/>
        <w:caps w:val="1"/>
        <w:spacing w:val="-1"/>
        <w:position w:val="-2"/>
        <w:sz w:val="14"/>
        <w:szCs w:val="14"/>
        <w:lang w:val="en-US"/>
      </w:rPr>
      <w:tab/>
    </w:r>
    <w:r>
      <w:rPr>
        <w:rStyle w:val="Hyperlink.0"/>
        <w:rFonts w:ascii="Helvetica Neue Light" w:cs="Helvetica Neue Light" w:hAnsi="Helvetica Neue Light" w:eastAsia="Helvetica Neue Light"/>
        <w:b w:val="0"/>
        <w:bCs w:val="0"/>
        <w:i w:val="0"/>
        <w:iCs w:val="0"/>
        <w:caps w:val="1"/>
        <w:spacing w:val="-1"/>
        <w:position w:val="-2"/>
        <w:sz w:val="14"/>
        <w:szCs w:val="14"/>
        <w:u w:val="single"/>
        <w:lang w:val="en-US"/>
      </w:rPr>
      <w:fldChar w:fldCharType="begin" w:fldLock="0"/>
    </w:r>
    <w:r>
      <w:rPr>
        <w:rStyle w:val="Hyperlink.0"/>
        <w:rFonts w:ascii="Helvetica Neue Light" w:cs="Helvetica Neue Light" w:hAnsi="Helvetica Neue Light" w:eastAsia="Helvetica Neue Light"/>
        <w:b w:val="0"/>
        <w:bCs w:val="0"/>
        <w:i w:val="0"/>
        <w:iCs w:val="0"/>
        <w:caps w:val="1"/>
        <w:spacing w:val="-1"/>
        <w:position w:val="-2"/>
        <w:sz w:val="14"/>
        <w:szCs w:val="14"/>
        <w:u w:val="single"/>
        <w:lang w:val="en-US"/>
      </w:rPr>
      <w:instrText xml:space="preserve"> HYPERLINK "http://www.aiwizn.com"</w:instrText>
    </w:r>
    <w:r>
      <w:rPr>
        <w:rStyle w:val="Hyperlink.0"/>
        <w:rFonts w:ascii="Helvetica Neue Light" w:cs="Helvetica Neue Light" w:hAnsi="Helvetica Neue Light" w:eastAsia="Helvetica Neue Light"/>
        <w:b w:val="0"/>
        <w:bCs w:val="0"/>
        <w:i w:val="0"/>
        <w:iCs w:val="0"/>
        <w:caps w:val="1"/>
        <w:spacing w:val="-1"/>
        <w:position w:val="-2"/>
        <w:sz w:val="14"/>
        <w:szCs w:val="14"/>
        <w:u w:val="single"/>
        <w:lang w:val="en-US"/>
      </w:rPr>
      <w:fldChar w:fldCharType="separate" w:fldLock="0"/>
    </w:r>
    <w:r>
      <w:rPr>
        <w:rStyle w:val="Hyperlink.0"/>
        <w:rFonts w:ascii="Helvetica Neue Light" w:cs="Arial Unicode MS" w:hAnsi="Helvetica Neue Light" w:eastAsia="Arial Unicode MS"/>
        <w:b w:val="0"/>
        <w:bCs w:val="0"/>
        <w:i w:val="0"/>
        <w:iCs w:val="0"/>
        <w:caps w:val="1"/>
        <w:spacing w:val="-1"/>
        <w:position w:val="-2"/>
        <w:sz w:val="14"/>
        <w:szCs w:val="14"/>
        <w:u w:val="single"/>
        <w:rtl w:val="0"/>
        <w:lang w:val="en-US"/>
      </w:rPr>
      <w:t>www.aiwizn.com</w:t>
    </w:r>
    <w:r>
      <w:rPr>
        <w:rFonts w:ascii="Helvetica Neue Light" w:cs="Helvetica Neue Light" w:hAnsi="Helvetica Neue Light" w:eastAsia="Helvetica Neue Light"/>
        <w:caps w:val="1"/>
        <w:spacing w:val="-1"/>
        <w:position w:val="-2"/>
        <w:sz w:val="14"/>
        <w:szCs w:val="14"/>
        <w:lang w:val="en-US"/>
      </w:rPr>
      <w:fldChar w:fldCharType="end" w:fldLock="0"/>
    </w:r>
    <w:r>
      <w:rPr>
        <w:rFonts w:ascii="Helvetica Neue Light" w:cs="Arial Unicode MS" w:hAnsi="Helvetica Neue Light" w:eastAsia="Arial Unicode MS"/>
        <w:b w:val="0"/>
        <w:bCs w:val="0"/>
        <w:i w:val="0"/>
        <w:iCs w:val="0"/>
        <w:caps w:val="1"/>
        <w:outline w:val="0"/>
        <w:color w:val="7a7a7a"/>
        <w:spacing w:val="-1"/>
        <w:position w:val="-2"/>
        <w:sz w:val="14"/>
        <w:szCs w:val="14"/>
        <w:rtl w:val="0"/>
        <w:lang w:val="en-US"/>
        <w14:textFill>
          <w14:solidFill>
            <w14:srgbClr w14:val="7A7A7A"/>
          </w14:solidFill>
        </w14:textFill>
      </w:rPr>
      <w:t xml:space="preserve"> </w:t>
    </w:r>
    <w:r>
      <w:rPr>
        <w:rFonts w:ascii="Arial Unicode MS" w:cs="Arial Unicode MS" w:hAnsi="Arial Unicode MS" w:eastAsia="Arial Unicode MS" w:hint="default"/>
        <w:b w:val="0"/>
        <w:bCs w:val="0"/>
        <w:i w:val="0"/>
        <w:iCs w:val="0"/>
        <w:caps w:val="1"/>
        <w:outline w:val="0"/>
        <w:color w:val="7a7a7a"/>
        <w:spacing w:val="-1"/>
        <w:position w:val="-2"/>
        <w:sz w:val="14"/>
        <w:szCs w:val="14"/>
        <w:rtl w:val="0"/>
        <w:lang w:val="en-US"/>
        <w14:textFill>
          <w14:solidFill>
            <w14:srgbClr w14:val="7A7A7A"/>
          </w14:solidFill>
        </w14:textFill>
      </w:rPr>
      <w:t>♦</w:t>
    </w:r>
    <w:r>
      <w:rPr>
        <w:rFonts w:ascii="Helvetica Neue Light" w:cs="Arial Unicode MS" w:hAnsi="Helvetica Neue Light" w:eastAsia="Arial Unicode MS"/>
        <w:b w:val="0"/>
        <w:bCs w:val="0"/>
        <w:i w:val="0"/>
        <w:iCs w:val="0"/>
        <w:caps w:val="1"/>
        <w:outline w:val="0"/>
        <w:color w:val="7a7a7a"/>
        <w:spacing w:val="-1"/>
        <w:position w:val="-2"/>
        <w:sz w:val="14"/>
        <w:szCs w:val="14"/>
        <w:rtl w:val="0"/>
        <w:lang w:val="en-US"/>
        <w14:textFill>
          <w14:solidFill>
            <w14:srgbClr w14:val="7A7A7A"/>
          </w14:solidFill>
        </w14:textFill>
      </w:rPr>
      <w:t xml:space="preserve"> </w:t>
    </w:r>
    <w:r>
      <w:rPr>
        <w:rFonts w:ascii="Helvetica Neue Light" w:cs="Arial Unicode MS" w:hAnsi="Helvetica Neue Light" w:eastAsia="Arial Unicode MS"/>
        <w:b w:val="0"/>
        <w:bCs w:val="0"/>
        <w:i w:val="0"/>
        <w:iCs w:val="0"/>
        <w:caps w:val="1"/>
        <w:outline w:val="0"/>
        <w:color w:val="7a7a7a"/>
        <w:spacing w:val="-1"/>
        <w:position w:val="-2"/>
        <w:sz w:val="14"/>
        <w:szCs w:val="14"/>
        <w:rtl w:val="0"/>
        <w:lang w:val="en-US"/>
        <w14:textFill>
          <w14:solidFill>
            <w14:srgbClr w14:val="7A7A7A"/>
          </w14:solidFill>
        </w14:textFill>
      </w:rPr>
      <w:t>Tel: 919.</w:t>
    </w:r>
    <w:r>
      <w:rPr>
        <w:rFonts w:ascii="Helvetica Neue Light" w:cs="Arial Unicode MS" w:hAnsi="Helvetica Neue Light" w:eastAsia="Arial Unicode MS"/>
        <w:b w:val="0"/>
        <w:bCs w:val="0"/>
        <w:i w:val="0"/>
        <w:iCs w:val="0"/>
        <w:caps w:val="1"/>
        <w:outline w:val="0"/>
        <w:color w:val="7a7a7a"/>
        <w:spacing w:val="-1"/>
        <w:position w:val="-2"/>
        <w:sz w:val="14"/>
        <w:szCs w:val="14"/>
        <w:rtl w:val="0"/>
        <w:lang w:val="en-US"/>
        <w14:textFill>
          <w14:solidFill>
            <w14:srgbClr w14:val="7A7A7A"/>
          </w14:solidFill>
        </w14:textFill>
      </w:rPr>
      <w:t>341.8234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320"/>
        <w:tab w:val="right" w:pos="8640"/>
        <w:tab w:val="clear" w:pos="9020"/>
      </w:tabs>
      <w:jc w:val="left"/>
    </w:pPr>
    <w:r>
      <w:tab/>
    </w:r>
    <w:r>
      <w:drawing xmlns:a="http://schemas.openxmlformats.org/drawingml/2006/main">
        <wp:inline distT="0" distB="0" distL="0" distR="0">
          <wp:extent cx="2474656" cy="707045"/>
          <wp:effectExtent l="0" t="0" r="0" b="0"/>
          <wp:docPr id="1073741825" name="officeArt object" descr="aiwizn_logo_white.sv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aiwizn_logo_white.svg" descr="aiwizn_logo_white.sv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4656" cy="70704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rFonts w:ascii="Helvetica Neue Light" w:cs="Helvetica Neue Light" w:hAnsi="Helvetica Neue Light" w:eastAsia="Helvetica Neue Light"/>
      <w:b w:val="0"/>
      <w:bCs w:val="0"/>
      <w:i w:val="0"/>
      <w:iCs w:val="0"/>
      <w:caps w:val="1"/>
      <w:spacing w:val="-1"/>
      <w:position w:val="-2"/>
      <w:sz w:val="14"/>
      <w:szCs w:val="14"/>
      <w:u w:val="single"/>
      <w:lang w:val="en-US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