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spacing w:before="600" w:after="0" w:line="320" w:lineRule="auto"/>
      </w:pPr>
    </w:p>
    <w:p>
      <w:pPr>
        <w:spacing w:before="200" w:after="80" w:line="320" w:lineRule="auto"/>
      </w:pPr>
      <w:r>
        <w:rPr>
          <w:rFonts w:ascii="Helvetica Neue" w:hAnsi="Helvetica Neue" w:cs="Helvetica Neue"/>
          <w:b/>
          <w:i w:val="0"/>
          <w:caps w:val="0"/>
          <w:color w:val="D08840"/>
          <w:sz w:val="16"/>
          <w:spacing w:val="120"/>
        </w:rPr>
        <w:t>CLINICAL WORKFORCE BRIEF · CONFIDENTIAL</w:t>
      </w:r>
    </w:p>
    <w:p>
      <w:pPr>
        <w:spacing w:before="0" w:after="400" w:line="320" w:lineRule="auto"/>
      </w:pPr>
      <w:r>
        <w:rPr>
          <w:rFonts w:ascii="Helvetica Neue" w:hAnsi="Helvetica Neue" w:cs="Helvetica Neue"/>
          <w:b w:val="0"/>
          <w:i w:val="0"/>
          <w:caps w:val="0"/>
          <w:color w:val="7C7A75"/>
          <w:sz w:val="18"/>
          <w:spacing w:val="40"/>
        </w:rPr>
        <w:t>Prepared for WakeMed Health &amp; Hospitals</w:t>
      </w:r>
    </w:p>
    <w:p>
      <w:pPr>
        <w:spacing w:before="80" w:after="0" w:line="320" w:lineRule="auto"/>
      </w:pPr>
      <w:r>
        <w:rPr>
          <w:rFonts w:ascii="Georgia" w:hAnsi="Georgia" w:cs="Georgia"/>
          <w:b w:val="0"/>
          <w:i w:val="0"/>
          <w:caps w:val="0"/>
          <w:color w:val="2C2A28"/>
          <w:sz w:val="88"/>
        </w:rPr>
        <w:t>AIWIZN ×</w:t>
      </w:r>
    </w:p>
    <w:p>
      <w:pPr>
        <w:spacing w:before="80" w:after="300" w:line="320" w:lineRule="auto"/>
      </w:pPr>
      <w:r>
        <w:rPr>
          <w:rFonts w:ascii="Georgia" w:hAnsi="Georgia" w:cs="Georgia"/>
          <w:b w:val="0"/>
          <w:i/>
          <w:caps w:val="0"/>
          <w:color w:val="2D7570"/>
          <w:sz w:val="88"/>
        </w:rPr>
        <w:t>WakeMed.</w:t>
      </w:r>
    </w:p>
    <w:p>
      <w:pPr>
        <w:spacing w:before="0" w:after="400" w:line="320" w:lineRule="auto"/>
      </w:pPr>
      <w:r>
        <w:rPr>
          <w:rFonts w:ascii="Georgia" w:hAnsi="Georgia" w:cs="Georgia"/>
          <w:b w:val="0"/>
          <w:i w:val="0"/>
          <w:caps w:val="0"/>
          <w:color w:val="2C2A28"/>
          <w:sz w:val="24"/>
        </w:rPr>
        <w:t>An AI-driven clinical decision engine for the units where readiness matters most — sepsis, acute MI, stroke. A 12-week founding-customer pilot, co-authored with Dr. Graham Snyder, scoped to measurably reduce time-to-competency, first-year turnover, and the cost of preventable error.</w:t>
      </w:r>
    </w:p>
    <w:p>
      <w:pPr>
        <w:spacing w:before="160" w:after="160"/>
        <w:pBdr>
          <w:bottom w:val="single" w:sz="6" w:space="1" w:color="CFC8BE"/>
        </w:pBdr>
      </w:pPr>
    </w:p>
    <w:p>
      <w:pPr>
        <w:spacing w:before="0" w:after="300" w:line="320" w:lineRule="auto"/>
      </w:pPr>
      <w:r>
        <w:rPr>
          <w:rFonts w:ascii="Helvetica Neue" w:hAnsi="Helvetica Neue" w:cs="Helvetica Neue"/>
          <w:b w:val="0"/>
          <w:i w:val="0"/>
          <w:caps w:val="0"/>
          <w:color w:val="7C7A75"/>
          <w:sz w:val="16"/>
          <w:spacing w:val="120"/>
        </w:rPr>
        <w:t>JUNE 2026 · v2.0</w:t>
      </w:r>
    </w:p>
    <w:p>
      <w:r>
        <w:br w:type="page"/>
      </w:r>
    </w:p>
    <w:p>
      <w:pPr>
        <w:spacing w:before="200" w:after="80" w:line="320" w:lineRule="auto"/>
      </w:pPr>
      <w:r>
        <w:rPr>
          <w:rFonts w:ascii="Helvetica Neue" w:hAnsi="Helvetica Neue" w:cs="Helvetica Neue"/>
          <w:b/>
          <w:i w:val="0"/>
          <w:caps w:val="0"/>
          <w:color w:val="D08840"/>
          <w:sz w:val="16"/>
          <w:spacing w:val="120"/>
        </w:rPr>
        <w:t>CONTENTS</w:t>
      </w:r>
    </w:p>
    <w:p>
      <w:pPr>
        <w:spacing w:before="80" w:after="200" w:line="320" w:lineRule="auto"/>
      </w:pPr>
      <w:r>
        <w:rPr>
          <w:rFonts w:ascii="Georgia" w:hAnsi="Georgia" w:cs="Georgia"/>
          <w:b w:val="0"/>
          <w:i/>
          <w:caps w:val="0"/>
          <w:color w:val="2C2A28"/>
          <w:sz w:val="56"/>
        </w:rPr>
        <w:t>What's in this package.</w:t>
      </w:r>
    </w:p>
    <w:p>
      <w:pPr>
        <w:spacing w:before="0" w:after="200" w:line="320" w:lineRule="auto"/>
      </w:pPr>
      <w:r>
        <w:rPr>
          <w:rFonts w:ascii="Georgia" w:hAnsi="Georgia" w:cs="Georgia"/>
          <w:b w:val="0"/>
          <w:i/>
          <w:caps w:val="0"/>
          <w:color w:val="7C7A75"/>
          <w:sz w:val="22"/>
        </w:rPr>
        <w:t>A complete partnership brief for WakeMed Clinical Leadership. Sections frame the opportunity, answer the predictable procurement / security / methodology questions, introduce the team, and define the engagement and the legal structure. Each section is self-contained.</w:t>
      </w:r>
    </w:p>
    <w:tbl>
      <w:tblPr>
        <w:tblW w:type="auto" w:w="0"/>
        <w:tblLayout w:type="fixed"/>
        <w:tblLook w:firstColumn="1" w:firstRow="1" w:lastColumn="0" w:lastRow="0" w:noHBand="0" w:noVBand="1" w:val="04A0"/>
      </w:tblPr>
      <w:tblGrid>
        <w:gridCol w:w="648"/>
        <w:gridCol w:w="3600"/>
        <w:gridCol w:w="4608"/>
      </w:tblGrid>
      <w:tr>
        <w:tc>
          <w:tcPr>
            <w:tcW w:type="dxa" w:w="2880"/>
            <w:tcBorders>
              <w:bottom w:val="single" w:sz="4" w:color="E5DDD0"/>
            </w:tcBorders>
          </w:tcPr>
          <w:p>
            <w:pPr>
              <w:spacing w:before="160" w:after="160"/>
            </w:pPr>
            <w:r>
              <w:rPr>
                <w:rFonts w:ascii="Georgia" w:hAnsi="Georgia" w:cs="Georgia"/>
                <w:b w:val="0"/>
                <w:i/>
                <w:caps w:val="0"/>
                <w:color w:val="D08840"/>
                <w:sz w:val="24"/>
              </w:rPr>
              <w:t>I</w:t>
            </w:r>
          </w:p>
        </w:tc>
        <w:tc>
          <w:tcPr>
            <w:tcW w:type="dxa" w:w="2880"/>
            <w:tcBorders>
              <w:bottom w:val="single" w:sz="4" w:color="E5DDD0"/>
            </w:tcBorders>
          </w:tcPr>
          <w:p>
            <w:pPr>
              <w:spacing w:before="160" w:after="160"/>
            </w:pPr>
            <w:r>
              <w:rPr>
                <w:rFonts w:ascii="Georgia" w:hAnsi="Georgia" w:cs="Georgia"/>
                <w:b/>
                <w:i w:val="0"/>
                <w:caps w:val="0"/>
                <w:color w:val="2C2A28"/>
                <w:sz w:val="22"/>
              </w:rPr>
              <w:t>The Opportunity</w:t>
            </w:r>
          </w:p>
        </w:tc>
        <w:tc>
          <w:tcPr>
            <w:tcW w:type="dxa" w:w="2880"/>
            <w:tcBorders>
              <w:bottom w:val="single" w:sz="4" w:color="E5DDD0"/>
            </w:tcBorders>
          </w:tcPr>
          <w:p>
            <w:pPr>
              <w:spacing w:before="160" w:after="160"/>
            </w:pPr>
            <w:r>
              <w:rPr>
                <w:rFonts w:ascii="Georgia" w:hAnsi="Georgia" w:cs="Georgia"/>
                <w:b w:val="0"/>
                <w:i/>
                <w:caps w:val="0"/>
                <w:color w:val="7C7A75"/>
                <w:sz w:val="20"/>
              </w:rPr>
              <w:t>Why AIWIZN, why WakeMed, why now</w:t>
            </w:r>
          </w:p>
        </w:tc>
      </w:tr>
      <w:tr>
        <w:tc>
          <w:tcPr>
            <w:tcW w:type="dxa" w:w="2880"/>
            <w:tcBorders>
              <w:bottom w:val="single" w:sz="4" w:color="E5DDD0"/>
            </w:tcBorders>
          </w:tcPr>
          <w:p>
            <w:pPr>
              <w:spacing w:before="160" w:after="160"/>
            </w:pPr>
            <w:r>
              <w:rPr>
                <w:rFonts w:ascii="Georgia" w:hAnsi="Georgia" w:cs="Georgia"/>
                <w:b w:val="0"/>
                <w:i/>
                <w:caps w:val="0"/>
                <w:color w:val="D08840"/>
                <w:sz w:val="24"/>
              </w:rPr>
              <w:t>II</w:t>
            </w:r>
          </w:p>
        </w:tc>
        <w:tc>
          <w:tcPr>
            <w:tcW w:type="dxa" w:w="2880"/>
            <w:tcBorders>
              <w:bottom w:val="single" w:sz="4" w:color="E5DDD0"/>
            </w:tcBorders>
          </w:tcPr>
          <w:p>
            <w:pPr>
              <w:spacing w:before="160" w:after="160"/>
            </w:pPr>
            <w:r>
              <w:rPr>
                <w:rFonts w:ascii="Georgia" w:hAnsi="Georgia" w:cs="Georgia"/>
                <w:b/>
                <w:i w:val="0"/>
                <w:caps w:val="0"/>
                <w:color w:val="2C2A28"/>
                <w:sz w:val="22"/>
              </w:rPr>
              <w:t>The Clinical Partnership</w:t>
            </w:r>
          </w:p>
        </w:tc>
        <w:tc>
          <w:tcPr>
            <w:tcW w:type="dxa" w:w="2880"/>
            <w:tcBorders>
              <w:bottom w:val="single" w:sz="4" w:color="E5DDD0"/>
            </w:tcBorders>
          </w:tcPr>
          <w:p>
            <w:pPr>
              <w:spacing w:before="160" w:after="160"/>
            </w:pPr>
            <w:r>
              <w:rPr>
                <w:rFonts w:ascii="Georgia" w:hAnsi="Georgia" w:cs="Georgia"/>
                <w:b w:val="0"/>
                <w:i/>
                <w:caps w:val="0"/>
                <w:color w:val="7C7A75"/>
                <w:sz w:val="20"/>
              </w:rPr>
              <w:t>AIWIZN clinical capabilities + resistance pre-emption</w:t>
            </w:r>
          </w:p>
        </w:tc>
      </w:tr>
      <w:tr>
        <w:tc>
          <w:tcPr>
            <w:tcW w:type="dxa" w:w="2880"/>
            <w:tcBorders>
              <w:bottom w:val="single" w:sz="4" w:color="E5DDD0"/>
            </w:tcBorders>
          </w:tcPr>
          <w:p>
            <w:pPr>
              <w:spacing w:before="160" w:after="160"/>
            </w:pPr>
            <w:r>
              <w:rPr>
                <w:rFonts w:ascii="Georgia" w:hAnsi="Georgia" w:cs="Georgia"/>
                <w:b w:val="0"/>
                <w:i/>
                <w:caps w:val="0"/>
                <w:color w:val="D08840"/>
                <w:sz w:val="24"/>
              </w:rPr>
              <w:t>III</w:t>
            </w:r>
          </w:p>
        </w:tc>
        <w:tc>
          <w:tcPr>
            <w:tcW w:type="dxa" w:w="2880"/>
            <w:tcBorders>
              <w:bottom w:val="single" w:sz="4" w:color="E5DDD0"/>
            </w:tcBorders>
          </w:tcPr>
          <w:p>
            <w:pPr>
              <w:spacing w:before="160" w:after="160"/>
            </w:pPr>
            <w:r>
              <w:rPr>
                <w:rFonts w:ascii="Georgia" w:hAnsi="Georgia" w:cs="Georgia"/>
                <w:b/>
                <w:i w:val="0"/>
                <w:caps w:val="0"/>
                <w:color w:val="2C2A28"/>
                <w:sz w:val="22"/>
              </w:rPr>
              <w:t>The Economics of Onboarding</w:t>
            </w:r>
          </w:p>
        </w:tc>
        <w:tc>
          <w:tcPr>
            <w:tcW w:type="dxa" w:w="2880"/>
            <w:tcBorders>
              <w:bottom w:val="single" w:sz="4" w:color="E5DDD0"/>
            </w:tcBorders>
          </w:tcPr>
          <w:p>
            <w:pPr>
              <w:spacing w:before="160" w:after="160"/>
            </w:pPr>
            <w:r>
              <w:rPr>
                <w:rFonts w:ascii="Georgia" w:hAnsi="Georgia" w:cs="Georgia"/>
                <w:b w:val="0"/>
                <w:i/>
                <w:caps w:val="0"/>
                <w:color w:val="7C7A75"/>
                <w:sz w:val="20"/>
              </w:rPr>
              <w:t>What RN turnover costs WakeMed today</w:t>
            </w:r>
          </w:p>
        </w:tc>
      </w:tr>
      <w:tr>
        <w:tc>
          <w:tcPr>
            <w:tcW w:type="dxa" w:w="2880"/>
            <w:tcBorders>
              <w:bottom w:val="single" w:sz="4" w:color="E5DDD0"/>
            </w:tcBorders>
          </w:tcPr>
          <w:p>
            <w:pPr>
              <w:spacing w:before="160" w:after="160"/>
            </w:pPr>
            <w:r>
              <w:rPr>
                <w:rFonts w:ascii="Georgia" w:hAnsi="Georgia" w:cs="Georgia"/>
                <w:b w:val="0"/>
                <w:i/>
                <w:caps w:val="0"/>
                <w:color w:val="D08840"/>
                <w:sz w:val="24"/>
              </w:rPr>
              <w:t>IV</w:t>
            </w:r>
          </w:p>
        </w:tc>
        <w:tc>
          <w:tcPr>
            <w:tcW w:type="dxa" w:w="2880"/>
            <w:tcBorders>
              <w:bottom w:val="single" w:sz="4" w:color="E5DDD0"/>
            </w:tcBorders>
          </w:tcPr>
          <w:p>
            <w:pPr>
              <w:spacing w:before="160" w:after="160"/>
            </w:pPr>
            <w:r>
              <w:rPr>
                <w:rFonts w:ascii="Georgia" w:hAnsi="Georgia" w:cs="Georgia"/>
                <w:b/>
                <w:i w:val="0"/>
                <w:caps w:val="0"/>
                <w:color w:val="2C2A28"/>
                <w:sz w:val="22"/>
              </w:rPr>
              <w:t>How AIWIZN Works</w:t>
            </w:r>
          </w:p>
        </w:tc>
        <w:tc>
          <w:tcPr>
            <w:tcW w:type="dxa" w:w="2880"/>
            <w:tcBorders>
              <w:bottom w:val="single" w:sz="4" w:color="E5DDD0"/>
            </w:tcBorders>
          </w:tcPr>
          <w:p>
            <w:pPr>
              <w:spacing w:before="160" w:after="160"/>
            </w:pPr>
            <w:r>
              <w:rPr>
                <w:rFonts w:ascii="Georgia" w:hAnsi="Georgia" w:cs="Georgia"/>
                <w:b w:val="0"/>
                <w:i/>
                <w:caps w:val="0"/>
                <w:color w:val="7C7A75"/>
                <w:sz w:val="20"/>
              </w:rPr>
              <w:t>Four-stage cycle, 11 wisdom domains, NWI</w:t>
            </w:r>
          </w:p>
        </w:tc>
      </w:tr>
      <w:tr>
        <w:tc>
          <w:tcPr>
            <w:tcW w:type="dxa" w:w="2880"/>
            <w:tcBorders>
              <w:bottom w:val="single" w:sz="4" w:color="E5DDD0"/>
            </w:tcBorders>
          </w:tcPr>
          <w:p>
            <w:pPr>
              <w:spacing w:before="160" w:after="160"/>
            </w:pPr>
            <w:r>
              <w:rPr>
                <w:rFonts w:ascii="Georgia" w:hAnsi="Georgia" w:cs="Georgia"/>
                <w:b w:val="0"/>
                <w:i/>
                <w:caps w:val="0"/>
                <w:color w:val="D08840"/>
                <w:sz w:val="24"/>
              </w:rPr>
              <w:t>V</w:t>
            </w:r>
          </w:p>
        </w:tc>
        <w:tc>
          <w:tcPr>
            <w:tcW w:type="dxa" w:w="2880"/>
            <w:tcBorders>
              <w:bottom w:val="single" w:sz="4" w:color="E5DDD0"/>
            </w:tcBorders>
          </w:tcPr>
          <w:p>
            <w:pPr>
              <w:spacing w:before="160" w:after="160"/>
            </w:pPr>
            <w:r>
              <w:rPr>
                <w:rFonts w:ascii="Georgia" w:hAnsi="Georgia" w:cs="Georgia"/>
                <w:b/>
                <w:i w:val="0"/>
                <w:caps w:val="0"/>
                <w:color w:val="2C2A28"/>
                <w:sz w:val="22"/>
              </w:rPr>
              <w:t>Lineage &amp; Credibility</w:t>
            </w:r>
          </w:p>
        </w:tc>
        <w:tc>
          <w:tcPr>
            <w:tcW w:type="dxa" w:w="2880"/>
            <w:tcBorders>
              <w:bottom w:val="single" w:sz="4" w:color="E5DDD0"/>
            </w:tcBorders>
          </w:tcPr>
          <w:p>
            <w:pPr>
              <w:spacing w:before="160" w:after="160"/>
            </w:pPr>
            <w:r>
              <w:rPr>
                <w:rFonts w:ascii="Georgia" w:hAnsi="Georgia" w:cs="Georgia"/>
                <w:b w:val="0"/>
                <w:i/>
                <w:caps w:val="0"/>
                <w:color w:val="7C7A75"/>
                <w:sz w:val="20"/>
              </w:rPr>
              <w:t>25 years of research-grade simulation training</w:t>
            </w:r>
          </w:p>
        </w:tc>
      </w:tr>
      <w:tr>
        <w:tc>
          <w:tcPr>
            <w:tcW w:type="dxa" w:w="2880"/>
            <w:tcBorders>
              <w:bottom w:val="single" w:sz="4" w:color="E5DDD0"/>
            </w:tcBorders>
          </w:tcPr>
          <w:p>
            <w:pPr>
              <w:spacing w:before="160" w:after="160"/>
            </w:pPr>
            <w:r>
              <w:rPr>
                <w:rFonts w:ascii="Georgia" w:hAnsi="Georgia" w:cs="Georgia"/>
                <w:b w:val="0"/>
                <w:i/>
                <w:caps w:val="0"/>
                <w:color w:val="D08840"/>
                <w:sz w:val="24"/>
              </w:rPr>
              <w:t>VI</w:t>
            </w:r>
          </w:p>
        </w:tc>
        <w:tc>
          <w:tcPr>
            <w:tcW w:type="dxa" w:w="2880"/>
            <w:tcBorders>
              <w:bottom w:val="single" w:sz="4" w:color="E5DDD0"/>
            </w:tcBorders>
          </w:tcPr>
          <w:p>
            <w:pPr>
              <w:spacing w:before="160" w:after="160"/>
            </w:pPr>
            <w:r>
              <w:rPr>
                <w:rFonts w:ascii="Georgia" w:hAnsi="Georgia" w:cs="Georgia"/>
                <w:b/>
                <w:i w:val="0"/>
                <w:caps w:val="0"/>
                <w:color w:val="2C2A28"/>
                <w:sz w:val="22"/>
              </w:rPr>
              <w:t>The Team &amp; Advisors</w:t>
            </w:r>
          </w:p>
        </w:tc>
        <w:tc>
          <w:tcPr>
            <w:tcW w:type="dxa" w:w="2880"/>
            <w:tcBorders>
              <w:bottom w:val="single" w:sz="4" w:color="E5DDD0"/>
            </w:tcBorders>
          </w:tcPr>
          <w:p>
            <w:pPr>
              <w:spacing w:before="160" w:after="160"/>
            </w:pPr>
            <w:r>
              <w:rPr>
                <w:rFonts w:ascii="Georgia" w:hAnsi="Georgia" w:cs="Georgia"/>
                <w:b w:val="0"/>
                <w:i/>
                <w:caps w:val="0"/>
                <w:color w:val="7C7A75"/>
                <w:sz w:val="20"/>
              </w:rPr>
              <w:t>Pulled verbatim from aiwizn.com</w:t>
            </w:r>
          </w:p>
        </w:tc>
      </w:tr>
      <w:tr>
        <w:tc>
          <w:tcPr>
            <w:tcW w:type="dxa" w:w="2880"/>
            <w:tcBorders>
              <w:bottom w:val="single" w:sz="4" w:color="E5DDD0"/>
            </w:tcBorders>
          </w:tcPr>
          <w:p>
            <w:pPr>
              <w:spacing w:before="160" w:after="160"/>
            </w:pPr>
            <w:r>
              <w:rPr>
                <w:rFonts w:ascii="Georgia" w:hAnsi="Georgia" w:cs="Georgia"/>
                <w:b w:val="0"/>
                <w:i/>
                <w:caps w:val="0"/>
                <w:color w:val="D08840"/>
                <w:sz w:val="24"/>
              </w:rPr>
              <w:t>VII</w:t>
            </w:r>
          </w:p>
        </w:tc>
        <w:tc>
          <w:tcPr>
            <w:tcW w:type="dxa" w:w="2880"/>
            <w:tcBorders>
              <w:bottom w:val="single" w:sz="4" w:color="E5DDD0"/>
            </w:tcBorders>
          </w:tcPr>
          <w:p>
            <w:pPr>
              <w:spacing w:before="160" w:after="160"/>
            </w:pPr>
            <w:r>
              <w:rPr>
                <w:rFonts w:ascii="Georgia" w:hAnsi="Georgia" w:cs="Georgia"/>
                <w:b/>
                <w:i w:val="0"/>
                <w:caps w:val="0"/>
                <w:color w:val="2C2A28"/>
                <w:sz w:val="22"/>
              </w:rPr>
              <w:t>The Pilot Program</w:t>
            </w:r>
          </w:p>
        </w:tc>
        <w:tc>
          <w:tcPr>
            <w:tcW w:type="dxa" w:w="2880"/>
            <w:tcBorders>
              <w:bottom w:val="single" w:sz="4" w:color="E5DDD0"/>
            </w:tcBorders>
          </w:tcPr>
          <w:p>
            <w:pPr>
              <w:spacing w:before="160" w:after="160"/>
            </w:pPr>
            <w:r>
              <w:rPr>
                <w:rFonts w:ascii="Georgia" w:hAnsi="Georgia" w:cs="Georgia"/>
                <w:b w:val="0"/>
                <w:i/>
                <w:caps w:val="0"/>
                <w:color w:val="7C7A75"/>
                <w:sz w:val="20"/>
              </w:rPr>
              <w:t>12 weeks · 20–30 nurses · WakeMed CIL</w:t>
            </w:r>
          </w:p>
        </w:tc>
      </w:tr>
      <w:tr>
        <w:tc>
          <w:tcPr>
            <w:tcW w:type="dxa" w:w="2880"/>
            <w:tcBorders>
              <w:bottom w:val="single" w:sz="4" w:color="E5DDD0"/>
            </w:tcBorders>
          </w:tcPr>
          <w:p>
            <w:pPr>
              <w:spacing w:before="160" w:after="160"/>
            </w:pPr>
            <w:r>
              <w:rPr>
                <w:rFonts w:ascii="Georgia" w:hAnsi="Georgia" w:cs="Georgia"/>
                <w:b w:val="0"/>
                <w:i/>
                <w:caps w:val="0"/>
                <w:color w:val="D08840"/>
                <w:sz w:val="24"/>
              </w:rPr>
              <w:t>VIII</w:t>
            </w:r>
          </w:p>
        </w:tc>
        <w:tc>
          <w:tcPr>
            <w:tcW w:type="dxa" w:w="2880"/>
            <w:tcBorders>
              <w:bottom w:val="single" w:sz="4" w:color="E5DDD0"/>
            </w:tcBorders>
          </w:tcPr>
          <w:p>
            <w:pPr>
              <w:spacing w:before="160" w:after="160"/>
            </w:pPr>
            <w:r>
              <w:rPr>
                <w:rFonts w:ascii="Georgia" w:hAnsi="Georgia" w:cs="Georgia"/>
                <w:b/>
                <w:i w:val="0"/>
                <w:caps w:val="0"/>
                <w:color w:val="2C2A28"/>
                <w:sz w:val="22"/>
              </w:rPr>
              <w:t>Pre-empted Objections</w:t>
            </w:r>
          </w:p>
        </w:tc>
        <w:tc>
          <w:tcPr>
            <w:tcW w:type="dxa" w:w="2880"/>
            <w:tcBorders>
              <w:bottom w:val="single" w:sz="4" w:color="E5DDD0"/>
            </w:tcBorders>
          </w:tcPr>
          <w:p>
            <w:pPr>
              <w:spacing w:before="160" w:after="160"/>
            </w:pPr>
            <w:r>
              <w:rPr>
                <w:rFonts w:ascii="Georgia" w:hAnsi="Georgia" w:cs="Georgia"/>
                <w:b w:val="0"/>
                <w:i/>
                <w:caps w:val="0"/>
                <w:color w:val="7C7A75"/>
                <w:sz w:val="20"/>
              </w:rPr>
              <w:t>The five conversations every hospital has, answered</w:t>
            </w:r>
          </w:p>
        </w:tc>
      </w:tr>
      <w:tr>
        <w:tc>
          <w:tcPr>
            <w:tcW w:type="dxa" w:w="2880"/>
            <w:tcBorders>
              <w:bottom w:val="single" w:sz="4" w:color="E5DDD0"/>
            </w:tcBorders>
          </w:tcPr>
          <w:p>
            <w:pPr>
              <w:spacing w:before="160" w:after="160"/>
            </w:pPr>
            <w:r>
              <w:rPr>
                <w:rFonts w:ascii="Georgia" w:hAnsi="Georgia" w:cs="Georgia"/>
                <w:b w:val="0"/>
                <w:i/>
                <w:caps w:val="0"/>
                <w:color w:val="D08840"/>
                <w:sz w:val="24"/>
              </w:rPr>
              <w:t>IX</w:t>
            </w:r>
          </w:p>
        </w:tc>
        <w:tc>
          <w:tcPr>
            <w:tcW w:type="dxa" w:w="2880"/>
            <w:tcBorders>
              <w:bottom w:val="single" w:sz="4" w:color="E5DDD0"/>
            </w:tcBorders>
          </w:tcPr>
          <w:p>
            <w:pPr>
              <w:spacing w:before="160" w:after="160"/>
            </w:pPr>
            <w:r>
              <w:rPr>
                <w:rFonts w:ascii="Georgia" w:hAnsi="Georgia" w:cs="Georgia"/>
                <w:b/>
                <w:i w:val="0"/>
                <w:caps w:val="0"/>
                <w:color w:val="2C2A28"/>
                <w:sz w:val="22"/>
              </w:rPr>
              <w:t>Research Protocol</w:t>
            </w:r>
          </w:p>
        </w:tc>
        <w:tc>
          <w:tcPr>
            <w:tcW w:type="dxa" w:w="2880"/>
            <w:tcBorders>
              <w:bottom w:val="single" w:sz="4" w:color="E5DDD0"/>
            </w:tcBorders>
          </w:tcPr>
          <w:p>
            <w:pPr>
              <w:spacing w:before="160" w:after="160"/>
            </w:pPr>
            <w:r>
              <w:rPr>
                <w:rFonts w:ascii="Georgia" w:hAnsi="Georgia" w:cs="Georgia"/>
                <w:b w:val="0"/>
                <w:i/>
                <w:caps w:val="0"/>
                <w:color w:val="7C7A75"/>
                <w:sz w:val="20"/>
              </w:rPr>
              <w:t>Study design, hypotheses, statistical analysis</w:t>
            </w:r>
          </w:p>
        </w:tc>
      </w:tr>
      <w:tr>
        <w:tc>
          <w:tcPr>
            <w:tcW w:type="dxa" w:w="2880"/>
            <w:tcBorders>
              <w:bottom w:val="single" w:sz="4" w:color="E5DDD0"/>
            </w:tcBorders>
          </w:tcPr>
          <w:p>
            <w:pPr>
              <w:spacing w:before="160" w:after="160"/>
            </w:pPr>
            <w:r>
              <w:rPr>
                <w:rFonts w:ascii="Georgia" w:hAnsi="Georgia" w:cs="Georgia"/>
                <w:b w:val="0"/>
                <w:i/>
                <w:caps w:val="0"/>
                <w:color w:val="D08840"/>
                <w:sz w:val="24"/>
              </w:rPr>
              <w:t>X</w:t>
            </w:r>
          </w:p>
        </w:tc>
        <w:tc>
          <w:tcPr>
            <w:tcW w:type="dxa" w:w="2880"/>
            <w:tcBorders>
              <w:bottom w:val="single" w:sz="4" w:color="E5DDD0"/>
            </w:tcBorders>
          </w:tcPr>
          <w:p>
            <w:pPr>
              <w:spacing w:before="160" w:after="160"/>
            </w:pPr>
            <w:r>
              <w:rPr>
                <w:rFonts w:ascii="Georgia" w:hAnsi="Georgia" w:cs="Georgia"/>
                <w:b/>
                <w:i w:val="0"/>
                <w:caps w:val="0"/>
                <w:color w:val="2C2A28"/>
                <w:sz w:val="22"/>
              </w:rPr>
              <w:t>Security &amp; Compliance</w:t>
            </w:r>
          </w:p>
        </w:tc>
        <w:tc>
          <w:tcPr>
            <w:tcW w:type="dxa" w:w="2880"/>
            <w:tcBorders>
              <w:bottom w:val="single" w:sz="4" w:color="E5DDD0"/>
            </w:tcBorders>
          </w:tcPr>
          <w:p>
            <w:pPr>
              <w:spacing w:before="160" w:after="160"/>
            </w:pPr>
            <w:r>
              <w:rPr>
                <w:rFonts w:ascii="Georgia" w:hAnsi="Georgia" w:cs="Georgia"/>
                <w:b w:val="0"/>
                <w:i/>
                <w:caps w:val="0"/>
                <w:color w:val="7C7A75"/>
                <w:sz w:val="20"/>
              </w:rPr>
              <w:t>No PHI, RLS isolation, SOC-2 roadmap</w:t>
            </w:r>
          </w:p>
        </w:tc>
      </w:tr>
      <w:tr>
        <w:tc>
          <w:tcPr>
            <w:tcW w:type="dxa" w:w="2880"/>
            <w:tcBorders>
              <w:bottom w:val="single" w:sz="4" w:color="E5DDD0"/>
            </w:tcBorders>
          </w:tcPr>
          <w:p>
            <w:pPr>
              <w:spacing w:before="160" w:after="160"/>
            </w:pPr>
            <w:r>
              <w:rPr>
                <w:rFonts w:ascii="Georgia" w:hAnsi="Georgia" w:cs="Georgia"/>
                <w:b w:val="0"/>
                <w:i/>
                <w:caps w:val="0"/>
                <w:color w:val="D08840"/>
                <w:sz w:val="24"/>
              </w:rPr>
              <w:t>XI</w:t>
            </w:r>
          </w:p>
        </w:tc>
        <w:tc>
          <w:tcPr>
            <w:tcW w:type="dxa" w:w="2880"/>
            <w:tcBorders>
              <w:bottom w:val="single" w:sz="4" w:color="E5DDD0"/>
            </w:tcBorders>
          </w:tcPr>
          <w:p>
            <w:pPr>
              <w:spacing w:before="160" w:after="160"/>
            </w:pPr>
            <w:r>
              <w:rPr>
                <w:rFonts w:ascii="Georgia" w:hAnsi="Georgia" w:cs="Georgia"/>
                <w:b/>
                <w:i w:val="0"/>
                <w:caps w:val="0"/>
                <w:color w:val="2C2A28"/>
                <w:sz w:val="22"/>
              </w:rPr>
              <w:t>LMS Integration · ScORM</w:t>
            </w:r>
          </w:p>
        </w:tc>
        <w:tc>
          <w:tcPr>
            <w:tcW w:type="dxa" w:w="2880"/>
            <w:tcBorders>
              <w:bottom w:val="single" w:sz="4" w:color="E5DDD0"/>
            </w:tcBorders>
          </w:tcPr>
          <w:p>
            <w:pPr>
              <w:spacing w:before="160" w:after="160"/>
            </w:pPr>
            <w:r>
              <w:rPr>
                <w:rFonts w:ascii="Georgia" w:hAnsi="Georgia" w:cs="Georgia"/>
                <w:b w:val="0"/>
                <w:i/>
                <w:caps w:val="0"/>
                <w:color w:val="7C7A75"/>
                <w:sz w:val="20"/>
              </w:rPr>
              <w:t>HealthStream, Cornerstone, SumTotal roadmap</w:t>
            </w:r>
          </w:p>
        </w:tc>
      </w:tr>
      <w:tr>
        <w:tc>
          <w:tcPr>
            <w:tcW w:type="dxa" w:w="2880"/>
            <w:tcBorders>
              <w:bottom w:val="single" w:sz="4" w:color="E5DDD0"/>
            </w:tcBorders>
          </w:tcPr>
          <w:p>
            <w:pPr>
              <w:spacing w:before="160" w:after="160"/>
            </w:pPr>
            <w:r>
              <w:rPr>
                <w:rFonts w:ascii="Georgia" w:hAnsi="Georgia" w:cs="Georgia"/>
                <w:b w:val="0"/>
                <w:i/>
                <w:caps w:val="0"/>
                <w:color w:val="D08840"/>
                <w:sz w:val="24"/>
              </w:rPr>
              <w:t>XII</w:t>
            </w:r>
          </w:p>
        </w:tc>
        <w:tc>
          <w:tcPr>
            <w:tcW w:type="dxa" w:w="2880"/>
            <w:tcBorders>
              <w:bottom w:val="single" w:sz="4" w:color="E5DDD0"/>
            </w:tcBorders>
          </w:tcPr>
          <w:p>
            <w:pPr>
              <w:spacing w:before="160" w:after="160"/>
            </w:pPr>
            <w:r>
              <w:rPr>
                <w:rFonts w:ascii="Georgia" w:hAnsi="Georgia" w:cs="Georgia"/>
                <w:b/>
                <w:i w:val="0"/>
                <w:caps w:val="0"/>
                <w:color w:val="2C2A28"/>
                <w:sz w:val="22"/>
              </w:rPr>
              <w:t>Pricing Reference</w:t>
            </w:r>
          </w:p>
        </w:tc>
        <w:tc>
          <w:tcPr>
            <w:tcW w:type="dxa" w:w="2880"/>
            <w:tcBorders>
              <w:bottom w:val="single" w:sz="4" w:color="E5DDD0"/>
            </w:tcBorders>
          </w:tcPr>
          <w:p>
            <w:pPr>
              <w:spacing w:before="160" w:after="160"/>
            </w:pPr>
            <w:r>
              <w:rPr>
                <w:rFonts w:ascii="Georgia" w:hAnsi="Georgia" w:cs="Georgia"/>
                <w:b w:val="0"/>
                <w:i/>
                <w:caps w:val="0"/>
                <w:color w:val="7C7A75"/>
                <w:sz w:val="20"/>
              </w:rPr>
              <w:t>Founding Customer through Enterprise</w:t>
            </w:r>
          </w:p>
        </w:tc>
      </w:tr>
      <w:tr>
        <w:tc>
          <w:tcPr>
            <w:tcW w:type="dxa" w:w="2880"/>
            <w:tcBorders>
              <w:bottom w:val="single" w:sz="4" w:color="E5DDD0"/>
            </w:tcBorders>
          </w:tcPr>
          <w:p>
            <w:pPr>
              <w:spacing w:before="160" w:after="160"/>
            </w:pPr>
            <w:r>
              <w:rPr>
                <w:rFonts w:ascii="Georgia" w:hAnsi="Georgia" w:cs="Georgia"/>
                <w:b w:val="0"/>
                <w:i/>
                <w:caps w:val="0"/>
                <w:color w:val="D08840"/>
                <w:sz w:val="24"/>
              </w:rPr>
              <w:t>XIII</w:t>
            </w:r>
          </w:p>
        </w:tc>
        <w:tc>
          <w:tcPr>
            <w:tcW w:type="dxa" w:w="2880"/>
            <w:tcBorders>
              <w:bottom w:val="single" w:sz="4" w:color="E5DDD0"/>
            </w:tcBorders>
          </w:tcPr>
          <w:p>
            <w:pPr>
              <w:spacing w:before="160" w:after="160"/>
            </w:pPr>
            <w:r>
              <w:rPr>
                <w:rFonts w:ascii="Georgia" w:hAnsi="Georgia" w:cs="Georgia"/>
                <w:b/>
                <w:i w:val="0"/>
                <w:caps w:val="0"/>
                <w:color w:val="2C2A28"/>
                <w:sz w:val="22"/>
              </w:rPr>
              <w:t>Founding Customer Agreement</w:t>
            </w:r>
          </w:p>
        </w:tc>
        <w:tc>
          <w:tcPr>
            <w:tcW w:type="dxa" w:w="2880"/>
            <w:tcBorders>
              <w:bottom w:val="single" w:sz="4" w:color="E5DDD0"/>
            </w:tcBorders>
          </w:tcPr>
          <w:p>
            <w:pPr>
              <w:spacing w:before="160" w:after="160"/>
            </w:pPr>
            <w:r>
              <w:rPr>
                <w:rFonts w:ascii="Georgia" w:hAnsi="Georgia" w:cs="Georgia"/>
                <w:b w:val="0"/>
                <w:i/>
                <w:caps w:val="0"/>
                <w:color w:val="7C7A75"/>
                <w:sz w:val="20"/>
              </w:rPr>
              <w:t>Milestone-billed structure, full terms</w:t>
            </w:r>
          </w:p>
        </w:tc>
      </w:tr>
    </w:tbl>
    <w:p>
      <w:r>
        <w:br w:type="page"/>
      </w:r>
    </w:p>
    <w:p>
      <w:pPr>
        <w:spacing w:before="200" w:after="80" w:line="320" w:lineRule="auto"/>
      </w:pPr>
      <w:r>
        <w:rPr>
          <w:rFonts w:ascii="Helvetica Neue" w:hAnsi="Helvetica Neue" w:cs="Helvetica Neue"/>
          <w:b/>
          <w:i w:val="0"/>
          <w:caps w:val="0"/>
          <w:color w:val="D08840"/>
          <w:sz w:val="16"/>
          <w:spacing w:val="120"/>
        </w:rPr>
        <w:t>SECTION I · THE OPPORTUNITY</w:t>
      </w:r>
    </w:p>
    <w:p>
      <w:pPr>
        <w:spacing w:before="80" w:after="0" w:line="320" w:lineRule="auto"/>
      </w:pPr>
      <w:r>
        <w:rPr>
          <w:rFonts w:ascii="Georgia" w:hAnsi="Georgia" w:cs="Georgia"/>
          <w:b w:val="0"/>
          <w:i w:val="0"/>
          <w:caps w:val="0"/>
          <w:color w:val="2C2A28"/>
          <w:sz w:val="64"/>
        </w:rPr>
        <w:t>Turn first-year attrition</w:t>
      </w:r>
    </w:p>
    <w:p>
      <w:pPr>
        <w:spacing w:before="80" w:after="200" w:line="320" w:lineRule="auto"/>
      </w:pPr>
      <w:r>
        <w:rPr>
          <w:rFonts w:ascii="Georgia" w:hAnsi="Georgia" w:cs="Georgia"/>
          <w:b w:val="0"/>
          <w:i/>
          <w:caps w:val="0"/>
          <w:color w:val="2D7570"/>
          <w:sz w:val="64"/>
        </w:rPr>
        <w:t>into clinical confidence.</w:t>
      </w:r>
    </w:p>
    <w:p>
      <w:pPr>
        <w:spacing w:before="0" w:after="160" w:line="320" w:lineRule="auto"/>
      </w:pPr>
      <w:r>
        <w:rPr>
          <w:rFonts w:ascii="Georgia" w:hAnsi="Georgia" w:cs="Georgia"/>
          <w:b w:val="0"/>
          <w:i w:val="0"/>
          <w:caps w:val="0"/>
          <w:color w:val="2C2A28"/>
          <w:sz w:val="22"/>
        </w:rPr>
        <w:t>Inadequate onboarding accounts for ~35% of first-year nurse departures (Kovner et al., RN Work Project). Replacing one bedside nurse costs north of $52,000 (NSI Nursing Solutions, 2025 National Health Care Retention Report) — and a conservative reading of WakeMed's ~2,000-RN workforce at the national 16.4% RN turnover rate (NSI, 2024) puts WakeMed's annual turnover cost at roughly $20 million, excluding overtime, agency staffing, compromised care quality, and the loss of experienced staff. Time-to-independent-competency averages six months. Slide-deck-plus-shadowing isn't moving the curve.</w:t>
      </w:r>
    </w:p>
    <w:p>
      <w:pPr>
        <w:spacing w:before="240" w:after="100" w:line="320" w:lineRule="auto"/>
      </w:pPr>
      <w:r>
        <w:rPr>
          <w:rFonts w:ascii="Helvetica Neue" w:hAnsi="Helvetica Neue" w:cs="Helvetica Neue"/>
          <w:b/>
          <w:i w:val="0"/>
          <w:caps w:val="0"/>
          <w:color w:val="2D7570"/>
          <w:sz w:val="18"/>
          <w:spacing w:val="80"/>
        </w:rPr>
        <w:t>WHAT WE BUILT</w:t>
      </w:r>
    </w:p>
    <w:p>
      <w:pPr>
        <w:spacing w:before="0" w:after="160" w:line="320" w:lineRule="auto"/>
      </w:pPr>
      <w:r>
        <w:rPr>
          <w:rFonts w:ascii="Georgia" w:hAnsi="Georgia" w:cs="Georgia"/>
          <w:b w:val="0"/>
          <w:i w:val="0"/>
          <w:caps w:val="0"/>
          <w:color w:val="2C2A28"/>
          <w:sz w:val="22"/>
        </w:rPr>
        <w:t>AIWIZN is an AI-driven scenario engine that puts new nurses inside the decisions that matter — STEMI activation under hypotension, tPA candidacy with consent crises, sepsis bundle execution under pressure. The engine reads the patient state machine, captures every decision via a stealth assessment layer grounded in Bayesian Knowledge Networks and NBME-validated methodology, and produces a placement-ready competency profile. Live monitor traces. Real-time pedagogy reveal after each decision. No slide decks.</w:t>
      </w:r>
    </w:p>
    <w:p>
      <w:pPr>
        <w:spacing w:before="0" w:after="160" w:line="320" w:lineRule="auto"/>
      </w:pPr>
      <w:r>
        <w:rPr>
          <w:rFonts w:ascii="Georgia" w:hAnsi="Georgia" w:cs="Georgia"/>
          <w:b w:val="0"/>
          <w:i/>
          <w:caps w:val="0"/>
          <w:color w:val="2D7570"/>
          <w:sz w:val="22"/>
        </w:rPr>
        <w:t>It's already running. Try it: demo.aiwizn.com.</w:t>
      </w:r>
    </w:p>
    <w:p>
      <w:pPr>
        <w:spacing w:before="240" w:after="100" w:line="320" w:lineRule="auto"/>
      </w:pPr>
      <w:r>
        <w:rPr>
          <w:rFonts w:ascii="Helvetica Neue" w:hAnsi="Helvetica Neue" w:cs="Helvetica Neue"/>
          <w:b/>
          <w:i w:val="0"/>
          <w:caps w:val="0"/>
          <w:color w:val="2D7570"/>
          <w:sz w:val="18"/>
          <w:spacing w:val="80"/>
        </w:rPr>
        <w:t>WHY WAKEMED FIRST</w:t>
      </w:r>
    </w:p>
    <w:p>
      <w:pPr>
        <w:spacing w:before="0" w:after="160" w:line="320" w:lineRule="auto"/>
      </w:pPr>
      <w:r>
        <w:rPr>
          <w:rFonts w:ascii="Georgia" w:hAnsi="Georgia" w:cs="Georgia"/>
          <w:b w:val="0"/>
          <w:i w:val="0"/>
          <w:caps w:val="0"/>
          <w:color w:val="2C2A28"/>
          <w:sz w:val="22"/>
        </w:rPr>
        <w:t>Dr. Graham Snyder has been the clinical anchor for this work since v1. Every scenario in the cardiac, stroke, and sepsis modules has been built against WakeMed-grade clinical standards. The engine is multi-tenant by design — WakeMed's door-to-balloon targets, standing-order vocabulary, scope-of-practice rules, and branding all configure independently of the engine code. When a WakeMed nurse logs in, they see WakeMed protocols, not a generic textbook. The pilot is wired up. Diane Rhyne and Robin Jacob can log in this week.</w:t>
      </w:r>
    </w:p>
    <w:p>
      <w:pPr>
        <w:spacing w:before="240" w:after="100" w:line="320" w:lineRule="auto"/>
      </w:pPr>
      <w:r>
        <w:rPr>
          <w:rFonts w:ascii="Helvetica Neue" w:hAnsi="Helvetica Neue" w:cs="Helvetica Neue"/>
          <w:b/>
          <w:i w:val="0"/>
          <w:caps w:val="0"/>
          <w:color w:val="2D7570"/>
          <w:sz w:val="18"/>
          <w:spacing w:val="80"/>
        </w:rPr>
        <w:t>THE METRICS THAT COUNT</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D08840"/>
                <w:sz w:val="48"/>
              </w:rPr>
              <w:t>$52K</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9B3329"/>
                <w:sz w:val="48"/>
              </w:rPr>
              <w:t>~35%</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D7570"/>
                <w:sz w:val="48"/>
              </w:rPr>
              <w:t>&lt;12 wk</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D08840"/>
                <w:sz w:val="48"/>
              </w:rPr>
              <w:t>3</w:t>
            </w:r>
          </w:p>
        </w:tc>
      </w:tr>
      <w:tr>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COST OF A SINGLE RN DEPARTURE</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RNS WHO LEAVE IN THEIR FIRST YEAR</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TIME-TO-COMPETENCY TARGET VS. ~6 MONTHS</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LIVE HIGH-ACUITY ENGINES, TUNED FOR WAKEMED</w:t>
            </w:r>
          </w:p>
        </w:tc>
      </w:tr>
    </w:tbl>
    <w:p>
      <w:pPr>
        <w:spacing w:before="0" w:after="80" w:line="320" w:lineRule="auto"/>
      </w:pPr>
    </w:p>
    <w:p>
      <w:pPr>
        <w:spacing w:before="0" w:after="160" w:line="320" w:lineRule="auto"/>
      </w:pPr>
      <w:r>
        <w:rPr>
          <w:rFonts w:ascii="Georgia" w:hAnsi="Georgia" w:cs="Georgia"/>
          <w:b w:val="0"/>
          <w:i/>
          <w:caps w:val="0"/>
          <w:color w:val="7C7A75"/>
          <w:sz w:val="22"/>
        </w:rPr>
        <w:t>A nurse who reaches competency in under 12 weeks instead of six months, and stays past year one, is worth a multiple of any software line item. AIWIZN is built to move both numbers — measurably, per unit, per cohort.</w:t>
      </w:r>
    </w:p>
    <w:p>
      <w:r>
        <w:br w:type="page"/>
      </w:r>
    </w:p>
    <w:p>
      <w:pPr>
        <w:spacing w:before="200" w:after="80" w:line="320" w:lineRule="auto"/>
      </w:pPr>
      <w:r>
        <w:rPr>
          <w:rFonts w:ascii="Helvetica Neue" w:hAnsi="Helvetica Neue" w:cs="Helvetica Neue"/>
          <w:b/>
          <w:i w:val="0"/>
          <w:caps w:val="0"/>
          <w:color w:val="D08840"/>
          <w:sz w:val="16"/>
          <w:spacing w:val="120"/>
        </w:rPr>
        <w:t>SECTION II · THE CLINICAL PARTNERSHIP</w:t>
      </w:r>
    </w:p>
    <w:p>
      <w:pPr>
        <w:spacing w:before="80" w:after="0" w:line="320" w:lineRule="auto"/>
      </w:pPr>
      <w:r>
        <w:rPr>
          <w:rFonts w:ascii="Georgia" w:hAnsi="Georgia" w:cs="Georgia"/>
          <w:b w:val="0"/>
          <w:i w:val="0"/>
          <w:caps w:val="0"/>
          <w:color w:val="2C2A28"/>
          <w:sz w:val="56"/>
        </w:rPr>
        <w:t>AIWIZN's clinical capabilities,</w:t>
      </w:r>
    </w:p>
    <w:p>
      <w:pPr>
        <w:spacing w:before="80" w:after="200" w:line="320" w:lineRule="auto"/>
      </w:pPr>
      <w:r>
        <w:rPr>
          <w:rFonts w:ascii="Georgia" w:hAnsi="Georgia" w:cs="Georgia"/>
          <w:b w:val="0"/>
          <w:i/>
          <w:caps w:val="0"/>
          <w:color w:val="2D7570"/>
          <w:sz w:val="56"/>
        </w:rPr>
        <w:t>built on Snyder's simulation lineage.</w:t>
      </w:r>
    </w:p>
    <w:p>
      <w:pPr>
        <w:spacing w:before="0" w:after="160" w:line="320" w:lineRule="auto"/>
      </w:pPr>
      <w:r>
        <w:rPr>
          <w:rFonts w:ascii="Georgia" w:hAnsi="Georgia" w:cs="Georgia"/>
          <w:b w:val="0"/>
          <w:i w:val="0"/>
          <w:caps w:val="0"/>
          <w:color w:val="2C2A28"/>
          <w:sz w:val="22"/>
        </w:rPr>
        <w:t>WakeMed already recognized the transformative power of simulation-based clinical training and has built one of the most respected programs in the region. Dr. Graham Snyder conceived, financed, and built WakeMed's Patient Simulation Centre. He co-developed AIWIZN's clinical framework — a collaboration that has been in progress for years, not weeks.</w:t>
      </w:r>
    </w:p>
    <w:p>
      <w:pPr>
        <w:spacing w:before="160" w:after="80"/>
        <w:ind w:left="576"/>
      </w:pPr>
      <w:r>
        <w:rPr>
          <w:rFonts w:ascii="Georgia" w:hAnsi="Georgia" w:cs="Georgia"/>
          <w:b w:val="0"/>
          <w:i/>
          <w:caps w:val="0"/>
          <w:color w:val="2D7570"/>
          <w:sz w:val="22"/>
        </w:rPr>
        <w:t>“The platform validates what WakeMed built. And WakeMed validates the platform.”</w:t>
      </w:r>
    </w:p>
    <w:p>
      <w:pPr>
        <w:spacing w:after="240"/>
        <w:ind w:left="576"/>
      </w:pPr>
      <w:r>
        <w:rPr>
          <w:rFonts w:ascii="Georgia" w:hAnsi="Georgia" w:cs="Georgia"/>
          <w:b w:val="0"/>
          <w:i w:val="0"/>
          <w:caps w:val="0"/>
          <w:color w:val="7C7A75"/>
          <w:sz w:val="19"/>
        </w:rPr>
        <w:t>— Internal framing — the partnership thesis in one line</w:t>
      </w:r>
    </w:p>
    <w:p>
      <w:pPr>
        <w:spacing w:before="240" w:after="100" w:line="320" w:lineRule="auto"/>
      </w:pPr>
      <w:r>
        <w:rPr>
          <w:rFonts w:ascii="Helvetica Neue" w:hAnsi="Helvetica Neue" w:cs="Helvetica Neue"/>
          <w:b/>
          <w:i w:val="0"/>
          <w:caps w:val="0"/>
          <w:color w:val="2D7570"/>
          <w:sz w:val="18"/>
          <w:spacing w:val="80"/>
        </w:rPr>
        <w:t>FOUR AIWIZN DIFFERENTIATORS</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25-year Aten lineage</w:t>
            </w:r>
          </w:p>
        </w:tc>
        <w:tc>
          <w:tcPr>
            <w:tcW w:type="dxa" w:w="6192"/>
            <w:tcBorders>
              <w:bottom w:val="single" w:sz="4" w:color="E5DDD0"/>
            </w:tcBorders>
          </w:tcPr>
          <w:p>
            <w:pPr>
              <w:spacing w:before="120" w:after="120"/>
            </w:pPr>
            <w:r>
              <w:rPr>
                <w:rFonts w:ascii="Georgia" w:hAnsi="Georgia" w:cs="Georgia"/>
                <w:b w:val="0"/>
                <w:i w:val="0"/>
                <w:caps w:val="0"/>
                <w:color w:val="2C2A28"/>
                <w:sz w:val="21"/>
              </w:rPr>
              <w:t>Built on the same adaptive-learning architecture awarded by NBME, JP Morgan, Gates, and MacArthur. Not a venture-backed first-year startup.</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WakeMed-tuned, not generic</w:t>
            </w:r>
          </w:p>
        </w:tc>
        <w:tc>
          <w:tcPr>
            <w:tcW w:type="dxa" w:w="6192"/>
            <w:tcBorders>
              <w:bottom w:val="single" w:sz="4" w:color="E5DDD0"/>
            </w:tcBorders>
          </w:tcPr>
          <w:p>
            <w:pPr>
              <w:spacing w:before="120" w:after="120"/>
            </w:pPr>
            <w:r>
              <w:rPr>
                <w:rFonts w:ascii="Georgia" w:hAnsi="Georgia" w:cs="Georgia"/>
                <w:b w:val="0"/>
                <w:i w:val="0"/>
                <w:caps w:val="0"/>
                <w:color w:val="2C2A28"/>
                <w:sz w:val="21"/>
              </w:rPr>
              <w:t>D2B, D2N, standing-order vocabulary, scope-of-practice rules all configure to WakeMed protocols rather than a textbook default.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Behavioral assessment</w:t>
            </w:r>
          </w:p>
        </w:tc>
        <w:tc>
          <w:tcPr>
            <w:tcW w:type="dxa" w:w="6192"/>
            <w:tcBorders>
              <w:bottom w:val="single" w:sz="4" w:color="E5DDD0"/>
            </w:tcBorders>
          </w:tcPr>
          <w:p>
            <w:pPr>
              <w:spacing w:before="120" w:after="120"/>
            </w:pPr>
            <w:r>
              <w:rPr>
                <w:rFonts w:ascii="Georgia" w:hAnsi="Georgia" w:cs="Georgia"/>
                <w:b w:val="0"/>
                <w:i w:val="0"/>
                <w:caps w:val="0"/>
                <w:color w:val="2C2A28"/>
                <w:sz w:val="21"/>
              </w:rPr>
              <w:t>Per-decision telemetry against expert judgment, not checkbox compliance. The engine reads what nurses actually do, not what they remember.</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Cohort intelligence</w:t>
            </w:r>
          </w:p>
        </w:tc>
        <w:tc>
          <w:tcPr>
            <w:tcW w:type="dxa" w:w="6192"/>
            <w:tcBorders>
              <w:bottom w:val="single" w:sz="4" w:color="E5DDD0"/>
            </w:tcBorders>
          </w:tcPr>
          <w:p>
            <w:pPr>
              <w:spacing w:before="120" w:after="120"/>
            </w:pPr>
            <w:r>
              <w:rPr>
                <w:rFonts w:ascii="Georgia" w:hAnsi="Georgia" w:cs="Georgia"/>
                <w:b w:val="0"/>
                <w:i w:val="0"/>
                <w:caps w:val="0"/>
                <w:color w:val="2C2A28"/>
                <w:sz w:val="21"/>
              </w:rPr>
              <w:t>LUMINA dashboards surface unit-level patterns nursing leadership has never had — risk areas, intervention priorities, growth trajectories.</w:t>
            </w:r>
          </w:p>
        </w:tc>
      </w:tr>
    </w:tbl>
    <w:p>
      <w:pPr>
        <w:spacing w:before="240" w:after="100" w:line="320" w:lineRule="auto"/>
      </w:pPr>
      <w:r>
        <w:rPr>
          <w:rFonts w:ascii="Helvetica Neue" w:hAnsi="Helvetica Neue" w:cs="Helvetica Neue"/>
          <w:b/>
          <w:i w:val="0"/>
          <w:caps w:val="0"/>
          <w:color w:val="2D7570"/>
          <w:sz w:val="18"/>
          <w:spacing w:val="80"/>
        </w:rPr>
        <w:t>THE RESISTANCE YOU CAN PREDICT</w:t>
      </w:r>
    </w:p>
    <w:p>
      <w:pPr>
        <w:spacing w:before="0" w:after="160" w:line="320" w:lineRule="auto"/>
      </w:pPr>
      <w:r>
        <w:rPr>
          <w:rFonts w:ascii="Georgia" w:hAnsi="Georgia" w:cs="Georgia"/>
          <w:b w:val="0"/>
          <w:i w:val="0"/>
          <w:caps w:val="0"/>
          <w:color w:val="2C2A28"/>
          <w:sz w:val="22"/>
        </w:rPr>
        <w:t>Per Dr. Snyder's principle — say what they will say before they say it. Four predictable conversations come up the moment a new training platform lands at a hospital: the CME / medical-education chief worried about looking obsolete; the clinical instructors and preceptors who believe shadowing-by-attrition has worked fine; the education team protecting a 185-slide PDF; and the value-add committee worried about small-vendor risk. We have a specific, pre-rehearsed reply for each — covered in detail in Section VIII. The point in this section is the framing principle: AIWIZN does not displace existing instructors, it makes them measurably more effective, and the per-decision telemetry it produces is the artifact the C-suite has been asking nursing-education leaders to produce for years.</w:t>
      </w:r>
    </w:p>
    <w:p>
      <w:pPr>
        <w:spacing w:before="160" w:after="80"/>
        <w:ind w:left="576"/>
      </w:pPr>
      <w:r>
        <w:rPr>
          <w:rFonts w:ascii="Georgia" w:hAnsi="Georgia" w:cs="Georgia"/>
          <w:b w:val="0"/>
          <w:i/>
          <w:caps w:val="0"/>
          <w:color w:val="2D7570"/>
          <w:sz w:val="22"/>
        </w:rPr>
        <w:t>“Instructors look more effective, leadership sees real data, the program looks defensible to the C-suite, and turnover bills drop. The pedagogical and analytical approach is what makes resistance pre-empted into early advocacy.”</w:t>
      </w:r>
    </w:p>
    <w:p>
      <w:pPr>
        <w:spacing w:before="240" w:after="100" w:line="320" w:lineRule="auto"/>
      </w:pPr>
      <w:r>
        <w:rPr>
          <w:rFonts w:ascii="Helvetica Neue" w:hAnsi="Helvetica Neue" w:cs="Helvetica Neue"/>
          <w:b/>
          <w:i w:val="0"/>
          <w:caps w:val="0"/>
          <w:color w:val="2D7570"/>
          <w:sz w:val="18"/>
          <w:spacing w:val="80"/>
        </w:rPr>
        <w:t>WHY NOW — HEALTHCARE COMPLEXITY AT THE INFLECTION POINT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Higher-acuity patients increasing cognitive and emotional demand on every shift.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Staffing shortages limiting organic judgment development — orientation has become the primary structured learning window.</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AI integration demands requiring nurses to have sound judgment to trust or override AI recommendations.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Information overload — functioning effectively amidst extensive data is now a measurable clinical competency.</w:t>
      </w:r>
    </w:p>
    <w:p>
      <w:r>
        <w:br w:type="page"/>
      </w:r>
    </w:p>
    <w:p>
      <w:pPr>
        <w:spacing w:before="200" w:after="80" w:line="320" w:lineRule="auto"/>
      </w:pPr>
      <w:r>
        <w:rPr>
          <w:rFonts w:ascii="Helvetica Neue" w:hAnsi="Helvetica Neue" w:cs="Helvetica Neue"/>
          <w:b/>
          <w:i w:val="0"/>
          <w:caps w:val="0"/>
          <w:color w:val="D08840"/>
          <w:sz w:val="16"/>
          <w:spacing w:val="120"/>
        </w:rPr>
        <w:t>SECTION III · THE ECONOMICS OF ONBOARDING</w:t>
      </w:r>
    </w:p>
    <w:p>
      <w:pPr>
        <w:spacing w:before="80" w:after="0" w:line="320" w:lineRule="auto"/>
      </w:pPr>
      <w:r>
        <w:rPr>
          <w:rFonts w:ascii="Georgia" w:hAnsi="Georgia" w:cs="Georgia"/>
          <w:b w:val="0"/>
          <w:i w:val="0"/>
          <w:caps w:val="0"/>
          <w:color w:val="2C2A28"/>
          <w:sz w:val="56"/>
        </w:rPr>
        <w:t>The bleed is on the balance sheet,</w:t>
      </w:r>
    </w:p>
    <w:p>
      <w:pPr>
        <w:spacing w:before="80" w:after="200" w:line="320" w:lineRule="auto"/>
      </w:pPr>
      <w:r>
        <w:rPr>
          <w:rFonts w:ascii="Georgia" w:hAnsi="Georgia" w:cs="Georgia"/>
          <w:b w:val="0"/>
          <w:i/>
          <w:caps w:val="0"/>
          <w:color w:val="2D7570"/>
          <w:sz w:val="56"/>
        </w:rPr>
        <w:t>not just the schedule.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9B3329"/>
                <w:sz w:val="48"/>
              </w:rPr>
              <w:t>$61K</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D08840"/>
                <w:sz w:val="48"/>
              </w:rPr>
              <w:t>16.4%</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D7570"/>
                <w:sz w:val="48"/>
              </w:rPr>
              <w:t>$20M</w:t>
            </w:r>
          </w:p>
        </w:tc>
        <w:tc>
          <w:tcPr>
            <w:tcW w:type="dxa" w:w="2160"/>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C2A28"/>
                <w:sz w:val="48"/>
              </w:rPr>
              <w:t>+1 nurse retained = $61K returned</w:t>
            </w:r>
          </w:p>
        </w:tc>
      </w:tr>
      <w:tr>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COST PER RN TURNOVER · NSI 2025</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NATIONAL RN TURNOVER RATE · NSI 2024</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WAKEMED ESTIMATED ANNUAL COST</w:t>
            </w:r>
          </w:p>
        </w:tc>
        <w:tc>
          <w:tcPr>
            <w:tcW w:type="dxa" w:w="2160"/>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r>
          </w:p>
        </w:tc>
      </w:tr>
    </w:tbl>
    <w:p>
      <w:pPr>
        <w:spacing w:before="0" w:after="120" w:line="320" w:lineRule="auto"/>
      </w:pPr>
    </w:p>
    <w:p>
      <w:pPr>
        <w:spacing w:before="240" w:after="100" w:line="320" w:lineRule="auto"/>
      </w:pPr>
      <w:r>
        <w:rPr>
          <w:rFonts w:ascii="Helvetica Neue" w:hAnsi="Helvetica Neue" w:cs="Helvetica Neue"/>
          <w:b/>
          <w:i w:val="0"/>
          <w:caps w:val="0"/>
          <w:color w:val="2D7570"/>
          <w:sz w:val="18"/>
          <w:spacing w:val="80"/>
        </w:rPr>
        <w:t>WHERE THE DOLLARS COME FROM</w:t>
      </w:r>
    </w:p>
    <w:p>
      <w:pPr>
        <w:spacing w:before="0" w:after="160" w:line="320" w:lineRule="auto"/>
      </w:pPr>
      <w:r>
        <w:rPr>
          <w:rFonts w:ascii="Georgia" w:hAnsi="Georgia" w:cs="Georgia"/>
          <w:b w:val="0"/>
          <w:i w:val="0"/>
          <w:caps w:val="0"/>
          <w:color w:val="2C2A28"/>
          <w:sz w:val="22"/>
        </w:rPr>
        <w:t>NSI Nursing Solutions' 2025 National Health Care Retention Report puts the all-in cost of a single RN turnover at approximately $61,110 — recruitment, orientation, lost productivity, agency backfill. At WakeMed's ~2,000 nursing staff and the national 16.4% turnover rate (NSI 2024), the conservative annual figure is roughly $20 million. That estimate explicitly excludes overtime, agency staffing premiums, compromised care quality, recruitment cycle costs, and the institutional knowledge lost when experienced staff depart.</w:t>
      </w:r>
    </w:p>
    <w:p>
      <w:pPr>
        <w:spacing w:before="0" w:after="160" w:line="320" w:lineRule="auto"/>
      </w:pPr>
      <w:r>
        <w:rPr>
          <w:rFonts w:ascii="Georgia" w:hAnsi="Georgia" w:cs="Georgia"/>
          <w:b w:val="0"/>
          <w:i/>
          <w:caps w:val="0"/>
          <w:color w:val="2D7570"/>
          <w:sz w:val="22"/>
        </w:rPr>
        <w:t>Retaining ten additional nurses per year — modest by any pilot standard — returns approximately $611,100 to WakeMed's operating budget.</w:t>
      </w:r>
    </w:p>
    <w:p>
      <w:pPr>
        <w:spacing w:before="240" w:after="100" w:line="320" w:lineRule="auto"/>
      </w:pPr>
      <w:r>
        <w:rPr>
          <w:rFonts w:ascii="Helvetica Neue" w:hAnsi="Helvetica Neue" w:cs="Helvetica Neue"/>
          <w:b/>
          <w:i w:val="0"/>
          <w:caps w:val="0"/>
          <w:color w:val="2D7570"/>
          <w:sz w:val="18"/>
          <w:spacing w:val="80"/>
        </w:rPr>
        <w:t>WHAT TODAY'S ONBOARDING MISSES</w:t>
      </w:r>
    </w:p>
    <w:tbl>
      <w:tblPr>
        <w:tblW w:type="auto" w:w="0"/>
        <w:jc w:val="left"/>
        <w:tblLayout w:type="fixed"/>
        <w:tblLook w:firstColumn="1" w:firstRow="1" w:lastColumn="0" w:lastRow="0" w:noHBand="0" w:noVBand="1" w:val="04A0"/>
      </w:tblPr>
      <w:tblGrid>
        <w:gridCol w:w="4320"/>
        <w:gridCol w:w="4320"/>
      </w:tblGrid>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Slides</w:t>
            </w:r>
          </w:p>
        </w:tc>
        <w:tc>
          <w:tcPr>
            <w:tcW w:type="dxa" w:w="6480"/>
            <w:tcBorders>
              <w:bottom w:val="single" w:sz="4" w:color="E5DDD0"/>
            </w:tcBorders>
          </w:tcPr>
          <w:p>
            <w:pPr>
              <w:spacing w:before="120" w:after="120"/>
            </w:pPr>
            <w:r>
              <w:rPr>
                <w:rFonts w:ascii="Georgia" w:hAnsi="Georgia" w:cs="Georgia"/>
                <w:b w:val="0"/>
                <w:i w:val="0"/>
                <w:caps w:val="0"/>
                <w:color w:val="2C2A28"/>
                <w:sz w:val="21"/>
              </w:rPr>
              <w:t>Today's onboarding still leans on passive didactics and shadowing — no repeated, low-stakes exposure to the decisions that actually drive outcomes.</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Scarce expertise</w:t>
            </w:r>
          </w:p>
        </w:tc>
        <w:tc>
          <w:tcPr>
            <w:tcW w:type="dxa" w:w="6480"/>
            <w:tcBorders>
              <w:bottom w:val="single" w:sz="4" w:color="E5DDD0"/>
            </w:tcBorders>
          </w:tcPr>
          <w:p>
            <w:pPr>
              <w:spacing w:before="120" w:after="120"/>
            </w:pPr>
            <w:r>
              <w:rPr>
                <w:rFonts w:ascii="Georgia" w:hAnsi="Georgia" w:cs="Georgia"/>
                <w:b w:val="0"/>
                <w:i w:val="0"/>
                <w:caps w:val="0"/>
                <w:color w:val="2C2A28"/>
                <w:sz w:val="21"/>
              </w:rPr>
              <w:t>Expert preceptor time is the scarcest resource in the building — and it does not scale to every new hire on every shift.</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Compliance ≠ judgment</w:t>
            </w:r>
          </w:p>
        </w:tc>
        <w:tc>
          <w:tcPr>
            <w:tcW w:type="dxa" w:w="6480"/>
            <w:tcBorders>
              <w:bottom w:val="single" w:sz="4" w:color="E5DDD0"/>
            </w:tcBorders>
          </w:tcPr>
          <w:p>
            <w:pPr>
              <w:spacing w:before="120" w:after="120"/>
            </w:pPr>
            <w:r>
              <w:rPr>
                <w:rFonts w:ascii="Georgia" w:hAnsi="Georgia" w:cs="Georgia"/>
                <w:b w:val="0"/>
                <w:i w:val="0"/>
                <w:caps w:val="0"/>
                <w:color w:val="2C2A28"/>
                <w:sz w:val="21"/>
              </w:rPr>
              <w:t>Orientation often focuses on policies rather than the clinical reasoning needed under pressure.</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New-graduate deficiencies</w:t>
            </w:r>
          </w:p>
        </w:tc>
        <w:tc>
          <w:tcPr>
            <w:tcW w:type="dxa" w:w="6480"/>
            <w:tcBorders>
              <w:bottom w:val="single" w:sz="4" w:color="E5DDD0"/>
            </w:tcBorders>
          </w:tcPr>
          <w:p>
            <w:pPr>
              <w:spacing w:before="120" w:after="120"/>
            </w:pPr>
            <w:r>
              <w:rPr>
                <w:rFonts w:ascii="Georgia" w:hAnsi="Georgia" w:cs="Georgia"/>
                <w:b w:val="0"/>
                <w:i w:val="0"/>
                <w:caps w:val="0"/>
                <w:color w:val="2C2A28"/>
                <w:sz w:val="21"/>
              </w:rPr>
              <w:t>New nurses frequently lack critical skills in clinical judgment, recognizing patient deterioration, and effective communication.</w:t>
            </w:r>
          </w:p>
        </w:tc>
      </w:tr>
    </w:tbl>
    <w:p>
      <w:pPr>
        <w:spacing w:before="0" w:after="120" w:line="320" w:lineRule="auto"/>
      </w:pPr>
      <w:r>
        <w:rPr>
          <w:rFonts w:ascii="Georgia" w:hAnsi="Georgia" w:cs="Georgia"/>
          <w:b w:val="0"/>
          <w:i/>
          <w:caps w:val="0"/>
          <w:color w:val="7C7A75"/>
          <w:sz w:val="22"/>
        </w:rPr>
        <w:t>The gap is not knowledge — it is wisdom. And until now, there was no systematic way to measure or develop it.</w:t>
      </w:r>
    </w:p>
    <w:p>
      <w:r>
        <w:br w:type="page"/>
      </w:r>
    </w:p>
    <w:p>
      <w:pPr>
        <w:spacing w:before="200" w:after="80" w:line="320" w:lineRule="auto"/>
      </w:pPr>
      <w:r>
        <w:rPr>
          <w:rFonts w:ascii="Helvetica Neue" w:hAnsi="Helvetica Neue" w:cs="Helvetica Neue"/>
          <w:b/>
          <w:i w:val="0"/>
          <w:caps w:val="0"/>
          <w:color w:val="D08840"/>
          <w:sz w:val="16"/>
          <w:spacing w:val="120"/>
        </w:rPr>
        <w:t>SECTION IV · HOW AIWIZN WORKS</w:t>
      </w:r>
    </w:p>
    <w:p>
      <w:pPr>
        <w:spacing w:before="80" w:after="0" w:line="320" w:lineRule="auto"/>
      </w:pPr>
      <w:r>
        <w:rPr>
          <w:rFonts w:ascii="Georgia" w:hAnsi="Georgia" w:cs="Georgia"/>
          <w:b w:val="0"/>
          <w:i w:val="0"/>
          <w:caps w:val="0"/>
          <w:color w:val="2C2A28"/>
          <w:sz w:val="56"/>
        </w:rPr>
        <w:t>Immersive assessment that scores</w:t>
      </w:r>
    </w:p>
    <w:p>
      <w:pPr>
        <w:spacing w:before="80" w:after="200" w:line="320" w:lineRule="auto"/>
      </w:pPr>
      <w:r>
        <w:rPr>
          <w:rFonts w:ascii="Georgia" w:hAnsi="Georgia" w:cs="Georgia"/>
          <w:b w:val="0"/>
          <w:i/>
          <w:caps w:val="0"/>
          <w:color w:val="2D7570"/>
          <w:sz w:val="56"/>
        </w:rPr>
        <w:t>judgment, not recall.</w:t>
      </w:r>
    </w:p>
    <w:p>
      <w:pPr>
        <w:spacing w:before="240" w:after="100" w:line="320" w:lineRule="auto"/>
      </w:pPr>
      <w:r>
        <w:rPr>
          <w:rFonts w:ascii="Helvetica Neue" w:hAnsi="Helvetica Neue" w:cs="Helvetica Neue"/>
          <w:b/>
          <w:i w:val="0"/>
          <w:caps w:val="0"/>
          <w:color w:val="2D7570"/>
          <w:sz w:val="18"/>
          <w:spacing w:val="80"/>
        </w:rPr>
        <w:t>THE FOUR-STAGE DEVELOPMENT CYCLE</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1 · Behavioral Assessment</w:t>
            </w:r>
          </w:p>
        </w:tc>
        <w:tc>
          <w:tcPr>
            <w:tcW w:type="dxa" w:w="6192"/>
            <w:tcBorders>
              <w:bottom w:val="single" w:sz="4" w:color="E5DDD0"/>
            </w:tcBorders>
          </w:tcPr>
          <w:p>
            <w:pPr>
              <w:spacing w:before="120" w:after="120"/>
            </w:pPr>
            <w:r>
              <w:rPr>
                <w:rFonts w:ascii="Georgia" w:hAnsi="Georgia" w:cs="Georgia"/>
                <w:b w:val="0"/>
                <w:i w:val="0"/>
                <w:caps w:val="0"/>
                <w:color w:val="2C2A28"/>
                <w:sz w:val="21"/>
              </w:rPr>
              <w:t>Nurses work realistic, branching, high-acuity cases. Every decision is captured against the action a strong preceptor would take — including the discipline to page the attending and act on standing orders in parallel.</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2 · AI Insight Engine</w:t>
            </w:r>
          </w:p>
        </w:tc>
        <w:tc>
          <w:tcPr>
            <w:tcW w:type="dxa" w:w="6192"/>
            <w:tcBorders>
              <w:bottom w:val="single" w:sz="4" w:color="E5DDD0"/>
            </w:tcBorders>
          </w:tcPr>
          <w:p>
            <w:pPr>
              <w:spacing w:before="120" w:after="120"/>
            </w:pPr>
            <w:r>
              <w:rPr>
                <w:rFonts w:ascii="Georgia" w:hAnsi="Georgia" w:cs="Georgia"/>
                <w:b w:val="0"/>
                <w:i w:val="0"/>
                <w:caps w:val="0"/>
                <w:color w:val="2C2A28"/>
                <w:sz w:val="21"/>
              </w:rPr>
              <w:t>COGNITA infers competency from behavior. PERSONA produces a Nurse Wisdom Index + Patient Care Readiness Index — an objective, trackable score across the 11 wisdom domains.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3 · Development Pathways</w:t>
            </w:r>
          </w:p>
        </w:tc>
        <w:tc>
          <w:tcPr>
            <w:tcW w:type="dxa" w:w="6192"/>
            <w:tcBorders>
              <w:bottom w:val="single" w:sz="4" w:color="E5DDD0"/>
            </w:tcBorders>
          </w:tcPr>
          <w:p>
            <w:pPr>
              <w:spacing w:before="120" w:after="120"/>
            </w:pPr>
            <w:r>
              <w:rPr>
                <w:rFonts w:ascii="Georgia" w:hAnsi="Georgia" w:cs="Georgia"/>
                <w:b w:val="0"/>
                <w:i w:val="0"/>
                <w:caps w:val="0"/>
                <w:color w:val="2C2A28"/>
                <w:sz w:val="21"/>
              </w:rPr>
              <w:t>ARIA, the virtual mentor, explains the "why" behind every decision and gives every new hire preceptor-grade feedback at scale.</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4 · Organizational Intelligence</w:t>
            </w:r>
          </w:p>
        </w:tc>
        <w:tc>
          <w:tcPr>
            <w:tcW w:type="dxa" w:w="6192"/>
            <w:tcBorders>
              <w:bottom w:val="single" w:sz="4" w:color="E5DDD0"/>
            </w:tcBorders>
          </w:tcPr>
          <w:p>
            <w:pPr>
              <w:spacing w:before="120" w:after="120"/>
            </w:pPr>
            <w:r>
              <w:rPr>
                <w:rFonts w:ascii="Georgia" w:hAnsi="Georgia" w:cs="Georgia"/>
                <w:b w:val="0"/>
                <w:i w:val="0"/>
                <w:caps w:val="0"/>
                <w:color w:val="2C2A28"/>
                <w:sz w:val="21"/>
              </w:rPr>
              <w:t>LUMINA surfaces where cohorts are strong, where they are at risk, and where targeted intervention pays back fastest. Cohort intelligence for nursing leadership.</w:t>
            </w:r>
          </w:p>
        </w:tc>
      </w:tr>
    </w:tbl>
    <w:p>
      <w:pPr>
        <w:spacing w:before="240" w:after="100" w:line="320" w:lineRule="auto"/>
      </w:pPr>
      <w:r>
        <w:rPr>
          <w:rFonts w:ascii="Helvetica Neue" w:hAnsi="Helvetica Neue" w:cs="Helvetica Neue"/>
          <w:b/>
          <w:i w:val="0"/>
          <w:caps w:val="0"/>
          <w:color w:val="2D7570"/>
          <w:sz w:val="18"/>
          <w:spacing w:val="80"/>
        </w:rPr>
        <w:t>THE 11 CLINICAL WISDOM DOMAINS</w:t>
      </w:r>
    </w:p>
    <w:p>
      <w:pPr>
        <w:spacing w:before="0" w:after="160" w:line="320" w:lineRule="auto"/>
      </w:pPr>
      <w:r>
        <w:rPr>
          <w:rFonts w:ascii="Georgia" w:hAnsi="Georgia" w:cs="Georgia"/>
          <w:b w:val="0"/>
          <w:i/>
          <w:caps w:val="0"/>
          <w:color w:val="7C7A75"/>
          <w:sz w:val="22"/>
        </w:rPr>
        <w:t>Everything traditional training ignores. Two new domains — Equity-Aware Care and Moral Resilience — directly link to patient satisfaction and staff retention.</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D1 · Ambiguity Tolerance</w:t>
            </w:r>
          </w:p>
        </w:tc>
        <w:tc>
          <w:tcPr>
            <w:tcW w:type="dxa" w:w="6192"/>
            <w:tcBorders>
              <w:bottom w:val="single" w:sz="4" w:color="E5DDD0"/>
            </w:tcBorders>
          </w:tcPr>
          <w:p>
            <w:pPr>
              <w:spacing w:before="120" w:after="120"/>
            </w:pPr>
            <w:r>
              <w:rPr>
                <w:rFonts w:ascii="Georgia" w:hAnsi="Georgia" w:cs="Georgia"/>
                <w:b w:val="0"/>
                <w:i w:val="0"/>
                <w:caps w:val="0"/>
                <w:color w:val="2C2A28"/>
                <w:sz w:val="21"/>
              </w:rPr>
              <w:t>Comfort with uncertainty and incomplete information.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D2 · Therapeutic Communication</w:t>
            </w:r>
          </w:p>
        </w:tc>
        <w:tc>
          <w:tcPr>
            <w:tcW w:type="dxa" w:w="6192"/>
            <w:tcBorders>
              <w:bottom w:val="single" w:sz="4" w:color="E5DDD0"/>
            </w:tcBorders>
          </w:tcPr>
          <w:p>
            <w:pPr>
              <w:spacing w:before="120" w:after="120"/>
            </w:pPr>
            <w:r>
              <w:rPr>
                <w:rFonts w:ascii="Georgia" w:hAnsi="Georgia" w:cs="Georgia"/>
                <w:b w:val="0"/>
                <w:i w:val="0"/>
                <w:caps w:val="0"/>
                <w:color w:val="2C2A28"/>
                <w:sz w:val="21"/>
              </w:rPr>
              <w:t>Building rapport and trust with patients.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D3 · Ethical Reasoning</w:t>
            </w:r>
          </w:p>
        </w:tc>
        <w:tc>
          <w:tcPr>
            <w:tcW w:type="dxa" w:w="6192"/>
            <w:tcBorders>
              <w:bottom w:val="single" w:sz="4" w:color="E5DDD0"/>
            </w:tcBorders>
          </w:tcPr>
          <w:p>
            <w:pPr>
              <w:spacing w:before="120" w:after="120"/>
            </w:pPr>
            <w:r>
              <w:rPr>
                <w:rFonts w:ascii="Georgia" w:hAnsi="Georgia" w:cs="Georgia"/>
                <w:b w:val="0"/>
                <w:i w:val="0"/>
                <w:caps w:val="0"/>
                <w:color w:val="2C2A28"/>
                <w:sz w:val="21"/>
              </w:rPr>
              <w:t>Navigating complex moral dilemmas.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D4 · Psychological Safety</w:t>
            </w:r>
          </w:p>
        </w:tc>
        <w:tc>
          <w:tcPr>
            <w:tcW w:type="dxa" w:w="6192"/>
            <w:tcBorders>
              <w:bottom w:val="single" w:sz="4" w:color="E5DDD0"/>
            </w:tcBorders>
          </w:tcPr>
          <w:p>
            <w:pPr>
              <w:spacing w:before="120" w:after="120"/>
            </w:pPr>
            <w:r>
              <w:rPr>
                <w:rFonts w:ascii="Georgia" w:hAnsi="Georgia" w:cs="Georgia"/>
                <w:b w:val="0"/>
                <w:i w:val="0"/>
                <w:caps w:val="0"/>
                <w:color w:val="2C2A28"/>
                <w:sz w:val="21"/>
              </w:rPr>
              <w:t>Creating an environment where staff and patients feel safe to speak up.</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D5 · Deterioration Recognition</w:t>
            </w:r>
          </w:p>
        </w:tc>
        <w:tc>
          <w:tcPr>
            <w:tcW w:type="dxa" w:w="6192"/>
            <w:tcBorders>
              <w:bottom w:val="single" w:sz="4" w:color="E5DDD0"/>
            </w:tcBorders>
          </w:tcPr>
          <w:p>
            <w:pPr>
              <w:spacing w:before="120" w:after="120"/>
            </w:pPr>
            <w:r>
              <w:rPr>
                <w:rFonts w:ascii="Georgia" w:hAnsi="Georgia" w:cs="Georgia"/>
                <w:b w:val="0"/>
                <w:i w:val="0"/>
                <w:caps w:val="0"/>
                <w:color w:val="2C2A28"/>
                <w:sz w:val="21"/>
              </w:rPr>
              <w:t>Early identification of patient decline.</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D6 · Pharmacological Safety</w:t>
            </w:r>
          </w:p>
        </w:tc>
        <w:tc>
          <w:tcPr>
            <w:tcW w:type="dxa" w:w="6192"/>
            <w:tcBorders>
              <w:bottom w:val="single" w:sz="4" w:color="E5DDD0"/>
            </w:tcBorders>
          </w:tcPr>
          <w:p>
            <w:pPr>
              <w:spacing w:before="120" w:after="120"/>
            </w:pPr>
            <w:r>
              <w:rPr>
                <w:rFonts w:ascii="Georgia" w:hAnsi="Georgia" w:cs="Georgia"/>
                <w:b w:val="0"/>
                <w:i w:val="0"/>
                <w:caps w:val="0"/>
                <w:color w:val="2C2A28"/>
                <w:sz w:val="21"/>
              </w:rPr>
              <w:t>Safe and effective use of medications.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D7 · Clinical Handover (SBAR)</w:t>
            </w:r>
          </w:p>
        </w:tc>
        <w:tc>
          <w:tcPr>
            <w:tcW w:type="dxa" w:w="6192"/>
            <w:tcBorders>
              <w:bottom w:val="single" w:sz="4" w:color="E5DDD0"/>
            </w:tcBorders>
          </w:tcPr>
          <w:p>
            <w:pPr>
              <w:spacing w:before="120" w:after="120"/>
            </w:pPr>
            <w:r>
              <w:rPr>
                <w:rFonts w:ascii="Georgia" w:hAnsi="Georgia" w:cs="Georgia"/>
                <w:b w:val="0"/>
                <w:i w:val="0"/>
                <w:caps w:val="0"/>
                <w:color w:val="2C2A28"/>
                <w:sz w:val="21"/>
              </w:rPr>
              <w:t>Structured communication for patient transfers.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D8 · Prioritisation / Triage</w:t>
            </w:r>
          </w:p>
        </w:tc>
        <w:tc>
          <w:tcPr>
            <w:tcW w:type="dxa" w:w="6192"/>
            <w:tcBorders>
              <w:bottom w:val="single" w:sz="4" w:color="E5DDD0"/>
            </w:tcBorders>
          </w:tcPr>
          <w:p>
            <w:pPr>
              <w:spacing w:before="120" w:after="120"/>
            </w:pPr>
            <w:r>
              <w:rPr>
                <w:rFonts w:ascii="Georgia" w:hAnsi="Georgia" w:cs="Georgia"/>
                <w:b w:val="0"/>
                <w:i w:val="0"/>
                <w:caps w:val="0"/>
                <w:color w:val="2C2A28"/>
                <w:sz w:val="21"/>
              </w:rPr>
              <w:t>Efficiently managing multiple demands.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D9 · Cultural Humility</w:t>
            </w:r>
          </w:p>
        </w:tc>
        <w:tc>
          <w:tcPr>
            <w:tcW w:type="dxa" w:w="6192"/>
            <w:tcBorders>
              <w:bottom w:val="single" w:sz="4" w:color="E5DDD0"/>
            </w:tcBorders>
          </w:tcPr>
          <w:p>
            <w:pPr>
              <w:spacing w:before="120" w:after="120"/>
            </w:pPr>
            <w:r>
              <w:rPr>
                <w:rFonts w:ascii="Georgia" w:hAnsi="Georgia" w:cs="Georgia"/>
                <w:b w:val="0"/>
                <w:i w:val="0"/>
                <w:caps w:val="0"/>
                <w:color w:val="2C2A28"/>
                <w:sz w:val="21"/>
              </w:rPr>
              <w:t>Ongoing self-reflection on cultural biases and respectful engagement.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D11 · Equity-Aware Care</w:t>
            </w:r>
          </w:p>
        </w:tc>
        <w:tc>
          <w:tcPr>
            <w:tcW w:type="dxa" w:w="6192"/>
            <w:tcBorders>
              <w:bottom w:val="single" w:sz="4" w:color="E5DDD0"/>
            </w:tcBorders>
          </w:tcPr>
          <w:p>
            <w:pPr>
              <w:spacing w:before="120" w:after="120"/>
            </w:pPr>
            <w:r>
              <w:rPr>
                <w:rFonts w:ascii="Georgia" w:hAnsi="Georgia" w:cs="Georgia"/>
                <w:b w:val="0"/>
                <w:i w:val="0"/>
                <w:caps w:val="0"/>
                <w:color w:val="2C2A28"/>
                <w:sz w:val="21"/>
              </w:rPr>
              <w:t>Providing fair and just care to all patients. New domain.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D12 · Moral Resilience</w:t>
            </w:r>
          </w:p>
        </w:tc>
        <w:tc>
          <w:tcPr>
            <w:tcW w:type="dxa" w:w="6192"/>
            <w:tcBorders>
              <w:bottom w:val="single" w:sz="4" w:color="E5DDD0"/>
            </w:tcBorders>
          </w:tcPr>
          <w:p>
            <w:pPr>
              <w:spacing w:before="120" w:after="120"/>
            </w:pPr>
            <w:r>
              <w:rPr>
                <w:rFonts w:ascii="Georgia" w:hAnsi="Georgia" w:cs="Georgia"/>
                <w:b w:val="0"/>
                <w:i w:val="0"/>
                <w:caps w:val="0"/>
                <w:color w:val="2C2A28"/>
                <w:sz w:val="21"/>
              </w:rPr>
              <w:t>Navigating moral distress and upholding ethical values. New domain.</w:t>
            </w:r>
          </w:p>
        </w:tc>
      </w:tr>
    </w:tbl>
    <w:p>
      <w:pPr>
        <w:spacing w:before="240" w:after="100" w:line="320" w:lineRule="auto"/>
      </w:pPr>
      <w:r>
        <w:rPr>
          <w:rFonts w:ascii="Helvetica Neue" w:hAnsi="Helvetica Neue" w:cs="Helvetica Neue"/>
          <w:b/>
          <w:i w:val="0"/>
          <w:caps w:val="0"/>
          <w:color w:val="2D7570"/>
          <w:sz w:val="18"/>
          <w:spacing w:val="80"/>
        </w:rPr>
        <w:t>THE NURSE WISDOM INDEX (NWI)</w:t>
      </w:r>
    </w:p>
    <w:p>
      <w:pPr>
        <w:spacing w:before="0" w:after="160" w:line="320" w:lineRule="auto"/>
      </w:pPr>
      <w:r>
        <w:rPr>
          <w:rFonts w:ascii="Georgia" w:hAnsi="Georgia" w:cs="Georgia"/>
          <w:b w:val="0"/>
          <w:i w:val="0"/>
          <w:caps w:val="0"/>
          <w:color w:val="2C2A28"/>
          <w:sz w:val="22"/>
        </w:rPr>
        <w:t>The single number that tells a nursing director: "this nurse is ready for a high-acuity unit." NWI is computed from each nurse's first-choice decision per node — no credit for back-tracked corrections — so it measures real-time judgment, not test-taking strategy. It decomposes into the 11 wisdom domains, pairs with PCRI (Patient Care Readiness Index) for non-RN care staff, and is trackable across cohort, unit, and time.</w:t>
      </w:r>
    </w:p>
    <w:p>
      <w:pPr>
        <w:spacing w:before="0" w:after="160" w:line="320" w:lineRule="auto"/>
      </w:pPr>
      <w:r>
        <w:rPr>
          <w:rFonts w:ascii="Georgia" w:hAnsi="Georgia" w:cs="Georgia"/>
          <w:b w:val="0"/>
          <w:i/>
          <w:caps w:val="0"/>
          <w:color w:val="7C7A75"/>
          <w:sz w:val="20"/>
        </w:rPr>
        <w:t>Live proof point: Lynn Kenyon, BSN RN at Duke, completed the cardiac-stroke-sepsis set on 2026-06-16 (NWI 77%) — our first external clinical leader to clear it. Engine telemetry captured via the prototype_sessions table.</w:t>
      </w:r>
    </w:p>
    <w:p>
      <w:r>
        <w:br w:type="page"/>
      </w:r>
    </w:p>
    <w:p>
      <w:pPr>
        <w:spacing w:before="200" w:after="80" w:line="320" w:lineRule="auto"/>
      </w:pPr>
      <w:r>
        <w:rPr>
          <w:rFonts w:ascii="Helvetica Neue" w:hAnsi="Helvetica Neue" w:cs="Helvetica Neue"/>
          <w:b/>
          <w:i w:val="0"/>
          <w:caps w:val="0"/>
          <w:color w:val="D08840"/>
          <w:sz w:val="16"/>
          <w:spacing w:val="120"/>
        </w:rPr>
        <w:t>SECTION V · LINEAGE &amp; CREDIBILITY</w:t>
      </w:r>
    </w:p>
    <w:p>
      <w:pPr>
        <w:spacing w:before="80" w:after="0" w:line="320" w:lineRule="auto"/>
      </w:pPr>
      <w:r>
        <w:rPr>
          <w:rFonts w:ascii="Georgia" w:hAnsi="Georgia" w:cs="Georgia"/>
          <w:b w:val="0"/>
          <w:i w:val="0"/>
          <w:caps w:val="0"/>
          <w:color w:val="2C2A28"/>
          <w:sz w:val="56"/>
        </w:rPr>
        <w:t>Two decades of measurable</w:t>
      </w:r>
    </w:p>
    <w:p>
      <w:pPr>
        <w:spacing w:before="80" w:after="200" w:line="320" w:lineRule="auto"/>
      </w:pPr>
      <w:r>
        <w:rPr>
          <w:rFonts w:ascii="Georgia" w:hAnsi="Georgia" w:cs="Georgia"/>
          <w:b w:val="0"/>
          <w:i/>
          <w:caps w:val="0"/>
          <w:color w:val="2D7570"/>
          <w:sz w:val="56"/>
        </w:rPr>
        <w:t>training outcomes.</w:t>
      </w:r>
    </w:p>
    <w:p>
      <w:pPr>
        <w:spacing w:before="0" w:after="160" w:line="320" w:lineRule="auto"/>
      </w:pPr>
      <w:r>
        <w:rPr>
          <w:rFonts w:ascii="Georgia" w:hAnsi="Georgia" w:cs="Georgia"/>
          <w:b w:val="0"/>
          <w:i/>
          <w:caps w:val="0"/>
          <w:color w:val="7C7A75"/>
          <w:sz w:val="22"/>
        </w:rPr>
        <w:t>AIWIZN is the clinical expression of 21 years of immersive-training capability awarded by the institutions that set the bar. Aten Inc. has been building research-grade adaptive simulation since 2001.</w:t>
      </w:r>
    </w:p>
    <w:p>
      <w:pPr>
        <w:spacing w:before="240" w:after="100" w:line="320" w:lineRule="auto"/>
      </w:pPr>
      <w:r>
        <w:rPr>
          <w:rFonts w:ascii="Helvetica Neue" w:hAnsi="Helvetica Neue" w:cs="Helvetica Neue"/>
          <w:b/>
          <w:i w:val="0"/>
          <w:caps w:val="0"/>
          <w:color w:val="2D7570"/>
          <w:sz w:val="18"/>
          <w:spacing w:val="80"/>
        </w:rPr>
        <w:t>RECOGNITION</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NBME · 2015</w:t>
            </w:r>
          </w:p>
        </w:tc>
        <w:tc>
          <w:tcPr>
            <w:tcW w:type="dxa" w:w="6192"/>
            <w:tcBorders>
              <w:bottom w:val="single" w:sz="4" w:color="E5DDD0"/>
            </w:tcBorders>
          </w:tcPr>
          <w:p>
            <w:pPr>
              <w:spacing w:before="120" w:after="120"/>
            </w:pPr>
            <w:r>
              <w:rPr>
                <w:rFonts w:ascii="Georgia" w:hAnsi="Georgia" w:cs="Georgia"/>
                <w:b w:val="0"/>
                <w:i w:val="0"/>
                <w:caps w:val="0"/>
                <w:color w:val="2C2A28"/>
                <w:sz w:val="21"/>
              </w:rPr>
              <w:t>Centennial Competition Semi-Finalist — clinical-assessment innovation. National Board of Medical Examiners.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JP Morgan Chase · 2012</w:t>
            </w:r>
          </w:p>
        </w:tc>
        <w:tc>
          <w:tcPr>
            <w:tcW w:type="dxa" w:w="6192"/>
            <w:tcBorders>
              <w:bottom w:val="single" w:sz="4" w:color="E5DDD0"/>
            </w:tcBorders>
          </w:tcPr>
          <w:p>
            <w:pPr>
              <w:spacing w:before="120" w:after="120"/>
            </w:pPr>
            <w:r>
              <w:rPr>
                <w:rFonts w:ascii="Georgia" w:hAnsi="Georgia" w:cs="Georgia"/>
                <w:b w:val="0"/>
                <w:i w:val="0"/>
                <w:caps w:val="0"/>
                <w:color w:val="2C2A28"/>
                <w:sz w:val="21"/>
              </w:rPr>
              <w:t>Innovation Award — enterprise innovation. Recognized by Jamie Dimon.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Gates Foundation · 2011</w:t>
            </w:r>
          </w:p>
        </w:tc>
        <w:tc>
          <w:tcPr>
            <w:tcW w:type="dxa" w:w="6192"/>
            <w:tcBorders>
              <w:bottom w:val="single" w:sz="4" w:color="E5DDD0"/>
            </w:tcBorders>
          </w:tcPr>
          <w:p>
            <w:pPr>
              <w:spacing w:before="120" w:after="120"/>
            </w:pPr>
            <w:r>
              <w:rPr>
                <w:rFonts w:ascii="Georgia" w:hAnsi="Georgia" w:cs="Georgia"/>
                <w:b w:val="0"/>
                <w:i w:val="0"/>
                <w:caps w:val="0"/>
                <w:color w:val="2C2A28"/>
                <w:sz w:val="21"/>
              </w:rPr>
              <w:t>Next Generation Learning Challenge Finalist — adaptive data-driven methodology.</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MacArthur Foundation · 2010</w:t>
            </w:r>
          </w:p>
        </w:tc>
        <w:tc>
          <w:tcPr>
            <w:tcW w:type="dxa" w:w="6192"/>
            <w:tcBorders>
              <w:bottom w:val="single" w:sz="4" w:color="E5DDD0"/>
            </w:tcBorders>
          </w:tcPr>
          <w:p>
            <w:pPr>
              <w:spacing w:before="120" w:after="120"/>
            </w:pPr>
            <w:r>
              <w:rPr>
                <w:rFonts w:ascii="Georgia" w:hAnsi="Georgia" w:cs="Georgia"/>
                <w:b w:val="0"/>
                <w:i w:val="0"/>
                <w:caps w:val="0"/>
                <w:color w:val="2C2A28"/>
                <w:sz w:val="21"/>
              </w:rPr>
              <w:t>Digital Media &amp; Learning Competition Finalist — evidence-anchored design.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Stevie Award · Cited</w:t>
            </w:r>
          </w:p>
        </w:tc>
        <w:tc>
          <w:tcPr>
            <w:tcW w:type="dxa" w:w="6192"/>
            <w:tcBorders>
              <w:bottom w:val="single" w:sz="4" w:color="E5DDD0"/>
            </w:tcBorders>
          </w:tcPr>
          <w:p>
            <w:pPr>
              <w:spacing w:before="120" w:after="120"/>
            </w:pPr>
            <w:r>
              <w:rPr>
                <w:rFonts w:ascii="Georgia" w:hAnsi="Georgia" w:cs="Georgia"/>
                <w:b w:val="0"/>
                <w:i w:val="0"/>
                <w:caps w:val="0"/>
                <w:color w:val="2C2A28"/>
                <w:sz w:val="21"/>
              </w:rPr>
              <w:t>Key Player, World Serious Game Market Forecast 2017–2023.</w:t>
            </w:r>
          </w:p>
        </w:tc>
      </w:tr>
    </w:tbl>
    <w:p>
      <w:pPr>
        <w:spacing w:before="240" w:after="100" w:line="320" w:lineRule="auto"/>
      </w:pPr>
      <w:r>
        <w:rPr>
          <w:rFonts w:ascii="Helvetica Neue" w:hAnsi="Helvetica Neue" w:cs="Helvetica Neue"/>
          <w:b/>
          <w:i w:val="0"/>
          <w:caps w:val="0"/>
          <w:color w:val="2D7570"/>
          <w:sz w:val="18"/>
          <w:spacing w:val="80"/>
        </w:rPr>
        <w:t>PEDAGOGICAL FRAMEWORKS</w:t>
      </w:r>
    </w:p>
    <w:p>
      <w:pPr>
        <w:spacing w:before="0" w:after="160" w:line="320" w:lineRule="auto"/>
      </w:pPr>
      <w:r>
        <w:rPr>
          <w:rFonts w:ascii="Georgia" w:hAnsi="Georgia" w:cs="Georgia"/>
          <w:b w:val="0"/>
          <w:i w:val="0"/>
          <w:caps w:val="0"/>
          <w:color w:val="2C2A28"/>
          <w:sz w:val="22"/>
        </w:rPr>
        <w:t>AIWIZN is built on Evidence-Centered Design (Mislevy 2003), with stealth assessment and spaced repetition as first-class primitives. The 10-agent architecture integrates Benner novice-to-expert, Tanner Clinical Judgment Model, Kolb experiential learning, Vygotsky Zone of Proximal Development, INACSL simulation standards, and Kirkpatrick L1–L4 evaluation.</w:t>
      </w:r>
    </w:p>
    <w:p>
      <w:pPr>
        <w:spacing w:before="240" w:after="100" w:line="320" w:lineRule="auto"/>
      </w:pPr>
      <w:r>
        <w:rPr>
          <w:rFonts w:ascii="Helvetica Neue" w:hAnsi="Helvetica Neue" w:cs="Helvetica Neue"/>
          <w:b/>
          <w:i w:val="0"/>
          <w:caps w:val="0"/>
          <w:color w:val="2D7570"/>
          <w:sz w:val="18"/>
          <w:spacing w:val="80"/>
        </w:rPr>
        <w:t>ATEN CROSS-VERTICAL TRACK RECORD</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D7570"/>
                <w:sz w:val="48"/>
              </w:rPr>
              <w:t>29%</w:t>
            </w:r>
          </w:p>
        </w:tc>
        <w:tc>
          <w:tcPr>
            <w:tcW w:type="dxa" w:w="1728"/>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9B3329"/>
                <w:sz w:val="48"/>
              </w:rPr>
              <w:t>46%</w:t>
            </w:r>
          </w:p>
        </w:tc>
        <w:tc>
          <w:tcPr>
            <w:tcW w:type="dxa" w:w="1728"/>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D08840"/>
                <w:sz w:val="48"/>
              </w:rPr>
              <w:t>50%</w:t>
            </w:r>
          </w:p>
        </w:tc>
        <w:tc>
          <w:tcPr>
            <w:tcW w:type="dxa" w:w="1728"/>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D7570"/>
                <w:sz w:val="48"/>
              </w:rPr>
              <w:t>81%</w:t>
            </w:r>
          </w:p>
        </w:tc>
        <w:tc>
          <w:tcPr>
            <w:tcW w:type="dxa" w:w="1728"/>
            <w:shd w:val="clear" w:color="auto" w:fill="F4EFE5"/>
            <w:tcBorders>
              <w:top w:val="single" w:sz="4" w:color="E5DDD0"/>
              <w:left w:val="single" w:sz="4" w:color="E5DDD0"/>
              <w:bottom w:val="single" w:sz="4" w:color="E5DDD0"/>
              <w:right w:val="single" w:sz="4" w:color="E5DDD0"/>
            </w:tcBorders>
            <w:vAlign w:val="center"/>
          </w:tcPr>
          <w:p>
            <w:pPr>
              <w:spacing w:before="160" w:after="0"/>
              <w:jc w:val="center"/>
            </w:pPr>
            <w:r>
              <w:rPr>
                <w:rFonts w:ascii="Georgia" w:hAnsi="Georgia" w:cs="Georgia"/>
                <w:b w:val="0"/>
                <w:i w:val="0"/>
                <w:caps w:val="0"/>
                <w:color w:val="2C2A28"/>
                <w:sz w:val="48"/>
              </w:rPr>
              <w:t>20+yr</w:t>
            </w:r>
          </w:p>
        </w:tc>
      </w:tr>
      <w:tr>
        <w:tc>
          <w:tcPr>
            <w:tcW w:type="dxa" w:w="1728"/>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PRODUCTIVITY IMPROVEMENT</w:t>
            </w:r>
          </w:p>
        </w:tc>
        <w:tc>
          <w:tcPr>
            <w:tcW w:type="dxa" w:w="1728"/>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REDUCTION IN ERRORS</w:t>
            </w:r>
          </w:p>
        </w:tc>
        <w:tc>
          <w:tcPr>
            <w:tcW w:type="dxa" w:w="1728"/>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TRAINING-THROUGHPUT ↑</w:t>
            </w:r>
          </w:p>
        </w:tc>
        <w:tc>
          <w:tcPr>
            <w:tcW w:type="dxa" w:w="1728"/>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REDUCTION IN ATTRITION</w:t>
            </w:r>
          </w:p>
        </w:tc>
        <w:tc>
          <w:tcPr>
            <w:tcW w:type="dxa" w:w="1728"/>
            <w:shd w:val="clear" w:color="auto" w:fill="F4EFE5"/>
            <w:tcBorders>
              <w:top w:val="single" w:sz="4" w:color="E5DDD0"/>
              <w:left w:val="single" w:sz="4" w:color="E5DDD0"/>
              <w:bottom w:val="single" w:sz="4" w:color="E5DDD0"/>
              <w:right w:val="single" w:sz="4" w:color="E5DDD0"/>
            </w:tcBorders>
          </w:tcPr>
          <w:p>
            <w:pPr>
              <w:spacing w:before="0" w:after="200"/>
              <w:jc w:val="center"/>
            </w:pPr>
            <w:r>
              <w:rPr>
                <w:rFonts w:ascii="Helvetica Neue" w:hAnsi="Helvetica Neue" w:cs="Helvetica Neue"/>
                <w:b/>
                <w:i w:val="0"/>
                <w:caps w:val="0"/>
                <w:color w:val="7C7A75"/>
                <w:sz w:val="15"/>
                <w:spacing w:val="80"/>
              </w:rPr>
              <w:t>CONTINUOUS TRACK RECORD</w:t>
            </w:r>
          </w:p>
        </w:tc>
      </w:tr>
    </w:tbl>
    <w:p>
      <w:pPr>
        <w:spacing w:before="0" w:after="80" w:line="320" w:lineRule="auto"/>
      </w:pPr>
    </w:p>
    <w:p>
      <w:pPr>
        <w:spacing w:before="0" w:after="160" w:line="320" w:lineRule="auto"/>
      </w:pPr>
      <w:r>
        <w:rPr>
          <w:rFonts w:ascii="Georgia" w:hAnsi="Georgia" w:cs="Georgia"/>
          <w:b w:val="0"/>
          <w:i/>
          <w:caps w:val="0"/>
          <w:color w:val="7C7A75"/>
          <w:sz w:val="22"/>
        </w:rPr>
        <w:t>Source: Aten Inc. internal deployment data, multiple Fortune 500 customers across pharma manufacturing (Grifols VR), aviation cockpit training, and bedside clinical-assessment scenarios (2005–2025). Clinical pilot metrics to be established jointly with WakeMed.</w:t>
      </w:r>
    </w:p>
    <w:p>
      <w:pPr>
        <w:spacing w:before="240" w:after="100" w:line="320" w:lineRule="auto"/>
      </w:pPr>
      <w:r>
        <w:rPr>
          <w:rFonts w:ascii="Helvetica Neue" w:hAnsi="Helvetica Neue" w:cs="Helvetica Neue"/>
          <w:b/>
          <w:i w:val="0"/>
          <w:caps w:val="0"/>
          <w:color w:val="2D7570"/>
          <w:sz w:val="18"/>
          <w:spacing w:val="80"/>
        </w:rPr>
        <w:t>THE CONTINUITY CASE</w:t>
      </w:r>
    </w:p>
    <w:p>
      <w:pPr>
        <w:spacing w:before="0" w:after="160" w:line="320" w:lineRule="auto"/>
      </w:pPr>
      <w:r>
        <w:rPr>
          <w:rFonts w:ascii="Georgia" w:hAnsi="Georgia" w:cs="Georgia"/>
          <w:b w:val="0"/>
          <w:i w:val="0"/>
          <w:caps w:val="0"/>
          <w:color w:val="2C2A28"/>
          <w:sz w:val="22"/>
        </w:rPr>
        <w:t>AIWIZN is built by Aten Inc., a 25-year-old research-grade simulation house with federal and Fortune-500 training contracts across pharma, aviation, and clinical training. Research partnerships at NC State, Virginia Tech, and Duke. Founding board member of BEST NC and Research Triangle High School. We are not a venture-backed startup with single-digit-month runway.</w:t>
      </w:r>
    </w:p>
    <w:p>
      <w:r>
        <w:br w:type="page"/>
      </w:r>
    </w:p>
    <w:p>
      <w:pPr>
        <w:spacing w:before="200" w:after="80" w:line="320" w:lineRule="auto"/>
      </w:pPr>
      <w:r>
        <w:rPr>
          <w:rFonts w:ascii="Helvetica Neue" w:hAnsi="Helvetica Neue" w:cs="Helvetica Neue"/>
          <w:b/>
          <w:i w:val="0"/>
          <w:caps w:val="0"/>
          <w:color w:val="D08840"/>
          <w:sz w:val="16"/>
          <w:spacing w:val="120"/>
        </w:rPr>
        <w:t>SECTION VI · THE TEAM &amp; ADVISORS</w:t>
      </w:r>
    </w:p>
    <w:p>
      <w:pPr>
        <w:spacing w:before="80" w:after="0" w:line="320" w:lineRule="auto"/>
      </w:pPr>
      <w:r>
        <w:rPr>
          <w:rFonts w:ascii="Georgia" w:hAnsi="Georgia" w:cs="Georgia"/>
          <w:b w:val="0"/>
          <w:i w:val="0"/>
          <w:caps w:val="0"/>
          <w:color w:val="2C2A28"/>
          <w:sz w:val="56"/>
        </w:rPr>
        <w:t>Clinical credibility,</w:t>
      </w:r>
    </w:p>
    <w:p>
      <w:pPr>
        <w:spacing w:before="80" w:after="200" w:line="320" w:lineRule="auto"/>
      </w:pPr>
      <w:r>
        <w:rPr>
          <w:rFonts w:ascii="Georgia" w:hAnsi="Georgia" w:cs="Georgia"/>
          <w:b w:val="0"/>
          <w:i/>
          <w:caps w:val="0"/>
          <w:color w:val="2D7570"/>
          <w:sz w:val="56"/>
        </w:rPr>
        <w:t>built in from the start.</w:t>
      </w:r>
    </w:p>
    <w:p>
      <w:pPr>
        <w:spacing w:before="0" w:after="160" w:line="320" w:lineRule="auto"/>
      </w:pPr>
      <w:r>
        <w:rPr>
          <w:rFonts w:ascii="Georgia" w:hAnsi="Georgia" w:cs="Georgia"/>
          <w:b w:val="0"/>
          <w:i/>
          <w:caps w:val="0"/>
          <w:color w:val="7C7A75"/>
          <w:sz w:val="22"/>
        </w:rPr>
        <w:t>Pulled verbatim from aiwizn.com/team. Lynn Kenyon (Duke) held for the next revision pending Duke / WakeMed engagement scoping.</w:t>
      </w:r>
    </w:p>
    <w:p>
      <w:pPr>
        <w:spacing w:before="240" w:after="100" w:line="320" w:lineRule="auto"/>
      </w:pPr>
      <w:r>
        <w:rPr>
          <w:rFonts w:ascii="Helvetica Neue" w:hAnsi="Helvetica Neue" w:cs="Helvetica Neue"/>
          <w:b/>
          <w:i w:val="0"/>
          <w:caps w:val="0"/>
          <w:color w:val="2D7570"/>
          <w:sz w:val="18"/>
          <w:spacing w:val="80"/>
        </w:rPr>
        <w:t>FOUNDER</w:t>
      </w:r>
    </w:p>
    <w:p>
      <w:pPr>
        <w:spacing w:before="0" w:after="20" w:line="320" w:lineRule="auto"/>
      </w:pPr>
      <w:r>
        <w:rPr>
          <w:rFonts w:ascii="Georgia" w:hAnsi="Georgia" w:cs="Georgia"/>
          <w:b/>
          <w:i w:val="0"/>
          <w:caps w:val="0"/>
          <w:color w:val="2C2A28"/>
          <w:sz w:val="28"/>
        </w:rPr>
        <w:t>Thomas K Vaidhyan</w:t>
      </w:r>
    </w:p>
    <w:p>
      <w:pPr>
        <w:spacing w:before="0" w:after="80" w:line="320" w:lineRule="auto"/>
      </w:pPr>
      <w:r>
        <w:rPr>
          <w:rFonts w:ascii="Georgia" w:hAnsi="Georgia" w:cs="Georgia"/>
          <w:b w:val="0"/>
          <w:i/>
          <w:caps w:val="0"/>
          <w:color w:val="7C7A75"/>
          <w:sz w:val="20"/>
        </w:rPr>
        <w:t>Founder &amp; CEO · AIWIZN / Aten Inc.</w:t>
      </w:r>
    </w:p>
    <w:p>
      <w:pPr>
        <w:spacing w:before="0" w:after="160" w:line="320" w:lineRule="auto"/>
      </w:pPr>
      <w:r>
        <w:rPr>
          <w:rFonts w:ascii="Georgia" w:hAnsi="Georgia" w:cs="Georgia"/>
          <w:b w:val="0"/>
          <w:i w:val="0"/>
          <w:caps w:val="0"/>
          <w:color w:val="2C2A28"/>
          <w:sz w:val="22"/>
        </w:rPr>
        <w:t>Architect of the AIWIZN multi-agentic learning platform and founder of Aten Inc. Serial ed-tech entrepreneur across immersive learning, serious games, and AI-driven training simulations, with research partnerships at NC State, Virginia Tech, and Duke. Founding board member of BEST NC and Research Triangle High School. Leads platform strategy, product vision, and investor relations.</w:t>
      </w:r>
    </w:p>
    <w:p>
      <w:pPr>
        <w:spacing w:before="240" w:after="100" w:line="320" w:lineRule="auto"/>
      </w:pPr>
      <w:r>
        <w:rPr>
          <w:rFonts w:ascii="Helvetica Neue" w:hAnsi="Helvetica Neue" w:cs="Helvetica Neue"/>
          <w:b/>
          <w:i w:val="0"/>
          <w:caps w:val="0"/>
          <w:color w:val="2D7570"/>
          <w:sz w:val="18"/>
          <w:spacing w:val="80"/>
        </w:rPr>
        <w:t>ADVISORS</w:t>
      </w:r>
    </w:p>
    <w:p>
      <w:pPr>
        <w:spacing w:before="0" w:after="20" w:line="320" w:lineRule="auto"/>
      </w:pPr>
      <w:r>
        <w:rPr>
          <w:rFonts w:ascii="Georgia" w:hAnsi="Georgia" w:cs="Georgia"/>
          <w:b/>
          <w:i w:val="0"/>
          <w:caps w:val="0"/>
          <w:color w:val="2C2A28"/>
          <w:sz w:val="24"/>
        </w:rPr>
        <w:t>Annie Baby, MA, MBA, MSN, FNP-BC</w:t>
      </w:r>
    </w:p>
    <w:p>
      <w:pPr>
        <w:spacing w:before="0" w:after="80" w:line="320" w:lineRule="auto"/>
      </w:pPr>
      <w:r>
        <w:rPr>
          <w:rFonts w:ascii="Georgia" w:hAnsi="Georgia" w:cs="Georgia"/>
          <w:b w:val="0"/>
          <w:i/>
          <w:caps w:val="0"/>
          <w:color w:val="7C7A75"/>
          <w:sz w:val="19"/>
        </w:rPr>
        <w:t>Deputy Executive Director, Tennessee Population Health Consortium · UT School of Health Sciences — School of Medicine</w:t>
      </w:r>
    </w:p>
    <w:p>
      <w:pPr>
        <w:spacing w:before="0" w:after="160" w:line="320" w:lineRule="auto"/>
      </w:pPr>
      <w:r>
        <w:rPr>
          <w:rFonts w:ascii="Georgia" w:hAnsi="Georgia" w:cs="Georgia"/>
          <w:b w:val="0"/>
          <w:i w:val="0"/>
          <w:caps w:val="0"/>
          <w:color w:val="2C2A28"/>
          <w:sz w:val="22"/>
        </w:rPr>
        <w:t>Valid active RN and Advanced Nurse Practitioner licensure. Experienced clinical, operational, and business leader across health-system organisations. Pairs frontline nursing practice with health-economics, analytics, and value-based-care strategy — informing how AIWIZN translates nursing-education frameworks into scalable clinical learning architectures.</w:t>
      </w:r>
    </w:p>
    <w:p>
      <w:pPr>
        <w:spacing w:before="0" w:after="20" w:line="320" w:lineRule="auto"/>
      </w:pPr>
      <w:r>
        <w:rPr>
          <w:rFonts w:ascii="Georgia" w:hAnsi="Georgia" w:cs="Georgia"/>
          <w:b/>
          <w:i w:val="0"/>
          <w:caps w:val="0"/>
          <w:color w:val="2C2A28"/>
          <w:sz w:val="24"/>
        </w:rPr>
        <w:t>Dr. Graham Snyder, MD, FACEP</w:t>
      </w:r>
    </w:p>
    <w:p>
      <w:pPr>
        <w:spacing w:before="0" w:after="80" w:line="320" w:lineRule="auto"/>
      </w:pPr>
      <w:r>
        <w:rPr>
          <w:rFonts w:ascii="Georgia" w:hAnsi="Georgia" w:cs="Georgia"/>
          <w:b w:val="0"/>
          <w:i/>
          <w:caps w:val="0"/>
          <w:color w:val="7C7A75"/>
          <w:sz w:val="19"/>
        </w:rPr>
        <w:t>Medical Director, WakeMed Center for Innovative Learning · Associate Program Director, UNC Emergency Medicine · AIWIZN Chief Medical Advisor</w:t>
      </w:r>
    </w:p>
    <w:p>
      <w:pPr>
        <w:spacing w:before="0" w:after="160" w:line="320" w:lineRule="auto"/>
      </w:pPr>
      <w:r>
        <w:rPr>
          <w:rFonts w:ascii="Georgia" w:hAnsi="Georgia" w:cs="Georgia"/>
          <w:b w:val="0"/>
          <w:i w:val="0"/>
          <w:caps w:val="0"/>
          <w:color w:val="2C2A28"/>
          <w:sz w:val="22"/>
        </w:rPr>
        <w:t>Longest-serving clinical champion of simulation-based training at WakeMed. Co-developed AIWIZN's clinical validation framework. Engineer-turned-emergency-physician who runs WakeMed's Center for Innovative Learning — a high-fidelity training facility serving thousands of clinicians annually. Guides SIMULUS physiological fidelity and COGNITA clinical validity.</w:t>
      </w:r>
    </w:p>
    <w:p>
      <w:pPr>
        <w:spacing w:before="0" w:after="20" w:line="320" w:lineRule="auto"/>
      </w:pPr>
      <w:r>
        <w:rPr>
          <w:rFonts w:ascii="Georgia" w:hAnsi="Georgia" w:cs="Georgia"/>
          <w:b/>
          <w:i w:val="0"/>
          <w:caps w:val="0"/>
          <w:color w:val="2C2A28"/>
          <w:sz w:val="24"/>
        </w:rPr>
        <w:t>Arvind Kumar</w:t>
      </w:r>
    </w:p>
    <w:p>
      <w:pPr>
        <w:spacing w:before="0" w:after="80" w:line="320" w:lineRule="auto"/>
      </w:pPr>
      <w:r>
        <w:rPr>
          <w:rFonts w:ascii="Georgia" w:hAnsi="Georgia" w:cs="Georgia"/>
          <w:b w:val="0"/>
          <w:i/>
          <w:caps w:val="0"/>
          <w:color w:val="7C7A75"/>
          <w:sz w:val="19"/>
        </w:rPr>
        <w:t>Managing Director · Head of Digital Health · EisnerAmper LLC</w:t>
      </w:r>
    </w:p>
    <w:p>
      <w:pPr>
        <w:spacing w:before="0" w:after="160" w:line="320" w:lineRule="auto"/>
      </w:pPr>
      <w:r>
        <w:rPr>
          <w:rFonts w:ascii="Georgia" w:hAnsi="Georgia" w:cs="Georgia"/>
          <w:b w:val="0"/>
          <w:i w:val="0"/>
          <w:caps w:val="0"/>
          <w:color w:val="2C2A28"/>
          <w:sz w:val="22"/>
        </w:rPr>
        <w:t>Healthcare-technology strategist with 25+ years across executive and advisory roles — former CIO at Cincinnati Children's, SVP at Xerox Healthcare, and digital-risk leadership at a Big-4 firm. Adjunct faculty at Harvard School of Public Health, Northeastern, and Suffolk. Advises AIWIZN on responsible AI deployment, clinical validation, and healthcare-technology risk.</w:t>
      </w:r>
    </w:p>
    <w:p>
      <w:pPr>
        <w:spacing w:before="0" w:after="20" w:line="320" w:lineRule="auto"/>
      </w:pPr>
      <w:r>
        <w:rPr>
          <w:rFonts w:ascii="Georgia" w:hAnsi="Georgia" w:cs="Georgia"/>
          <w:b/>
          <w:i w:val="0"/>
          <w:caps w:val="0"/>
          <w:color w:val="2C2A28"/>
          <w:sz w:val="24"/>
        </w:rPr>
        <w:t>Dr. Erin T. Carey, MD, MSCR</w:t>
      </w:r>
    </w:p>
    <w:p>
      <w:pPr>
        <w:spacing w:before="0" w:after="80" w:line="320" w:lineRule="auto"/>
      </w:pPr>
      <w:r>
        <w:rPr>
          <w:rFonts w:ascii="Georgia" w:hAnsi="Georgia" w:cs="Georgia"/>
          <w:b w:val="0"/>
          <w:i/>
          <w:caps w:val="0"/>
          <w:color w:val="7C7A75"/>
          <w:sz w:val="19"/>
        </w:rPr>
        <w:t>Surgeon · Division Chief, Minimally Invasive Gynecologic Surgery · Co-Executive Director, FastTraCS · University of North Carolina</w:t>
      </w:r>
    </w:p>
    <w:p>
      <w:pPr>
        <w:spacing w:before="0" w:after="160" w:line="320" w:lineRule="auto"/>
      </w:pPr>
      <w:r>
        <w:rPr>
          <w:rFonts w:ascii="Georgia" w:hAnsi="Georgia" w:cs="Georgia"/>
          <w:b w:val="0"/>
          <w:i w:val="0"/>
          <w:caps w:val="0"/>
          <w:color w:val="2C2A28"/>
          <w:sz w:val="22"/>
        </w:rPr>
        <w:t>UNC surgeon-innovator leading the Division of Minimally Invasive Gynecologic Surgery and co-leading FastTraCS, UNC's clinical-innovation accelerator. Pairs procedural rigour with translational research and device design — informing AIWIZN's PRAXIS and NARRATIVE work on procedural fidelity, clinical-judgement formation, and innovation pathways from bedside insight to validated practice.</w:t>
      </w:r>
    </w:p>
    <w:p>
      <w:r>
        <w:br w:type="page"/>
      </w:r>
    </w:p>
    <w:p>
      <w:pPr>
        <w:spacing w:before="200" w:after="80" w:line="320" w:lineRule="auto"/>
      </w:pPr>
      <w:r>
        <w:rPr>
          <w:rFonts w:ascii="Helvetica Neue" w:hAnsi="Helvetica Neue" w:cs="Helvetica Neue"/>
          <w:b/>
          <w:i w:val="0"/>
          <w:caps w:val="0"/>
          <w:color w:val="D08840"/>
          <w:sz w:val="16"/>
          <w:spacing w:val="120"/>
        </w:rPr>
        <w:t>SECTION VII · THE FOUNDING-CUSTOMER PILOT</w:t>
      </w:r>
    </w:p>
    <w:p>
      <w:pPr>
        <w:spacing w:before="80" w:after="0" w:line="320" w:lineRule="auto"/>
      </w:pPr>
      <w:r>
        <w:rPr>
          <w:rFonts w:ascii="Georgia" w:hAnsi="Georgia" w:cs="Georgia"/>
          <w:b w:val="0"/>
          <w:i w:val="0"/>
          <w:caps w:val="0"/>
          <w:color w:val="2C2A28"/>
          <w:sz w:val="56"/>
        </w:rPr>
        <w:t>A 12-week transformation</w:t>
      </w:r>
    </w:p>
    <w:p>
      <w:pPr>
        <w:spacing w:before="80" w:after="200" w:line="320" w:lineRule="auto"/>
      </w:pPr>
      <w:r>
        <w:rPr>
          <w:rFonts w:ascii="Georgia" w:hAnsi="Georgia" w:cs="Georgia"/>
          <w:b w:val="0"/>
          <w:i/>
          <w:caps w:val="0"/>
          <w:color w:val="2D7570"/>
          <w:sz w:val="56"/>
        </w:rPr>
        <w:t>for nurse orientation.</w:t>
      </w:r>
    </w:p>
    <w:p>
      <w:pPr>
        <w:spacing w:before="240" w:after="100" w:line="320" w:lineRule="auto"/>
      </w:pPr>
      <w:r>
        <w:rPr>
          <w:rFonts w:ascii="Helvetica Neue" w:hAnsi="Helvetica Neue" w:cs="Helvetica Neue"/>
          <w:b/>
          <w:i w:val="0"/>
          <w:caps w:val="0"/>
          <w:color w:val="2D7570"/>
          <w:sz w:val="18"/>
          <w:spacing w:val="80"/>
        </w:rPr>
        <w:t>PILOT STRUCTURE</w:t>
      </w:r>
    </w:p>
    <w:tbl>
      <w:tblPr>
        <w:tblW w:type="auto" w:w="0"/>
        <w:jc w:val="left"/>
        <w:tblLayout w:type="fixed"/>
        <w:tblLook w:firstColumn="1" w:firstRow="1" w:lastColumn="0" w:lastRow="0" w:noHBand="0" w:noVBand="1" w:val="04A0"/>
      </w:tblPr>
      <w:tblGrid>
        <w:gridCol w:w="4320"/>
        <w:gridCol w:w="4320"/>
      </w:tblGrid>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Duration</w:t>
            </w:r>
          </w:p>
        </w:tc>
        <w:tc>
          <w:tcPr>
            <w:tcW w:type="dxa" w:w="6480"/>
            <w:tcBorders>
              <w:bottom w:val="single" w:sz="4" w:color="E5DDD0"/>
            </w:tcBorders>
          </w:tcPr>
          <w:p>
            <w:pPr>
              <w:spacing w:before="120" w:after="120"/>
            </w:pPr>
            <w:r>
              <w:rPr>
                <w:rFonts w:ascii="Georgia" w:hAnsi="Georgia" w:cs="Georgia"/>
                <w:b w:val="0"/>
                <w:i w:val="0"/>
                <w:caps w:val="0"/>
                <w:color w:val="2C2A28"/>
                <w:sz w:val="21"/>
              </w:rPr>
              <w:t>12 weeks · web-based access · clinical oversight</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Cohort</w:t>
            </w:r>
          </w:p>
        </w:tc>
        <w:tc>
          <w:tcPr>
            <w:tcW w:type="dxa" w:w="6480"/>
            <w:tcBorders>
              <w:bottom w:val="single" w:sz="4" w:color="E5DDD0"/>
            </w:tcBorders>
          </w:tcPr>
          <w:p>
            <w:pPr>
              <w:spacing w:before="120" w:after="120"/>
            </w:pPr>
            <w:r>
              <w:rPr>
                <w:rFonts w:ascii="Georgia" w:hAnsi="Georgia" w:cs="Georgia"/>
                <w:b w:val="0"/>
                <w:i w:val="0"/>
                <w:caps w:val="0"/>
                <w:color w:val="2C2A28"/>
                <w:sz w:val="21"/>
              </w:rPr>
              <w:t>20–30 nurses at WakeMed's Center for Innovative Learning</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Assessment</w:t>
            </w:r>
          </w:p>
        </w:tc>
        <w:tc>
          <w:tcPr>
            <w:tcW w:type="dxa" w:w="6480"/>
            <w:tcBorders>
              <w:bottom w:val="single" w:sz="4" w:color="E5DDD0"/>
            </w:tcBorders>
          </w:tcPr>
          <w:p>
            <w:pPr>
              <w:spacing w:before="120" w:after="120"/>
            </w:pPr>
            <w:r>
              <w:rPr>
                <w:rFonts w:ascii="Georgia" w:hAnsi="Georgia" w:cs="Georgia"/>
                <w:b w:val="0"/>
                <w:i w:val="0"/>
                <w:caps w:val="0"/>
                <w:color w:val="2C2A28"/>
                <w:sz w:val="21"/>
              </w:rPr>
              <w:t>75-minute baseline · 8-week follow-up · 6-month retention</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Scenarios</w:t>
            </w:r>
          </w:p>
        </w:tc>
        <w:tc>
          <w:tcPr>
            <w:tcW w:type="dxa" w:w="6480"/>
            <w:tcBorders>
              <w:bottom w:val="single" w:sz="4" w:color="E5DDD0"/>
            </w:tcBorders>
          </w:tcPr>
          <w:p>
            <w:pPr>
              <w:spacing w:before="120" w:after="120"/>
            </w:pPr>
            <w:r>
              <w:rPr>
                <w:rFonts w:ascii="Georgia" w:hAnsi="Georgia" w:cs="Georgia"/>
                <w:b w:val="0"/>
                <w:i w:val="0"/>
                <w:caps w:val="0"/>
                <w:color w:val="2C2A28"/>
                <w:sz w:val="21"/>
              </w:rPr>
              <w:t>STEMI Activation · Stroke tPA · Sepsis Bundle · Authority Challenge · Language Access</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Time per scenario</w:t>
            </w:r>
          </w:p>
        </w:tc>
        <w:tc>
          <w:tcPr>
            <w:tcW w:type="dxa" w:w="6480"/>
            <w:tcBorders>
              <w:bottom w:val="single" w:sz="4" w:color="E5DDD0"/>
            </w:tcBorders>
          </w:tcPr>
          <w:p>
            <w:pPr>
              <w:spacing w:before="120" w:after="120"/>
            </w:pPr>
            <w:r>
              <w:rPr>
                <w:rFonts w:ascii="Georgia" w:hAnsi="Georgia" w:cs="Georgia"/>
                <w:b w:val="0"/>
                <w:i w:val="0"/>
                <w:caps w:val="0"/>
                <w:color w:val="2C2A28"/>
                <w:sz w:val="21"/>
              </w:rPr>
              <w:t>20–25 minutes · ~2 hours total commitment over 4 weeks</w:t>
            </w:r>
          </w:p>
        </w:tc>
      </w:tr>
      <w:tr>
        <w:tc>
          <w:tcPr>
            <w:tcW w:type="dxa" w:w="2592"/>
            <w:tcBorders>
              <w:bottom w:val="single" w:sz="4" w:color="E5DDD0"/>
            </w:tcBorders>
          </w:tcPr>
          <w:p>
            <w:pPr>
              <w:spacing w:before="120" w:after="120"/>
            </w:pPr>
            <w:r>
              <w:rPr>
                <w:rFonts w:ascii="Helvetica Neue" w:hAnsi="Helvetica Neue" w:cs="Helvetica Neue"/>
                <w:b/>
                <w:i w:val="0"/>
                <w:caps w:val="0"/>
                <w:color w:val="2C2A28"/>
                <w:sz w:val="19"/>
              </w:rPr>
              <w:t>Oversight</w:t>
            </w:r>
          </w:p>
        </w:tc>
        <w:tc>
          <w:tcPr>
            <w:tcW w:type="dxa" w:w="6480"/>
            <w:tcBorders>
              <w:bottom w:val="single" w:sz="4" w:color="E5DDD0"/>
            </w:tcBorders>
          </w:tcPr>
          <w:p>
            <w:pPr>
              <w:spacing w:before="120" w:after="120"/>
            </w:pPr>
            <w:r>
              <w:rPr>
                <w:rFonts w:ascii="Georgia" w:hAnsi="Georgia" w:cs="Georgia"/>
                <w:b w:val="0"/>
                <w:i w:val="0"/>
                <w:caps w:val="0"/>
                <w:color w:val="2C2A28"/>
                <w:sz w:val="21"/>
              </w:rPr>
              <w:t>Dr. Graham Snyder, Medical Director, WakeMed CIL</w:t>
            </w:r>
          </w:p>
        </w:tc>
      </w:tr>
    </w:tbl>
    <w:p>
      <w:pPr>
        <w:spacing w:before="240" w:after="100" w:line="320" w:lineRule="auto"/>
      </w:pPr>
      <w:r>
        <w:rPr>
          <w:rFonts w:ascii="Helvetica Neue" w:hAnsi="Helvetica Neue" w:cs="Helvetica Neue"/>
          <w:b/>
          <w:i w:val="0"/>
          <w:caps w:val="0"/>
          <w:color w:val="2D7570"/>
          <w:sz w:val="18"/>
          <w:spacing w:val="80"/>
        </w:rPr>
        <w:t>WHAT WAKEMED RECEIVES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Individual NWI profile + 11-domain breakdown per cohort member</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Cohort analytics dashboard (LUMINA) — strengths, risk areas, intervention priorities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Validated NWI + PCRI data tied to WakeMed onboarding outcomes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Clinical debrief with the AIWIZN team and Dr. Snyder</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Co-authorship on resulting peer-reviewed publication (Senior Author: Dr. Graham Snyder)</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Direct pathway to reduce annual turnover cost from $20M baseline</w:t>
      </w:r>
    </w:p>
    <w:p>
      <w:pPr>
        <w:spacing w:before="240" w:after="100" w:line="320" w:lineRule="auto"/>
      </w:pPr>
      <w:r>
        <w:rPr>
          <w:rFonts w:ascii="Helvetica Neue" w:hAnsi="Helvetica Neue" w:cs="Helvetica Neue"/>
          <w:b/>
          <w:i w:val="0"/>
          <w:caps w:val="0"/>
          <w:color w:val="2D7570"/>
          <w:sz w:val="18"/>
          <w:spacing w:val="80"/>
        </w:rPr>
        <w:t>TIMELINE AT A GLANCE</w:t>
      </w:r>
    </w:p>
    <w:tbl>
      <w:tblPr>
        <w:tblW w:type="auto" w:w="0"/>
        <w:jc w:val="left"/>
        <w:tblLayout w:type="fixed"/>
        <w:tblLook w:firstColumn="1" w:firstRow="1" w:lastColumn="0" w:lastRow="0" w:noHBand="0" w:noVBand="1" w:val="04A0"/>
      </w:tblPr>
      <w:tblGrid>
        <w:gridCol w:w="4320"/>
        <w:gridCol w:w="4320"/>
      </w:tblGrid>
      <w:tr>
        <w:tc>
          <w:tcPr>
            <w:tcW w:type="dxa" w:w="2016"/>
            <w:tcBorders>
              <w:bottom w:val="single" w:sz="4" w:color="E5DDD0"/>
            </w:tcBorders>
          </w:tcPr>
          <w:p>
            <w:pPr>
              <w:spacing w:before="120" w:after="120"/>
            </w:pPr>
            <w:r>
              <w:rPr>
                <w:rFonts w:ascii="Helvetica Neue" w:hAnsi="Helvetica Neue" w:cs="Helvetica Neue"/>
                <w:b/>
                <w:i w:val="0"/>
                <w:caps w:val="0"/>
                <w:color w:val="2C2A28"/>
                <w:sz w:val="19"/>
              </w:rPr>
              <w:t>This week</w:t>
            </w:r>
          </w:p>
        </w:tc>
        <w:tc>
          <w:tcPr>
            <w:tcW w:type="dxa" w:w="7056"/>
            <w:tcBorders>
              <w:bottom w:val="single" w:sz="4" w:color="E5DDD0"/>
            </w:tcBorders>
          </w:tcPr>
          <w:p>
            <w:pPr>
              <w:spacing w:before="120" w:after="120"/>
            </w:pPr>
            <w:r>
              <w:rPr>
                <w:rFonts w:ascii="Georgia" w:hAnsi="Georgia" w:cs="Georgia"/>
                <w:b w:val="0"/>
                <w:i w:val="0"/>
                <w:caps w:val="0"/>
                <w:color w:val="2C2A28"/>
                <w:sz w:val="21"/>
              </w:rPr>
              <w:t>Confirm interest · identify target orientation cohort and liaison</w:t>
            </w:r>
          </w:p>
        </w:tc>
      </w:tr>
      <w:tr>
        <w:tc>
          <w:tcPr>
            <w:tcW w:type="dxa" w:w="2016"/>
            <w:tcBorders>
              <w:bottom w:val="single" w:sz="4" w:color="E5DDD0"/>
            </w:tcBorders>
          </w:tcPr>
          <w:p>
            <w:pPr>
              <w:spacing w:before="120" w:after="120"/>
            </w:pPr>
            <w:r>
              <w:rPr>
                <w:rFonts w:ascii="Helvetica Neue" w:hAnsi="Helvetica Neue" w:cs="Helvetica Neue"/>
                <w:b/>
                <w:i w:val="0"/>
                <w:caps w:val="0"/>
                <w:color w:val="2C2A28"/>
                <w:sz w:val="19"/>
              </w:rPr>
              <w:t>Next 2 weeks</w:t>
            </w:r>
          </w:p>
        </w:tc>
        <w:tc>
          <w:tcPr>
            <w:tcW w:type="dxa" w:w="7056"/>
            <w:tcBorders>
              <w:bottom w:val="single" w:sz="4" w:color="E5DDD0"/>
            </w:tcBorders>
          </w:tcPr>
          <w:p>
            <w:pPr>
              <w:spacing w:before="120" w:after="120"/>
            </w:pPr>
            <w:r>
              <w:rPr>
                <w:rFonts w:ascii="Georgia" w:hAnsi="Georgia" w:cs="Georgia"/>
                <w:b w:val="0"/>
                <w:i w:val="0"/>
                <w:caps w:val="0"/>
                <w:color w:val="2C2A28"/>
                <w:sz w:val="21"/>
              </w:rPr>
              <w:t>Execute clinical partnership agreement · Dr. Snyder and AIWIZN team brief WakeMed nursing education team</w:t>
            </w:r>
          </w:p>
        </w:tc>
      </w:tr>
      <w:tr>
        <w:tc>
          <w:tcPr>
            <w:tcW w:type="dxa" w:w="2016"/>
            <w:tcBorders>
              <w:bottom w:val="single" w:sz="4" w:color="E5DDD0"/>
            </w:tcBorders>
          </w:tcPr>
          <w:p>
            <w:pPr>
              <w:spacing w:before="120" w:after="120"/>
            </w:pPr>
            <w:r>
              <w:rPr>
                <w:rFonts w:ascii="Helvetica Neue" w:hAnsi="Helvetica Neue" w:cs="Helvetica Neue"/>
                <w:b/>
                <w:i w:val="0"/>
                <w:caps w:val="0"/>
                <w:color w:val="2C2A28"/>
                <w:sz w:val="19"/>
              </w:rPr>
              <w:t>Weeks 3–4</w:t>
            </w:r>
          </w:p>
        </w:tc>
        <w:tc>
          <w:tcPr>
            <w:tcW w:type="dxa" w:w="7056"/>
            <w:tcBorders>
              <w:bottom w:val="single" w:sz="4" w:color="E5DDD0"/>
            </w:tcBorders>
          </w:tcPr>
          <w:p>
            <w:pPr>
              <w:spacing w:before="120" w:after="120"/>
            </w:pPr>
            <w:r>
              <w:rPr>
                <w:rFonts w:ascii="Georgia" w:hAnsi="Georgia" w:cs="Georgia"/>
                <w:b w:val="0"/>
                <w:i w:val="0"/>
                <w:caps w:val="0"/>
                <w:color w:val="2C2A28"/>
                <w:sz w:val="21"/>
              </w:rPr>
              <w:t>Platform configuration for WakeMed · LUMINA orientation · IT and network verification</w:t>
            </w:r>
          </w:p>
        </w:tc>
      </w:tr>
      <w:tr>
        <w:tc>
          <w:tcPr>
            <w:tcW w:type="dxa" w:w="2016"/>
            <w:tcBorders>
              <w:bottom w:val="single" w:sz="4" w:color="E5DDD0"/>
            </w:tcBorders>
          </w:tcPr>
          <w:p>
            <w:pPr>
              <w:spacing w:before="120" w:after="120"/>
            </w:pPr>
            <w:r>
              <w:rPr>
                <w:rFonts w:ascii="Helvetica Neue" w:hAnsi="Helvetica Neue" w:cs="Helvetica Neue"/>
                <w:b/>
                <w:i w:val="0"/>
                <w:caps w:val="0"/>
                <w:color w:val="2C2A28"/>
                <w:sz w:val="19"/>
              </w:rPr>
              <w:t>Week 5</w:t>
            </w:r>
          </w:p>
        </w:tc>
        <w:tc>
          <w:tcPr>
            <w:tcW w:type="dxa" w:w="7056"/>
            <w:tcBorders>
              <w:bottom w:val="single" w:sz="4" w:color="E5DDD0"/>
            </w:tcBorders>
          </w:tcPr>
          <w:p>
            <w:pPr>
              <w:spacing w:before="120" w:after="120"/>
            </w:pPr>
            <w:r>
              <w:rPr>
                <w:rFonts w:ascii="Georgia" w:hAnsi="Georgia" w:cs="Georgia"/>
                <w:b w:val="0"/>
                <w:i w:val="0"/>
                <w:caps w:val="0"/>
                <w:color w:val="2C2A28"/>
                <w:sz w:val="21"/>
              </w:rPr>
              <w:t>Pilot launch · first cohort assessment</w:t>
            </w:r>
          </w:p>
        </w:tc>
      </w:tr>
      <w:tr>
        <w:tc>
          <w:tcPr>
            <w:tcW w:type="dxa" w:w="2016"/>
            <w:tcBorders>
              <w:bottom w:val="single" w:sz="4" w:color="E5DDD0"/>
            </w:tcBorders>
          </w:tcPr>
          <w:p>
            <w:pPr>
              <w:spacing w:before="120" w:after="120"/>
            </w:pPr>
            <w:r>
              <w:rPr>
                <w:rFonts w:ascii="Helvetica Neue" w:hAnsi="Helvetica Neue" w:cs="Helvetica Neue"/>
                <w:b/>
                <w:i w:val="0"/>
                <w:caps w:val="0"/>
                <w:color w:val="2C2A28"/>
                <w:sz w:val="19"/>
              </w:rPr>
              <w:t>Week 17</w:t>
            </w:r>
          </w:p>
        </w:tc>
        <w:tc>
          <w:tcPr>
            <w:tcW w:type="dxa" w:w="7056"/>
            <w:tcBorders>
              <w:bottom w:val="single" w:sz="4" w:color="E5DDD0"/>
            </w:tcBorders>
          </w:tcPr>
          <w:p>
            <w:pPr>
              <w:spacing w:before="120" w:after="120"/>
            </w:pPr>
            <w:r>
              <w:rPr>
                <w:rFonts w:ascii="Georgia" w:hAnsi="Georgia" w:cs="Georgia"/>
                <w:b w:val="0"/>
                <w:i w:val="0"/>
                <w:caps w:val="0"/>
                <w:color w:val="2C2A28"/>
                <w:sz w:val="21"/>
              </w:rPr>
              <w:t>Full pilot debrief — findings, reports, Phase 2 proposal</w:t>
            </w:r>
          </w:p>
        </w:tc>
      </w:tr>
    </w:tbl>
    <w:p>
      <w:r>
        <w:br w:type="page"/>
      </w:r>
    </w:p>
    <w:p>
      <w:pPr>
        <w:spacing w:before="200" w:after="80" w:line="320" w:lineRule="auto"/>
      </w:pPr>
      <w:r>
        <w:rPr>
          <w:rFonts w:ascii="Helvetica Neue" w:hAnsi="Helvetica Neue" w:cs="Helvetica Neue"/>
          <w:b/>
          <w:i w:val="0"/>
          <w:caps w:val="0"/>
          <w:color w:val="D08840"/>
          <w:sz w:val="16"/>
          <w:spacing w:val="120"/>
        </w:rPr>
        <w:t>SECTION VIII · PRE-EMPTED OBJECTIONS</w:t>
      </w:r>
    </w:p>
    <w:p>
      <w:pPr>
        <w:spacing w:before="80" w:after="0" w:line="320" w:lineRule="auto"/>
      </w:pPr>
      <w:r>
        <w:rPr>
          <w:rFonts w:ascii="Georgia" w:hAnsi="Georgia" w:cs="Georgia"/>
          <w:b w:val="0"/>
          <w:i w:val="0"/>
          <w:caps w:val="0"/>
          <w:color w:val="2C2A28"/>
          <w:sz w:val="56"/>
        </w:rPr>
        <w:t>Say what they'll say</w:t>
      </w:r>
    </w:p>
    <w:p>
      <w:pPr>
        <w:spacing w:before="80" w:after="200" w:line="320" w:lineRule="auto"/>
      </w:pPr>
      <w:r>
        <w:rPr>
          <w:rFonts w:ascii="Georgia" w:hAnsi="Georgia" w:cs="Georgia"/>
          <w:b w:val="0"/>
          <w:i/>
          <w:caps w:val="0"/>
          <w:color w:val="2D7570"/>
          <w:sz w:val="56"/>
        </w:rPr>
        <w:t>before they say it.</w:t>
      </w:r>
    </w:p>
    <w:p>
      <w:pPr>
        <w:spacing w:before="0" w:after="160" w:line="320" w:lineRule="auto"/>
      </w:pPr>
      <w:r>
        <w:rPr>
          <w:rFonts w:ascii="Georgia" w:hAnsi="Georgia" w:cs="Georgia"/>
          <w:b w:val="0"/>
          <w:i/>
          <w:caps w:val="0"/>
          <w:color w:val="7C7A75"/>
          <w:sz w:val="22"/>
        </w:rPr>
        <w:t>The five conversations every hospital innovation team has when a new training platform shows up. Each one is named, framed, and answered below — designed to be walked through in the first five minutes of the meeting.</w:t>
      </w:r>
    </w:p>
    <w:p>
      <w:pPr>
        <w:spacing w:before="240" w:after="100" w:line="320" w:lineRule="auto"/>
      </w:pPr>
      <w:r>
        <w:rPr>
          <w:rFonts w:ascii="Helvetica Neue" w:hAnsi="Helvetica Neue" w:cs="Helvetica Neue"/>
          <w:b/>
          <w:i w:val="0"/>
          <w:caps w:val="0"/>
          <w:color w:val="2D7570"/>
          <w:sz w:val="18"/>
          <w:spacing w:val="80"/>
        </w:rPr>
        <w:t>1 · THE CME / MEDICAL-EDUCATION CONCERN</w:t>
      </w:r>
    </w:p>
    <w:p>
      <w:pPr>
        <w:spacing w:before="0" w:after="160" w:line="320" w:lineRule="auto"/>
      </w:pPr>
      <w:r>
        <w:rPr>
          <w:rFonts w:ascii="Georgia" w:hAnsi="Georgia" w:cs="Georgia"/>
          <w:b w:val="0"/>
          <w:i/>
          <w:caps w:val="0"/>
          <w:color w:val="7C7A75"/>
          <w:sz w:val="22"/>
        </w:rPr>
        <w:t>"This is going to make our department look obsolete."</w:t>
      </w:r>
    </w:p>
    <w:p>
      <w:pPr>
        <w:spacing w:before="0" w:after="160" w:line="320" w:lineRule="auto"/>
      </w:pPr>
      <w:r>
        <w:rPr>
          <w:rFonts w:ascii="Georgia" w:hAnsi="Georgia" w:cs="Georgia"/>
          <w:b w:val="0"/>
          <w:i w:val="0"/>
          <w:caps w:val="0"/>
          <w:color w:val="2C2A28"/>
          <w:sz w:val="22"/>
        </w:rPr>
        <w:t>AIWIZN is the evidence layer underneath the existing program, not a replacement for it. The education team still owns curriculum, accreditation, and institutional voice. What AIWIZN adds is per-decision telemetry the team can't get from a slide deck — so the CME chief has data to show the C-suite that the program is working.</w:t>
      </w:r>
    </w:p>
    <w:p>
      <w:pPr>
        <w:spacing w:before="240" w:after="100" w:line="320" w:lineRule="auto"/>
      </w:pPr>
      <w:r>
        <w:rPr>
          <w:rFonts w:ascii="Helvetica Neue" w:hAnsi="Helvetica Neue" w:cs="Helvetica Neue"/>
          <w:b/>
          <w:i w:val="0"/>
          <w:caps w:val="0"/>
          <w:color w:val="2D7570"/>
          <w:sz w:val="18"/>
          <w:spacing w:val="80"/>
        </w:rPr>
        <w:t>2 · THE CIO / SECURITY CONCERN</w:t>
      </w:r>
    </w:p>
    <w:p>
      <w:pPr>
        <w:spacing w:before="0" w:after="160" w:line="320" w:lineRule="auto"/>
      </w:pPr>
      <w:r>
        <w:rPr>
          <w:rFonts w:ascii="Georgia" w:hAnsi="Georgia" w:cs="Georgia"/>
          <w:b w:val="0"/>
          <w:i/>
          <w:caps w:val="0"/>
          <w:color w:val="7C7A75"/>
          <w:sz w:val="22"/>
        </w:rPr>
        <w:t>"Another insecure SaaS that creates IT work and leaks PHI."</w:t>
      </w:r>
    </w:p>
    <w:p>
      <w:pPr>
        <w:spacing w:before="0" w:after="160" w:line="320" w:lineRule="auto"/>
      </w:pPr>
      <w:r>
        <w:rPr>
          <w:rFonts w:ascii="Georgia" w:hAnsi="Georgia" w:cs="Georgia"/>
          <w:b w:val="0"/>
          <w:i w:val="0"/>
          <w:caps w:val="0"/>
          <w:color w:val="2C2A28"/>
          <w:sz w:val="22"/>
        </w:rPr>
        <w:t>Three things to know up front. One: no PHI touches AIWIZN — the patient cases are synthetic by design. Two: isolation is enforced by Postgres row-level security with per-customer policies, so WakeMed's session data cannot leak to any other tenant. Three: AIWIZN ships ScORM exports for the existing LMS, and is on a SOC-2 roadmap with single-tenant deployment available at Enterprise tier.</w:t>
      </w:r>
    </w:p>
    <w:p>
      <w:pPr>
        <w:spacing w:before="240" w:after="100" w:line="320" w:lineRule="auto"/>
      </w:pPr>
      <w:r>
        <w:rPr>
          <w:rFonts w:ascii="Helvetica Neue" w:hAnsi="Helvetica Neue" w:cs="Helvetica Neue"/>
          <w:b/>
          <w:i w:val="0"/>
          <w:caps w:val="0"/>
          <w:color w:val="2D7570"/>
          <w:sz w:val="18"/>
          <w:spacing w:val="80"/>
        </w:rPr>
        <w:t>3 · THE EDUCATION OLD-GUARD CONCERN</w:t>
      </w:r>
    </w:p>
    <w:p>
      <w:pPr>
        <w:spacing w:before="0" w:after="160" w:line="320" w:lineRule="auto"/>
      </w:pPr>
      <w:r>
        <w:rPr>
          <w:rFonts w:ascii="Georgia" w:hAnsi="Georgia" w:cs="Georgia"/>
          <w:b w:val="0"/>
          <w:i/>
          <w:caps w:val="0"/>
          <w:color w:val="7C7A75"/>
          <w:sz w:val="22"/>
        </w:rPr>
        <w:t>"PowerPoint and shadowing got us this far."</w:t>
      </w:r>
    </w:p>
    <w:p>
      <w:pPr>
        <w:spacing w:before="0" w:after="160" w:line="320" w:lineRule="auto"/>
      </w:pPr>
      <w:r>
        <w:rPr>
          <w:rFonts w:ascii="Georgia" w:hAnsi="Georgia" w:cs="Georgia"/>
          <w:b w:val="0"/>
          <w:i w:val="0"/>
          <w:caps w:val="0"/>
          <w:color w:val="2C2A28"/>
          <w:sz w:val="22"/>
        </w:rPr>
        <w:t>Their PowerPoint model isn't fighting AIWIZN — it sits underneath it. The slide-deck program covers compliance and policy literacy. AIWIZN covers the part PowerPoint structurally cannot: per-decision clinical reasoning under pressure. Both stay. The hand-off between them gets measurable for the first time.</w:t>
      </w:r>
    </w:p>
    <w:p>
      <w:pPr>
        <w:spacing w:before="240" w:after="100" w:line="320" w:lineRule="auto"/>
      </w:pPr>
      <w:r>
        <w:rPr>
          <w:rFonts w:ascii="Helvetica Neue" w:hAnsi="Helvetica Neue" w:cs="Helvetica Neue"/>
          <w:b/>
          <w:i w:val="0"/>
          <w:caps w:val="0"/>
          <w:color w:val="2D7570"/>
          <w:sz w:val="18"/>
          <w:spacing w:val="80"/>
        </w:rPr>
        <w:t>4 · THE VALUE-ADD COMMITTEE CONCERN</w:t>
      </w:r>
    </w:p>
    <w:p>
      <w:pPr>
        <w:spacing w:before="0" w:after="160" w:line="320" w:lineRule="auto"/>
      </w:pPr>
      <w:r>
        <w:rPr>
          <w:rFonts w:ascii="Georgia" w:hAnsi="Georgia" w:cs="Georgia"/>
          <w:b w:val="0"/>
          <w:i/>
          <w:caps w:val="0"/>
          <w:color w:val="7C7A75"/>
          <w:sz w:val="22"/>
        </w:rPr>
        <w:t>"Hospitals don't bet on small companies that might disappear."</w:t>
      </w:r>
    </w:p>
    <w:p>
      <w:pPr>
        <w:spacing w:before="0" w:after="160" w:line="320" w:lineRule="auto"/>
      </w:pPr>
      <w:r>
        <w:rPr>
          <w:rFonts w:ascii="Georgia" w:hAnsi="Georgia" w:cs="Georgia"/>
          <w:b w:val="0"/>
          <w:i w:val="0"/>
          <w:caps w:val="0"/>
          <w:color w:val="2C2A28"/>
          <w:sz w:val="22"/>
        </w:rPr>
        <w:t>Aten Inc. has been operating continuously for 25 years. AIWIZN is built on the same adaptive-learning methodology validated by NBME, JP Morgan, Gates, and MacArthur. The engagement is structured as a co-authored research collaboration — so WakeMed has a publication exit even if the engine doesn't pan out.</w:t>
      </w:r>
    </w:p>
    <w:p>
      <w:pPr>
        <w:spacing w:before="240" w:after="100" w:line="320" w:lineRule="auto"/>
      </w:pPr>
      <w:r>
        <w:rPr>
          <w:rFonts w:ascii="Helvetica Neue" w:hAnsi="Helvetica Neue" w:cs="Helvetica Neue"/>
          <w:b/>
          <w:i w:val="0"/>
          <w:caps w:val="0"/>
          <w:color w:val="2D7570"/>
          <w:sz w:val="18"/>
          <w:spacing w:val="80"/>
        </w:rPr>
        <w:t>5 · THE CLINICAL REVIEWER CONCERN</w:t>
      </w:r>
    </w:p>
    <w:p>
      <w:pPr>
        <w:spacing w:before="0" w:after="160" w:line="320" w:lineRule="auto"/>
      </w:pPr>
      <w:r>
        <w:rPr>
          <w:rFonts w:ascii="Georgia" w:hAnsi="Georgia" w:cs="Georgia"/>
          <w:b w:val="0"/>
          <w:i/>
          <w:caps w:val="0"/>
          <w:color w:val="7C7A75"/>
          <w:sz w:val="22"/>
        </w:rPr>
        <w:t>"Will the AI give nurses bad advice?"</w:t>
      </w:r>
    </w:p>
    <w:p>
      <w:pPr>
        <w:spacing w:before="0" w:after="160" w:line="320" w:lineRule="auto"/>
      </w:pPr>
      <w:r>
        <w:rPr>
          <w:rFonts w:ascii="Georgia" w:hAnsi="Georgia" w:cs="Georgia"/>
          <w:b w:val="0"/>
          <w:i w:val="0"/>
          <w:caps w:val="0"/>
          <w:color w:val="2C2A28"/>
          <w:sz w:val="22"/>
        </w:rPr>
        <w:t>Every scenario is reviewed against current AHA / ASA / Surviving Sepsis Campaign guidelines by Dr. Graham Snyder. WakeMed's timing targets, standing-order vocabulary, and scope-of-practice rules drive the engine's scoring at WakeMed — not a generic textbook. Any scenario change that would alter clinical content goes through a medical-reviewer approval workflow before it reaches nurses.</w:t>
      </w:r>
    </w:p>
    <w:p>
      <w:r>
        <w:br w:type="page"/>
      </w:r>
    </w:p>
    <w:p>
      <w:pPr>
        <w:spacing w:before="200" w:after="80" w:line="320" w:lineRule="auto"/>
      </w:pPr>
      <w:r>
        <w:rPr>
          <w:rFonts w:ascii="Helvetica Neue" w:hAnsi="Helvetica Neue" w:cs="Helvetica Neue"/>
          <w:b/>
          <w:i w:val="0"/>
          <w:caps w:val="0"/>
          <w:color w:val="D08840"/>
          <w:sz w:val="16"/>
          <w:spacing w:val="120"/>
        </w:rPr>
        <w:t>SECTION IX · RESEARCH PROTOCOL</w:t>
      </w:r>
    </w:p>
    <w:p>
      <w:pPr>
        <w:spacing w:before="80" w:after="0" w:line="320" w:lineRule="auto"/>
      </w:pPr>
      <w:r>
        <w:rPr>
          <w:rFonts w:ascii="Georgia" w:hAnsi="Georgia" w:cs="Georgia"/>
          <w:b w:val="0"/>
          <w:i w:val="0"/>
          <w:caps w:val="0"/>
          <w:color w:val="2C2A28"/>
          <w:sz w:val="56"/>
        </w:rPr>
        <w:t>A pre-registered study</w:t>
      </w:r>
    </w:p>
    <w:p>
      <w:pPr>
        <w:spacing w:before="80" w:after="200" w:line="320" w:lineRule="auto"/>
      </w:pPr>
      <w:r>
        <w:rPr>
          <w:rFonts w:ascii="Georgia" w:hAnsi="Georgia" w:cs="Georgia"/>
          <w:b w:val="0"/>
          <w:i/>
          <w:caps w:val="0"/>
          <w:color w:val="2D7570"/>
          <w:sz w:val="56"/>
        </w:rPr>
        <w:t>with a publication endpoint.</w:t>
      </w:r>
    </w:p>
    <w:p>
      <w:pPr>
        <w:spacing w:before="0" w:after="160" w:line="320" w:lineRule="auto"/>
      </w:pPr>
      <w:r>
        <w:rPr>
          <w:rFonts w:ascii="Georgia" w:hAnsi="Georgia" w:cs="Georgia"/>
          <w:b w:val="0"/>
          <w:i/>
          <w:caps w:val="0"/>
          <w:color w:val="7C7A75"/>
          <w:sz w:val="22"/>
        </w:rPr>
        <w:t>Working title: Effect of an AI-driven scenario-based competency platform on time-to-independent-practice and 6-month retention in newly hired registered nurses — a prospective, parallel-group, controlled study at WakeMed Health &amp; Hospitals.</w:t>
      </w:r>
    </w:p>
    <w:p>
      <w:pPr>
        <w:spacing w:before="240" w:after="100" w:line="320" w:lineRule="auto"/>
      </w:pPr>
      <w:r>
        <w:rPr>
          <w:rFonts w:ascii="Helvetica Neue" w:hAnsi="Helvetica Neue" w:cs="Helvetica Neue"/>
          <w:b/>
          <w:i w:val="0"/>
          <w:caps w:val="0"/>
          <w:color w:val="2D7570"/>
          <w:sz w:val="18"/>
          <w:spacing w:val="80"/>
        </w:rPr>
        <w:t>STUDY STRUCTURE</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Sponsor</w:t>
            </w:r>
          </w:p>
        </w:tc>
        <w:tc>
          <w:tcPr>
            <w:tcW w:type="dxa" w:w="6192"/>
            <w:tcBorders>
              <w:bottom w:val="single" w:sz="4" w:color="E5DDD0"/>
            </w:tcBorders>
          </w:tcPr>
          <w:p>
            <w:pPr>
              <w:spacing w:before="120" w:after="120"/>
            </w:pPr>
            <w:r>
              <w:rPr>
                <w:rFonts w:ascii="Georgia" w:hAnsi="Georgia" w:cs="Georgia"/>
                <w:b w:val="0"/>
                <w:i w:val="0"/>
                <w:caps w:val="0"/>
                <w:color w:val="2C2A28"/>
                <w:sz w:val="21"/>
              </w:rPr>
              <w:t>Aten Inc. (AIWIZN) — platform access, telemetry, engineering support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Site</w:t>
            </w:r>
          </w:p>
        </w:tc>
        <w:tc>
          <w:tcPr>
            <w:tcW w:type="dxa" w:w="6192"/>
            <w:tcBorders>
              <w:bottom w:val="single" w:sz="4" w:color="E5DDD0"/>
            </w:tcBorders>
          </w:tcPr>
          <w:p>
            <w:pPr>
              <w:spacing w:before="120" w:after="120"/>
            </w:pPr>
            <w:r>
              <w:rPr>
                <w:rFonts w:ascii="Georgia" w:hAnsi="Georgia" w:cs="Georgia"/>
                <w:b w:val="0"/>
                <w:i w:val="0"/>
                <w:caps w:val="0"/>
                <w:color w:val="2C2A28"/>
                <w:sz w:val="21"/>
              </w:rPr>
              <w:t>WakeMed Center for Innovative Learning, Raleigh, NC</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Senior author</w:t>
            </w:r>
          </w:p>
        </w:tc>
        <w:tc>
          <w:tcPr>
            <w:tcW w:type="dxa" w:w="6192"/>
            <w:tcBorders>
              <w:bottom w:val="single" w:sz="4" w:color="E5DDD0"/>
            </w:tcBorders>
          </w:tcPr>
          <w:p>
            <w:pPr>
              <w:spacing w:before="120" w:after="120"/>
            </w:pPr>
            <w:r>
              <w:rPr>
                <w:rFonts w:ascii="Georgia" w:hAnsi="Georgia" w:cs="Georgia"/>
                <w:b w:val="0"/>
                <w:i w:val="0"/>
                <w:caps w:val="0"/>
                <w:color w:val="2C2A28"/>
                <w:sz w:val="21"/>
              </w:rPr>
              <w:t>Dr. Graham E. Snyder, MD FACEP</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IRB pathway</w:t>
            </w:r>
          </w:p>
        </w:tc>
        <w:tc>
          <w:tcPr>
            <w:tcW w:type="dxa" w:w="6192"/>
            <w:tcBorders>
              <w:bottom w:val="single" w:sz="4" w:color="E5DDD0"/>
            </w:tcBorders>
          </w:tcPr>
          <w:p>
            <w:pPr>
              <w:spacing w:before="120" w:after="120"/>
            </w:pPr>
            <w:r>
              <w:rPr>
                <w:rFonts w:ascii="Georgia" w:hAnsi="Georgia" w:cs="Georgia"/>
                <w:b w:val="0"/>
                <w:i w:val="0"/>
                <w:caps w:val="0"/>
                <w:color w:val="2C2A28"/>
                <w:sz w:val="21"/>
              </w:rPr>
              <w:t>Expedited / minimal risk — synthetic patient cases, no PHI, employee training context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Pre-registration</w:t>
            </w:r>
          </w:p>
        </w:tc>
        <w:tc>
          <w:tcPr>
            <w:tcW w:type="dxa" w:w="6192"/>
            <w:tcBorders>
              <w:bottom w:val="single" w:sz="4" w:color="E5DDD0"/>
            </w:tcBorders>
          </w:tcPr>
          <w:p>
            <w:pPr>
              <w:spacing w:before="120" w:after="120"/>
            </w:pPr>
            <w:r>
              <w:rPr>
                <w:rFonts w:ascii="Georgia" w:hAnsi="Georgia" w:cs="Georgia"/>
                <w:b w:val="0"/>
                <w:i w:val="0"/>
                <w:caps w:val="0"/>
                <w:color w:val="2C2A28"/>
                <w:sz w:val="21"/>
              </w:rPr>
              <w:t>OSF.io prior to first enrollment — required for journal acceptability</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Design</w:t>
            </w:r>
          </w:p>
        </w:tc>
        <w:tc>
          <w:tcPr>
            <w:tcW w:type="dxa" w:w="6192"/>
            <w:tcBorders>
              <w:bottom w:val="single" w:sz="4" w:color="E5DDD0"/>
            </w:tcBorders>
          </w:tcPr>
          <w:p>
            <w:pPr>
              <w:spacing w:before="120" w:after="120"/>
            </w:pPr>
            <w:r>
              <w:rPr>
                <w:rFonts w:ascii="Georgia" w:hAnsi="Georgia" w:cs="Georgia"/>
                <w:b w:val="0"/>
                <w:i w:val="0"/>
                <w:caps w:val="0"/>
                <w:color w:val="2C2A28"/>
                <w:sz w:val="21"/>
              </w:rPr>
              <w:t>Prospective, parallel-group, controlled (cohort allocation by hire date or unit-cluster)</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Cohort</w:t>
            </w:r>
          </w:p>
        </w:tc>
        <w:tc>
          <w:tcPr>
            <w:tcW w:type="dxa" w:w="6192"/>
            <w:tcBorders>
              <w:bottom w:val="single" w:sz="4" w:color="E5DDD0"/>
            </w:tcBorders>
          </w:tcPr>
          <w:p>
            <w:pPr>
              <w:spacing w:before="120" w:after="120"/>
            </w:pPr>
            <w:r>
              <w:rPr>
                <w:rFonts w:ascii="Georgia" w:hAnsi="Georgia" w:cs="Georgia"/>
                <w:b w:val="0"/>
                <w:i w:val="0"/>
                <w:caps w:val="0"/>
                <w:color w:val="2C2A28"/>
                <w:sz w:val="21"/>
              </w:rPr>
              <w:t>Newly hired RNs assigned to med-surg or ICU at WakeMed Raleigh, n ≈ 80</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Duration</w:t>
            </w:r>
          </w:p>
        </w:tc>
        <w:tc>
          <w:tcPr>
            <w:tcW w:type="dxa" w:w="6192"/>
            <w:tcBorders>
              <w:bottom w:val="single" w:sz="4" w:color="E5DDD0"/>
            </w:tcBorders>
          </w:tcPr>
          <w:p>
            <w:pPr>
              <w:spacing w:before="120" w:after="120"/>
            </w:pPr>
            <w:r>
              <w:rPr>
                <w:rFonts w:ascii="Georgia" w:hAnsi="Georgia" w:cs="Georgia"/>
                <w:b w:val="0"/>
                <w:i w:val="0"/>
                <w:caps w:val="0"/>
                <w:color w:val="2C2A28"/>
                <w:sz w:val="21"/>
              </w:rPr>
              <w:t>~14 months from IRB approval to manuscript submission</w:t>
            </w:r>
          </w:p>
        </w:tc>
      </w:tr>
    </w:tbl>
    <w:p>
      <w:pPr>
        <w:spacing w:before="240" w:after="100" w:line="320" w:lineRule="auto"/>
      </w:pPr>
      <w:r>
        <w:rPr>
          <w:rFonts w:ascii="Helvetica Neue" w:hAnsi="Helvetica Neue" w:cs="Helvetica Neue"/>
          <w:b/>
          <w:i w:val="0"/>
          <w:caps w:val="0"/>
          <w:color w:val="2D7570"/>
          <w:sz w:val="18"/>
          <w:spacing w:val="80"/>
        </w:rPr>
        <w:t>SPECIFIC AIMS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Primary: shorter time-to-independent-practice in the intervention arm (median ≥15% reduction)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Secondary 1: knowledge retention at 6 months post-onboarding (≥10 pp delta)</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Secondary 2: first-year voluntary turnover (≥20% relative reduction)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Exploratory: per-decision behavioral patterns from the stealth assessment layer</w:t>
      </w:r>
    </w:p>
    <w:p>
      <w:pPr>
        <w:spacing w:before="240" w:after="100" w:line="320" w:lineRule="auto"/>
      </w:pPr>
      <w:r>
        <w:rPr>
          <w:rFonts w:ascii="Helvetica Neue" w:hAnsi="Helvetica Neue" w:cs="Helvetica Neue"/>
          <w:b/>
          <w:i w:val="0"/>
          <w:caps w:val="0"/>
          <w:color w:val="2D7570"/>
          <w:sz w:val="18"/>
          <w:spacing w:val="80"/>
        </w:rPr>
        <w:t>ENDPOINTS WAKEMED SHOULD SEE BEFORE THEY ASK</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Time-to-sign-off</w:t>
            </w:r>
          </w:p>
        </w:tc>
        <w:tc>
          <w:tcPr>
            <w:tcW w:type="dxa" w:w="6192"/>
            <w:tcBorders>
              <w:bottom w:val="single" w:sz="4" w:color="E5DDD0"/>
            </w:tcBorders>
          </w:tcPr>
          <w:p>
            <w:pPr>
              <w:spacing w:before="120" w:after="120"/>
            </w:pPr>
            <w:r>
              <w:rPr>
                <w:rFonts w:ascii="Georgia" w:hAnsi="Georgia" w:cs="Georgia"/>
                <w:b w:val="0"/>
                <w:i w:val="0"/>
                <w:caps w:val="0"/>
                <w:color w:val="2C2A28"/>
                <w:sz w:val="21"/>
              </w:rPr>
              <w:t>≥15% shorter in intervention arm (median)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6-month retention</w:t>
            </w:r>
          </w:p>
        </w:tc>
        <w:tc>
          <w:tcPr>
            <w:tcW w:type="dxa" w:w="6192"/>
            <w:tcBorders>
              <w:bottom w:val="single" w:sz="4" w:color="E5DDD0"/>
            </w:tcBorders>
          </w:tcPr>
          <w:p>
            <w:pPr>
              <w:spacing w:before="120" w:after="120"/>
            </w:pPr>
            <w:r>
              <w:rPr>
                <w:rFonts w:ascii="Georgia" w:hAnsi="Georgia" w:cs="Georgia"/>
                <w:b w:val="0"/>
                <w:i w:val="0"/>
                <w:caps w:val="0"/>
                <w:color w:val="2C2A28"/>
                <w:sz w:val="21"/>
              </w:rPr>
              <w:t>≥10 percentage points higher on blinded assessment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12-month turnover</w:t>
            </w:r>
          </w:p>
        </w:tc>
        <w:tc>
          <w:tcPr>
            <w:tcW w:type="dxa" w:w="6192"/>
            <w:tcBorders>
              <w:bottom w:val="single" w:sz="4" w:color="E5DDD0"/>
            </w:tcBorders>
          </w:tcPr>
          <w:p>
            <w:pPr>
              <w:spacing w:before="120" w:after="120"/>
            </w:pPr>
            <w:r>
              <w:rPr>
                <w:rFonts w:ascii="Georgia" w:hAnsi="Georgia" w:cs="Georgia"/>
                <w:b w:val="0"/>
                <w:i w:val="0"/>
                <w:caps w:val="0"/>
                <w:color w:val="2C2A28"/>
                <w:sz w:val="21"/>
              </w:rPr>
              <w:t>≥20% relative reduction in voluntary departures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Operational disruption</w:t>
            </w:r>
          </w:p>
        </w:tc>
        <w:tc>
          <w:tcPr>
            <w:tcW w:type="dxa" w:w="6192"/>
            <w:tcBorders>
              <w:bottom w:val="single" w:sz="4" w:color="E5DDD0"/>
            </w:tcBorders>
          </w:tcPr>
          <w:p>
            <w:pPr>
              <w:spacing w:before="120" w:after="120"/>
            </w:pPr>
            <w:r>
              <w:rPr>
                <w:rFonts w:ascii="Georgia" w:hAnsi="Georgia" w:cs="Georgia"/>
                <w:b w:val="0"/>
                <w:i w:val="0"/>
                <w:caps w:val="0"/>
                <w:color w:val="2C2A28"/>
                <w:sz w:val="21"/>
              </w:rPr>
              <w:t>No incremental preceptor burden; ≤30-min/week overhead</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Publication</w:t>
            </w:r>
          </w:p>
        </w:tc>
        <w:tc>
          <w:tcPr>
            <w:tcW w:type="dxa" w:w="6192"/>
            <w:tcBorders>
              <w:bottom w:val="single" w:sz="4" w:color="E5DDD0"/>
            </w:tcBorders>
          </w:tcPr>
          <w:p>
            <w:pPr>
              <w:spacing w:before="120" w:after="120"/>
            </w:pPr>
            <w:r>
              <w:rPr>
                <w:rFonts w:ascii="Georgia" w:hAnsi="Georgia" w:cs="Georgia"/>
                <w:b w:val="0"/>
                <w:i w:val="0"/>
                <w:caps w:val="0"/>
                <w:color w:val="2C2A28"/>
                <w:sz w:val="21"/>
              </w:rPr>
              <w:t>Submission to Simulation in Healthcare or equivalent within 14 months of IRB approval</w:t>
            </w:r>
          </w:p>
        </w:tc>
      </w:tr>
    </w:tbl>
    <w:p>
      <w:r>
        <w:br w:type="page"/>
      </w:r>
    </w:p>
    <w:p>
      <w:pPr>
        <w:spacing w:before="200" w:after="80" w:line="320" w:lineRule="auto"/>
      </w:pPr>
      <w:r>
        <w:rPr>
          <w:rFonts w:ascii="Helvetica Neue" w:hAnsi="Helvetica Neue" w:cs="Helvetica Neue"/>
          <w:b/>
          <w:i w:val="0"/>
          <w:caps w:val="0"/>
          <w:color w:val="D08840"/>
          <w:sz w:val="16"/>
          <w:spacing w:val="120"/>
        </w:rPr>
        <w:t>SECTION X · SECURITY &amp; COMPLIANCE</w:t>
      </w:r>
    </w:p>
    <w:p>
      <w:pPr>
        <w:spacing w:before="80" w:after="0" w:line="320" w:lineRule="auto"/>
      </w:pPr>
      <w:r>
        <w:rPr>
          <w:rFonts w:ascii="Georgia" w:hAnsi="Georgia" w:cs="Georgia"/>
          <w:b w:val="0"/>
          <w:i w:val="0"/>
          <w:caps w:val="0"/>
          <w:color w:val="2C2A28"/>
          <w:sz w:val="56"/>
        </w:rPr>
        <w:t>No PHI, by architecture.</w:t>
      </w:r>
    </w:p>
    <w:p>
      <w:pPr>
        <w:spacing w:before="80" w:after="200" w:line="320" w:lineRule="auto"/>
      </w:pPr>
      <w:r>
        <w:rPr>
          <w:rFonts w:ascii="Georgia" w:hAnsi="Georgia" w:cs="Georgia"/>
          <w:b w:val="0"/>
          <w:i/>
          <w:caps w:val="0"/>
          <w:color w:val="2D7570"/>
          <w:sz w:val="56"/>
        </w:rPr>
        <w:t>Zero net-new IT lift.</w:t>
      </w:r>
    </w:p>
    <w:p>
      <w:pPr>
        <w:spacing w:before="240" w:after="100" w:line="320" w:lineRule="auto"/>
      </w:pPr>
      <w:r>
        <w:rPr>
          <w:rFonts w:ascii="Helvetica Neue" w:hAnsi="Helvetica Neue" w:cs="Helvetica Neue"/>
          <w:b/>
          <w:i w:val="0"/>
          <w:caps w:val="0"/>
          <w:color w:val="2D7570"/>
          <w:sz w:val="18"/>
          <w:spacing w:val="80"/>
        </w:rPr>
        <w:t>DATA SCOPE</w:t>
      </w:r>
    </w:p>
    <w:p>
      <w:pPr>
        <w:spacing w:before="0" w:after="160" w:line="320" w:lineRule="auto"/>
      </w:pPr>
      <w:r>
        <w:rPr>
          <w:rFonts w:ascii="Georgia" w:hAnsi="Georgia" w:cs="Georgia"/>
          <w:b w:val="0"/>
          <w:i w:val="0"/>
          <w:caps w:val="0"/>
          <w:color w:val="2C2A28"/>
          <w:sz w:val="22"/>
        </w:rPr>
        <w:t>AIWIZN scenarios use synthetic patient cases authored by Dr. Graham Snyder and reviewed against current AHA / ASA / Surviving Sepsis Campaign guidelines. No identifiable patient data of any kind is ingested, stored, or processed.</w:t>
      </w:r>
    </w:p>
    <w:p>
      <w:pPr>
        <w:spacing w:before="240" w:after="100" w:line="320" w:lineRule="auto"/>
      </w:pPr>
      <w:r>
        <w:rPr>
          <w:rFonts w:ascii="Helvetica Neue" w:hAnsi="Helvetica Neue" w:cs="Helvetica Neue"/>
          <w:b/>
          <w:i w:val="0"/>
          <w:caps w:val="0"/>
          <w:color w:val="2D7570"/>
          <w:sz w:val="18"/>
          <w:spacing w:val="80"/>
        </w:rPr>
        <w:t>MULTI-TENANT ISOLATION</w:t>
      </w:r>
    </w:p>
    <w:p>
      <w:pPr>
        <w:spacing w:before="0" w:after="160" w:line="320" w:lineRule="auto"/>
      </w:pPr>
      <w:r>
        <w:rPr>
          <w:rFonts w:ascii="Georgia" w:hAnsi="Georgia" w:cs="Georgia"/>
          <w:b w:val="0"/>
          <w:i w:val="0"/>
          <w:caps w:val="0"/>
          <w:color w:val="2C2A28"/>
          <w:sz w:val="22"/>
        </w:rPr>
        <w:t>AIWIZN runs on Supabase (managed Postgres). Every learner-data table has Row-Level Security policies that gate every query by the authenticated user's customer_id. A WakeMed user cannot query a Duke row regardless of API path. Isolation is validated by an automated smoke test before each migration ships.</w:t>
      </w:r>
    </w:p>
    <w:p>
      <w:pPr>
        <w:spacing w:before="240" w:after="100" w:line="320" w:lineRule="auto"/>
      </w:pPr>
      <w:r>
        <w:rPr>
          <w:rFonts w:ascii="Helvetica Neue" w:hAnsi="Helvetica Neue" w:cs="Helvetica Neue"/>
          <w:b/>
          <w:i w:val="0"/>
          <w:caps w:val="0"/>
          <w:color w:val="2D7570"/>
          <w:sz w:val="18"/>
          <w:spacing w:val="80"/>
        </w:rPr>
        <w:t>COMPLIANCE ROADMAP</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SOC 2 Type II</w:t>
            </w:r>
          </w:p>
        </w:tc>
        <w:tc>
          <w:tcPr>
            <w:tcW w:type="dxa" w:w="6192"/>
            <w:tcBorders>
              <w:bottom w:val="single" w:sz="4" w:color="E5DDD0"/>
            </w:tcBorders>
          </w:tcPr>
          <w:p>
            <w:pPr>
              <w:spacing w:before="120" w:after="120"/>
            </w:pPr>
            <w:r>
              <w:rPr>
                <w:rFonts w:ascii="Georgia" w:hAnsi="Georgia" w:cs="Georgia"/>
                <w:b w:val="0"/>
                <w:i w:val="0"/>
                <w:caps w:val="0"/>
                <w:color w:val="2C2A28"/>
                <w:sz w:val="21"/>
              </w:rPr>
              <w:t>In-design (controls inventory drafted) · Q1 2027 audit target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HIPAA / BAA</w:t>
            </w:r>
          </w:p>
        </w:tc>
        <w:tc>
          <w:tcPr>
            <w:tcW w:type="dxa" w:w="6192"/>
            <w:tcBorders>
              <w:bottom w:val="single" w:sz="4" w:color="E5DDD0"/>
            </w:tcBorders>
          </w:tcPr>
          <w:p>
            <w:pPr>
              <w:spacing w:before="120" w:after="120"/>
            </w:pPr>
            <w:r>
              <w:rPr>
                <w:rFonts w:ascii="Georgia" w:hAnsi="Georgia" w:cs="Georgia"/>
                <w:b w:val="0"/>
                <w:i w:val="0"/>
                <w:caps w:val="0"/>
                <w:color w:val="2C2A28"/>
                <w:sz w:val="21"/>
              </w:rPr>
              <w:t>Not required at Founding-Customer stage; BAA available on request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HITRUST</w:t>
            </w:r>
          </w:p>
        </w:tc>
        <w:tc>
          <w:tcPr>
            <w:tcW w:type="dxa" w:w="6192"/>
            <w:tcBorders>
              <w:bottom w:val="single" w:sz="4" w:color="E5DDD0"/>
            </w:tcBorders>
          </w:tcPr>
          <w:p>
            <w:pPr>
              <w:spacing w:before="120" w:after="120"/>
            </w:pPr>
            <w:r>
              <w:rPr>
                <w:rFonts w:ascii="Georgia" w:hAnsi="Georgia" w:cs="Georgia"/>
                <w:b w:val="0"/>
                <w:i w:val="0"/>
                <w:caps w:val="0"/>
                <w:color w:val="2C2A28"/>
                <w:sz w:val="21"/>
              </w:rPr>
              <w:t>Roadmap · Q3 2027 if customer demand justifies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FedRAMP</w:t>
            </w:r>
          </w:p>
        </w:tc>
        <w:tc>
          <w:tcPr>
            <w:tcW w:type="dxa" w:w="6192"/>
            <w:tcBorders>
              <w:bottom w:val="single" w:sz="4" w:color="E5DDD0"/>
            </w:tcBorders>
          </w:tcPr>
          <w:p>
            <w:pPr>
              <w:spacing w:before="120" w:after="120"/>
            </w:pPr>
            <w:r>
              <w:rPr>
                <w:rFonts w:ascii="Georgia" w:hAnsi="Georgia" w:cs="Georgia"/>
                <w:b w:val="0"/>
                <w:i w:val="0"/>
                <w:caps w:val="0"/>
                <w:color w:val="2C2A28"/>
                <w:sz w:val="21"/>
              </w:rPr>
              <w:t>Out of scope (no federal pipeline)</w:t>
            </w:r>
          </w:p>
        </w:tc>
      </w:tr>
    </w:tbl>
    <w:p>
      <w:pPr>
        <w:spacing w:before="240" w:after="100" w:line="320" w:lineRule="auto"/>
      </w:pPr>
      <w:r>
        <w:rPr>
          <w:rFonts w:ascii="Helvetica Neue" w:hAnsi="Helvetica Neue" w:cs="Helvetica Neue"/>
          <w:b/>
          <w:i w:val="0"/>
          <w:caps w:val="0"/>
          <w:color w:val="2D7570"/>
          <w:sz w:val="18"/>
          <w:spacing w:val="80"/>
        </w:rPr>
        <w:t>DEPLOYMENT OPTIONS</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SaaS multi-tenant</w:t>
            </w:r>
          </w:p>
        </w:tc>
        <w:tc>
          <w:tcPr>
            <w:tcW w:type="dxa" w:w="6192"/>
            <w:tcBorders>
              <w:bottom w:val="single" w:sz="4" w:color="E5DDD0"/>
            </w:tcBorders>
          </w:tcPr>
          <w:p>
            <w:pPr>
              <w:spacing w:before="120" w:after="120"/>
            </w:pPr>
            <w:r>
              <w:rPr>
                <w:rFonts w:ascii="Georgia" w:hAnsi="Georgia" w:cs="Georgia"/>
                <w:b w:val="0"/>
                <w:i w:val="0"/>
                <w:caps w:val="0"/>
                <w:color w:val="2C2A28"/>
                <w:sz w:val="21"/>
              </w:rPr>
              <w:t>Shared Supabase project, RLS-enforced isolation. Default and recommended for Founding Customer.</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Single-tenant SaaS</w:t>
            </w:r>
          </w:p>
        </w:tc>
        <w:tc>
          <w:tcPr>
            <w:tcW w:type="dxa" w:w="6192"/>
            <w:tcBorders>
              <w:bottom w:val="single" w:sz="4" w:color="E5DDD0"/>
            </w:tcBorders>
          </w:tcPr>
          <w:p>
            <w:pPr>
              <w:spacing w:before="120" w:after="120"/>
            </w:pPr>
            <w:r>
              <w:rPr>
                <w:rFonts w:ascii="Georgia" w:hAnsi="Georgia" w:cs="Georgia"/>
                <w:b w:val="0"/>
                <w:i w:val="0"/>
                <w:caps w:val="0"/>
                <w:color w:val="2C2A28"/>
                <w:sz w:val="21"/>
              </w:rPr>
              <w:t>Dedicated Supabase project per customer. Enterprise tier.</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VPC-isolated</w:t>
            </w:r>
          </w:p>
        </w:tc>
        <w:tc>
          <w:tcPr>
            <w:tcW w:type="dxa" w:w="6192"/>
            <w:tcBorders>
              <w:bottom w:val="single" w:sz="4" w:color="E5DDD0"/>
            </w:tcBorders>
          </w:tcPr>
          <w:p>
            <w:pPr>
              <w:spacing w:before="120" w:after="120"/>
            </w:pPr>
            <w:r>
              <w:rPr>
                <w:rFonts w:ascii="Georgia" w:hAnsi="Georgia" w:cs="Georgia"/>
                <w:b w:val="0"/>
                <w:i w:val="0"/>
                <w:caps w:val="0"/>
                <w:color w:val="2C2A28"/>
                <w:sz w:val="21"/>
              </w:rPr>
              <w:t>Customer's AWS / Azure subscription.</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On-prem</w:t>
            </w:r>
          </w:p>
        </w:tc>
        <w:tc>
          <w:tcPr>
            <w:tcW w:type="dxa" w:w="6192"/>
            <w:tcBorders>
              <w:bottom w:val="single" w:sz="4" w:color="E5DDD0"/>
            </w:tcBorders>
          </w:tcPr>
          <w:p>
            <w:pPr>
              <w:spacing w:before="120" w:after="120"/>
            </w:pPr>
            <w:r>
              <w:rPr>
                <w:rFonts w:ascii="Georgia" w:hAnsi="Georgia" w:cs="Georgia"/>
                <w:b w:val="0"/>
                <w:i w:val="0"/>
                <w:caps w:val="0"/>
                <w:color w:val="2C2A28"/>
                <w:sz w:val="21"/>
              </w:rPr>
              <w:t>Self-hosted Postgres + static engine bundle. On contractual request only.</w:t>
            </w:r>
          </w:p>
        </w:tc>
      </w:tr>
    </w:tbl>
    <w:p>
      <w:r>
        <w:br w:type="page"/>
      </w:r>
    </w:p>
    <w:p>
      <w:pPr>
        <w:spacing w:before="200" w:after="80" w:line="320" w:lineRule="auto"/>
      </w:pPr>
      <w:r>
        <w:rPr>
          <w:rFonts w:ascii="Helvetica Neue" w:hAnsi="Helvetica Neue" w:cs="Helvetica Neue"/>
          <w:b/>
          <w:i w:val="0"/>
          <w:caps w:val="0"/>
          <w:color w:val="D08840"/>
          <w:sz w:val="16"/>
          <w:spacing w:val="120"/>
        </w:rPr>
        <w:t>SECTION XI · LMS INTEGRATION</w:t>
      </w:r>
    </w:p>
    <w:p>
      <w:pPr>
        <w:spacing w:before="80" w:after="0" w:line="320" w:lineRule="auto"/>
      </w:pPr>
      <w:r>
        <w:rPr>
          <w:rFonts w:ascii="Georgia" w:hAnsi="Georgia" w:cs="Georgia"/>
          <w:b w:val="0"/>
          <w:i w:val="0"/>
          <w:caps w:val="0"/>
          <w:color w:val="2C2A28"/>
          <w:sz w:val="56"/>
        </w:rPr>
        <w:t>ScORM-exportable to</w:t>
      </w:r>
    </w:p>
    <w:p>
      <w:pPr>
        <w:spacing w:before="80" w:after="200" w:line="320" w:lineRule="auto"/>
      </w:pPr>
      <w:r>
        <w:rPr>
          <w:rFonts w:ascii="Georgia" w:hAnsi="Georgia" w:cs="Georgia"/>
          <w:b w:val="0"/>
          <w:i/>
          <w:caps w:val="0"/>
          <w:color w:val="2D7570"/>
          <w:sz w:val="56"/>
        </w:rPr>
        <w:t>the LMS you already run.</w:t>
      </w:r>
    </w:p>
    <w:p>
      <w:pPr>
        <w:spacing w:before="0" w:after="160" w:line="320" w:lineRule="auto"/>
      </w:pPr>
      <w:r>
        <w:rPr>
          <w:rFonts w:ascii="Georgia" w:hAnsi="Georgia" w:cs="Georgia"/>
          <w:b w:val="0"/>
          <w:i w:val="0"/>
          <w:caps w:val="0"/>
          <w:color w:val="2C2A28"/>
          <w:sz w:val="22"/>
        </w:rPr>
        <w:t>Most US hospitals run their workforce-training compliance reporting through a Learning Management System: HealthStream, Cornerstone, SumTotal, Relias, or an internal Workday Learning instance. AIWIZN ships as a ScORM-export-capable platform so completion-status, score, and time-on-task pipe into the LMS gradebook automatically.</w:t>
      </w:r>
    </w:p>
    <w:p>
      <w:pPr>
        <w:spacing w:before="240" w:after="100" w:line="320" w:lineRule="auto"/>
      </w:pPr>
      <w:r>
        <w:rPr>
          <w:rFonts w:ascii="Helvetica Neue" w:hAnsi="Helvetica Neue" w:cs="Helvetica Neue"/>
          <w:b/>
          <w:i w:val="0"/>
          <w:caps w:val="0"/>
          <w:color w:val="2D7570"/>
          <w:sz w:val="18"/>
          <w:spacing w:val="80"/>
        </w:rPr>
        <w:t>ROADMAP</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Phase 1 · ScORM 1.2</w:t>
            </w:r>
          </w:p>
        </w:tc>
        <w:tc>
          <w:tcPr>
            <w:tcW w:type="dxa" w:w="6192"/>
            <w:tcBorders>
              <w:bottom w:val="single" w:sz="4" w:color="E5DDD0"/>
            </w:tcBorders>
          </w:tcPr>
          <w:p>
            <w:pPr>
              <w:spacing w:before="120" w:after="120"/>
            </w:pPr>
            <w:r>
              <w:rPr>
                <w:rFonts w:ascii="Georgia" w:hAnsi="Georgia" w:cs="Georgia"/>
                <w:b w:val="0"/>
                <w:i w:val="0"/>
                <w:caps w:val="0"/>
                <w:color w:val="2C2A28"/>
                <w:sz w:val="21"/>
              </w:rPr>
              <w:t>4 weeks · imsmanifest.xml, content folder, full schema · tested in HealthStream and Cornerstone</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Phase 2 · ScORM 2004 3rd</w:t>
            </w:r>
          </w:p>
        </w:tc>
        <w:tc>
          <w:tcPr>
            <w:tcW w:type="dxa" w:w="6192"/>
            <w:tcBorders>
              <w:bottom w:val="single" w:sz="4" w:color="E5DDD0"/>
            </w:tcBorders>
          </w:tcPr>
          <w:p>
            <w:pPr>
              <w:spacing w:before="120" w:after="120"/>
            </w:pPr>
            <w:r>
              <w:rPr>
                <w:rFonts w:ascii="Georgia" w:hAnsi="Georgia" w:cs="Georgia"/>
                <w:b w:val="0"/>
                <w:i w:val="0"/>
                <w:caps w:val="0"/>
                <w:color w:val="2C2A28"/>
                <w:sz w:val="21"/>
              </w:rPr>
              <w:t>3 weeks · sequencing rules, navigation control · tested in SumTotal and Workday Learning</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Phase 3 · xAPI / Experience API</w:t>
            </w:r>
          </w:p>
        </w:tc>
        <w:tc>
          <w:tcPr>
            <w:tcW w:type="dxa" w:w="6192"/>
            <w:tcBorders>
              <w:bottom w:val="single" w:sz="4" w:color="E5DDD0"/>
            </w:tcBorders>
          </w:tcPr>
          <w:p>
            <w:pPr>
              <w:spacing w:before="120" w:after="120"/>
            </w:pPr>
            <w:r>
              <w:rPr>
                <w:rFonts w:ascii="Georgia" w:hAnsi="Georgia" w:cs="Georgia"/>
                <w:b w:val="0"/>
                <w:i w:val="0"/>
                <w:caps w:val="0"/>
                <w:color w:val="2C2A28"/>
                <w:sz w:val="21"/>
              </w:rPr>
              <w:t>3 weeks · statements published to customer LRS endpoint</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Phase 4 · Direct API integrations</w:t>
            </w:r>
          </w:p>
        </w:tc>
        <w:tc>
          <w:tcPr>
            <w:tcW w:type="dxa" w:w="6192"/>
            <w:tcBorders>
              <w:bottom w:val="single" w:sz="4" w:color="E5DDD0"/>
            </w:tcBorders>
          </w:tcPr>
          <w:p>
            <w:pPr>
              <w:spacing w:before="120" w:after="120"/>
            </w:pPr>
            <w:r>
              <w:rPr>
                <w:rFonts w:ascii="Georgia" w:hAnsi="Georgia" w:cs="Georgia"/>
                <w:b w:val="0"/>
                <w:i w:val="0"/>
                <w:caps w:val="0"/>
                <w:color w:val="2C2A28"/>
                <w:sz w:val="21"/>
              </w:rPr>
              <w:t>2 weeks per integration · native connectors</w:t>
            </w:r>
          </w:p>
        </w:tc>
      </w:tr>
    </w:tbl>
    <w:p>
      <w:r>
        <w:br w:type="page"/>
      </w:r>
    </w:p>
    <w:p>
      <w:pPr>
        <w:spacing w:before="200" w:after="80" w:line="320" w:lineRule="auto"/>
      </w:pPr>
      <w:r>
        <w:rPr>
          <w:rFonts w:ascii="Helvetica Neue" w:hAnsi="Helvetica Neue" w:cs="Helvetica Neue"/>
          <w:b/>
          <w:i w:val="0"/>
          <w:caps w:val="0"/>
          <w:color w:val="D08840"/>
          <w:sz w:val="16"/>
          <w:spacing w:val="120"/>
        </w:rPr>
        <w:t>SECTION XII · PRICING REFERENCE</w:t>
      </w:r>
    </w:p>
    <w:p>
      <w:pPr>
        <w:spacing w:before="80" w:after="0" w:line="320" w:lineRule="auto"/>
      </w:pPr>
      <w:r>
        <w:rPr>
          <w:rFonts w:ascii="Georgia" w:hAnsi="Georgia" w:cs="Georgia"/>
          <w:b w:val="0"/>
          <w:i w:val="0"/>
          <w:caps w:val="0"/>
          <w:color w:val="2C2A28"/>
          <w:sz w:val="56"/>
        </w:rPr>
        <w:t>Founding Customer through</w:t>
      </w:r>
    </w:p>
    <w:p>
      <w:pPr>
        <w:spacing w:before="80" w:after="200" w:line="320" w:lineRule="auto"/>
      </w:pPr>
      <w:r>
        <w:rPr>
          <w:rFonts w:ascii="Georgia" w:hAnsi="Georgia" w:cs="Georgia"/>
          <w:b w:val="0"/>
          <w:i/>
          <w:caps w:val="0"/>
          <w:color w:val="2D7570"/>
          <w:sz w:val="56"/>
        </w:rPr>
        <w:t>Enterprise — annual list pricing.</w:t>
      </w:r>
    </w:p>
    <w:p>
      <w:pPr>
        <w:spacing w:before="0" w:after="160" w:line="320" w:lineRule="auto"/>
      </w:pPr>
      <w:r>
        <w:rPr>
          <w:rFonts w:ascii="Georgia" w:hAnsi="Georgia" w:cs="Georgia"/>
          <w:b w:val="0"/>
          <w:i/>
          <w:caps w:val="0"/>
          <w:color w:val="7C7A75"/>
          <w:sz w:val="22"/>
        </w:rPr>
        <w:t>Discounts available for multi-year commitments, multi-site customers, and Founding-Customer-to-Production transitions. The Founding-Customer tier replaces "pilot" framing per a strategic call: pilots are destined to die; Founding-Customer signals an investment relationship.</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Founding Customer</w:t>
            </w:r>
          </w:p>
        </w:tc>
        <w:tc>
          <w:tcPr>
            <w:tcW w:type="dxa" w:w="6192"/>
            <w:tcBorders>
              <w:bottom w:val="single" w:sz="4" w:color="E5DDD0"/>
            </w:tcBorders>
          </w:tcPr>
          <w:p>
            <w:pPr>
              <w:spacing w:before="120" w:after="120"/>
            </w:pPr>
            <w:r>
              <w:rPr>
                <w:rFonts w:ascii="Georgia" w:hAnsi="Georgia" w:cs="Georgia"/>
                <w:b w:val="0"/>
                <w:i w:val="0"/>
                <w:caps w:val="0"/>
                <w:color w:val="2C2A28"/>
                <w:sz w:val="21"/>
              </w:rPr>
              <w:t>$50K · milestone-billed: $5K execution · $15K day 30 · $20K day 90 · $10K month 12</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Starter</w:t>
            </w:r>
          </w:p>
        </w:tc>
        <w:tc>
          <w:tcPr>
            <w:tcW w:type="dxa" w:w="6192"/>
            <w:tcBorders>
              <w:bottom w:val="single" w:sz="4" w:color="E5DDD0"/>
            </w:tcBorders>
          </w:tcPr>
          <w:p>
            <w:pPr>
              <w:spacing w:before="120" w:after="120"/>
            </w:pPr>
            <w:r>
              <w:rPr>
                <w:rFonts w:ascii="Georgia" w:hAnsi="Georgia" w:cs="Georgia"/>
                <w:b w:val="0"/>
                <w:i w:val="0"/>
                <w:caps w:val="0"/>
                <w:color w:val="2C2A28"/>
                <w:sz w:val="21"/>
              </w:rPr>
              <w:t>$75K · annual, upfront · 25 seats · single engine</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Pro</w:t>
            </w:r>
          </w:p>
        </w:tc>
        <w:tc>
          <w:tcPr>
            <w:tcW w:type="dxa" w:w="6192"/>
            <w:tcBorders>
              <w:bottom w:val="single" w:sz="4" w:color="E5DDD0"/>
            </w:tcBorders>
          </w:tcPr>
          <w:p>
            <w:pPr>
              <w:spacing w:before="120" w:after="120"/>
            </w:pPr>
            <w:r>
              <w:rPr>
                <w:rFonts w:ascii="Georgia" w:hAnsi="Georgia" w:cs="Georgia"/>
                <w:b w:val="0"/>
                <w:i w:val="0"/>
                <w:caps w:val="0"/>
                <w:color w:val="2C2A28"/>
                <w:sz w:val="21"/>
              </w:rPr>
              <w:t>$250K · annual or quarterly · 250 seats · all 3 engines · SSO · clinical-overrides propose-only</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Enterprise</w:t>
            </w:r>
          </w:p>
        </w:tc>
        <w:tc>
          <w:tcPr>
            <w:tcW w:type="dxa" w:w="6192"/>
            <w:tcBorders>
              <w:bottom w:val="single" w:sz="4" w:color="E5DDD0"/>
            </w:tcBorders>
          </w:tcPr>
          <w:p>
            <w:pPr>
              <w:spacing w:before="120" w:after="120"/>
            </w:pPr>
            <w:r>
              <w:rPr>
                <w:rFonts w:ascii="Georgia" w:hAnsi="Georgia" w:cs="Georgia"/>
                <w:b w:val="0"/>
                <w:i w:val="0"/>
                <w:caps w:val="0"/>
                <w:color w:val="2C2A28"/>
                <w:sz w:val="21"/>
              </w:rPr>
              <w:t>$500K starting · annual, custom · unlimited seats · SSO required · single-tenant SaaS or VPC-isolated</w:t>
            </w:r>
          </w:p>
        </w:tc>
      </w:tr>
    </w:tbl>
    <w:p>
      <w:pPr>
        <w:spacing w:before="240" w:after="100" w:line="320" w:lineRule="auto"/>
      </w:pPr>
      <w:r>
        <w:rPr>
          <w:rFonts w:ascii="Helvetica Neue" w:hAnsi="Helvetica Neue" w:cs="Helvetica Neue"/>
          <w:b/>
          <w:i w:val="0"/>
          <w:caps w:val="0"/>
          <w:color w:val="2D7570"/>
          <w:sz w:val="18"/>
          <w:spacing w:val="80"/>
        </w:rPr>
        <w:t>WHY THE FOUNDING-CUSTOMER STRUCTURE WORKS FOR WAKEMED</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Total economic commitment ($50K) sits at roughly 1/5 of an equivalent Pro-tier license</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Cash flow is milestone-aligned — first revenue trigger lands at execution, not at month 14</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Each milestone aligns to a real operational deliverable, so WakeMed never pays for value not delivered</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Most-favored-customer rates for the first 24 months post-term if WakeMed continues to a production engagement</w:t>
      </w:r>
    </w:p>
    <w:p>
      <w:r>
        <w:br w:type="page"/>
      </w:r>
    </w:p>
    <w:p>
      <w:pPr>
        <w:spacing w:before="200" w:after="80" w:line="320" w:lineRule="auto"/>
      </w:pPr>
      <w:r>
        <w:rPr>
          <w:rFonts w:ascii="Helvetica Neue" w:hAnsi="Helvetica Neue" w:cs="Helvetica Neue"/>
          <w:b/>
          <w:i w:val="0"/>
          <w:caps w:val="0"/>
          <w:color w:val="D08840"/>
          <w:sz w:val="16"/>
          <w:spacing w:val="120"/>
        </w:rPr>
        <w:t>SECTION XIII · FOUNDING CUSTOMER AGREEMENT</w:t>
      </w:r>
    </w:p>
    <w:p>
      <w:pPr>
        <w:spacing w:before="80" w:after="0" w:line="320" w:lineRule="auto"/>
      </w:pPr>
      <w:r>
        <w:rPr>
          <w:rFonts w:ascii="Georgia" w:hAnsi="Georgia" w:cs="Georgia"/>
          <w:b w:val="0"/>
          <w:i w:val="0"/>
          <w:caps w:val="0"/>
          <w:color w:val="2C2A28"/>
          <w:sz w:val="56"/>
        </w:rPr>
        <w:t>The legal structure,</w:t>
      </w:r>
    </w:p>
    <w:p>
      <w:pPr>
        <w:spacing w:before="80" w:after="200" w:line="320" w:lineRule="auto"/>
      </w:pPr>
      <w:r>
        <w:rPr>
          <w:rFonts w:ascii="Georgia" w:hAnsi="Georgia" w:cs="Georgia"/>
          <w:b w:val="0"/>
          <w:i/>
          <w:caps w:val="0"/>
          <w:color w:val="2D7570"/>
          <w:sz w:val="56"/>
        </w:rPr>
        <w:t>in plain language.</w:t>
      </w:r>
    </w:p>
    <w:p>
      <w:pPr>
        <w:spacing w:before="0" w:after="160" w:line="320" w:lineRule="auto"/>
      </w:pPr>
      <w:r>
        <w:rPr>
          <w:rFonts w:ascii="Georgia" w:hAnsi="Georgia" w:cs="Georgia"/>
          <w:b w:val="0"/>
          <w:i/>
          <w:caps w:val="0"/>
          <w:color w:val="7C7A75"/>
          <w:sz w:val="22"/>
        </w:rPr>
        <w:t>Effective date: ______ · Parties: Aten Inc. ("AIWIZN") and WakeMed Health &amp; Hospitals ("WakeMed") · Term: 14 months from execution, extendable by mutual written consent · Authorized signatories: Thomas K Vaidhyan (AIWIZN, CEO) and ______ (WakeMed, ______).</w:t>
      </w:r>
    </w:p>
    <w:p>
      <w:pPr>
        <w:spacing w:before="240" w:after="100" w:line="320" w:lineRule="auto"/>
      </w:pPr>
      <w:r>
        <w:rPr>
          <w:rFonts w:ascii="Helvetica Neue" w:hAnsi="Helvetica Neue" w:cs="Helvetica Neue"/>
          <w:b/>
          <w:i w:val="0"/>
          <w:caps w:val="0"/>
          <w:color w:val="2D7570"/>
          <w:sz w:val="18"/>
          <w:spacing w:val="80"/>
        </w:rPr>
        <w:t>1 · PURPOSE</w:t>
      </w:r>
    </w:p>
    <w:p>
      <w:pPr>
        <w:spacing w:before="0" w:after="160" w:line="320" w:lineRule="auto"/>
      </w:pPr>
      <w:r>
        <w:rPr>
          <w:rFonts w:ascii="Georgia" w:hAnsi="Georgia" w:cs="Georgia"/>
          <w:b w:val="0"/>
          <w:i w:val="0"/>
          <w:caps w:val="0"/>
          <w:color w:val="2C2A28"/>
          <w:sz w:val="22"/>
        </w:rPr>
        <w:t>This agreement establishes a milestone-billed Founding-Customer engagement of the AIWIZN clinical training platform at WakeMed, paired with a parallel research collaboration to characterize the platform's effect on nurse onboarding time-to-competency, knowledge retention, and 12-month retention.</w:t>
      </w:r>
    </w:p>
    <w:p>
      <w:pPr>
        <w:spacing w:before="240" w:after="100" w:line="320" w:lineRule="auto"/>
      </w:pPr>
      <w:r>
        <w:rPr>
          <w:rFonts w:ascii="Helvetica Neue" w:hAnsi="Helvetica Neue" w:cs="Helvetica Neue"/>
          <w:b/>
          <w:i w:val="0"/>
          <w:caps w:val="0"/>
          <w:color w:val="2D7570"/>
          <w:sz w:val="18"/>
          <w:spacing w:val="80"/>
        </w:rPr>
        <w:t>2 · SCOPE</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Up to 80 newly hired RNs designated for inclusion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AIWIZN provisions WakeMed as a tenant with WakeMed-configured protocols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AIWIZN supplies: platform access, configuration support, telemetry data, statistical-analysis assistance</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WakeMed Education supplies: preceptor sign-off records, baseline data, operational coordination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Dr. Graham Snyder serves as Senior Author and Medical Reviewer</w:t>
      </w:r>
    </w:p>
    <w:p>
      <w:pPr>
        <w:spacing w:before="240" w:after="100" w:line="320" w:lineRule="auto"/>
      </w:pPr>
      <w:r>
        <w:rPr>
          <w:rFonts w:ascii="Helvetica Neue" w:hAnsi="Helvetica Neue" w:cs="Helvetica Neue"/>
          <w:b/>
          <w:i w:val="0"/>
          <w:caps w:val="0"/>
          <w:color w:val="2D7570"/>
          <w:sz w:val="18"/>
          <w:spacing w:val="80"/>
        </w:rPr>
        <w:t>3 · PRICING — MILESTONE-BILLED STRUCTURE</w:t>
      </w:r>
    </w:p>
    <w:tbl>
      <w:tblPr>
        <w:tblW w:type="auto" w:w="0"/>
        <w:jc w:val="left"/>
        <w:tblLayout w:type="fixed"/>
        <w:tblLook w:firstColumn="1" w:firstRow="1" w:lastColumn="0" w:lastRow="0" w:noHBand="0" w:noVBand="1" w:val="04A0"/>
      </w:tblPr>
      <w:tblGrid>
        <w:gridCol w:w="4320"/>
        <w:gridCol w:w="4320"/>
      </w:tblGrid>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1 · Execution and provisioning</w:t>
            </w:r>
          </w:p>
        </w:tc>
        <w:tc>
          <w:tcPr>
            <w:tcW w:type="dxa" w:w="6192"/>
            <w:tcBorders>
              <w:bottom w:val="single" w:sz="4" w:color="E5DDD0"/>
            </w:tcBorders>
          </w:tcPr>
          <w:p>
            <w:pPr>
              <w:spacing w:before="120" w:after="120"/>
            </w:pPr>
            <w:r>
              <w:rPr>
                <w:rFonts w:ascii="Georgia" w:hAnsi="Georgia" w:cs="Georgia"/>
                <w:b w:val="0"/>
                <w:i w:val="0"/>
                <w:caps w:val="0"/>
                <w:color w:val="2C2A28"/>
                <w:sz w:val="21"/>
              </w:rPr>
              <w:t>$5,000 · Day 0 · agreement countersigned, WakeMed tenant configured, IRB submission package delivered</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2 · Cohort 1 onboarded</w:t>
            </w:r>
          </w:p>
        </w:tc>
        <w:tc>
          <w:tcPr>
            <w:tcW w:type="dxa" w:w="6192"/>
            <w:tcBorders>
              <w:bottom w:val="single" w:sz="4" w:color="E5DDD0"/>
            </w:tcBorders>
          </w:tcPr>
          <w:p>
            <w:pPr>
              <w:spacing w:before="120" w:after="120"/>
            </w:pPr>
            <w:r>
              <w:rPr>
                <w:rFonts w:ascii="Georgia" w:hAnsi="Georgia" w:cs="Georgia"/>
                <w:b w:val="0"/>
                <w:i w:val="0"/>
                <w:caps w:val="0"/>
                <w:color w:val="2C2A28"/>
                <w:sz w:val="21"/>
              </w:rPr>
              <w:t>$15,000 · ~Day 30 · first 20 nurses enrolled, baseline assessment captured</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3 · Mid-study interim review</w:t>
            </w:r>
          </w:p>
        </w:tc>
        <w:tc>
          <w:tcPr>
            <w:tcW w:type="dxa" w:w="6192"/>
            <w:tcBorders>
              <w:bottom w:val="single" w:sz="4" w:color="E5DDD0"/>
            </w:tcBorders>
          </w:tcPr>
          <w:p>
            <w:pPr>
              <w:spacing w:before="120" w:after="120"/>
            </w:pPr>
            <w:r>
              <w:rPr>
                <w:rFonts w:ascii="Georgia" w:hAnsi="Georgia" w:cs="Georgia"/>
                <w:b w:val="0"/>
                <w:i w:val="0"/>
                <w:caps w:val="0"/>
                <w:color w:val="2C2A28"/>
                <w:sz w:val="21"/>
              </w:rPr>
              <w:t>$20,000 · ~Day 90 · 30+ nurses completed assigned scenarios</w:t>
            </w:r>
          </w:p>
        </w:tc>
      </w:tr>
      <w:tr>
        <w:tc>
          <w:tcPr>
            <w:tcW w:type="dxa" w:w="2880"/>
            <w:tcBorders>
              <w:bottom w:val="single" w:sz="4" w:color="E5DDD0"/>
            </w:tcBorders>
          </w:tcPr>
          <w:p>
            <w:pPr>
              <w:spacing w:before="120" w:after="120"/>
            </w:pPr>
            <w:r>
              <w:rPr>
                <w:rFonts w:ascii="Helvetica Neue" w:hAnsi="Helvetica Neue" w:cs="Helvetica Neue"/>
                <w:b/>
                <w:i w:val="0"/>
                <w:caps w:val="0"/>
                <w:color w:val="2C2A28"/>
                <w:sz w:val="19"/>
              </w:rPr>
              <w:t>4 · Pre-publication data lock</w:t>
            </w:r>
          </w:p>
        </w:tc>
        <w:tc>
          <w:tcPr>
            <w:tcW w:type="dxa" w:w="6192"/>
            <w:tcBorders>
              <w:bottom w:val="single" w:sz="4" w:color="E5DDD0"/>
            </w:tcBorders>
          </w:tcPr>
          <w:p>
            <w:pPr>
              <w:spacing w:before="120" w:after="120"/>
            </w:pPr>
            <w:r>
              <w:rPr>
                <w:rFonts w:ascii="Georgia" w:hAnsi="Georgia" w:cs="Georgia"/>
                <w:b w:val="0"/>
                <w:i w:val="0"/>
                <w:caps w:val="0"/>
                <w:color w:val="2C2A28"/>
                <w:sz w:val="21"/>
              </w:rPr>
              <w:t>$10,000 · ~Month 12 · all cohorts completed, 6-month retention data captured</w:t>
            </w:r>
          </w:p>
        </w:tc>
      </w:tr>
    </w:tbl>
    <w:p>
      <w:pPr>
        <w:spacing w:before="0" w:after="160" w:line="320" w:lineRule="auto"/>
      </w:pPr>
      <w:r>
        <w:rPr>
          <w:rFonts w:ascii="Georgia" w:hAnsi="Georgia" w:cs="Georgia"/>
          <w:b w:val="0"/>
          <w:i w:val="0"/>
          <w:caps w:val="0"/>
          <w:color w:val="2C2A28"/>
          <w:sz w:val="22"/>
        </w:rPr>
        <w:t>This is a discounted Founding-Customer rate — list pricing for an equivalent Pro-tier engagement is $250,000 annually.</w:t>
      </w:r>
    </w:p>
    <w:p>
      <w:pPr>
        <w:spacing w:before="240" w:after="100" w:line="320" w:lineRule="auto"/>
      </w:pPr>
      <w:r>
        <w:rPr>
          <w:rFonts w:ascii="Helvetica Neue" w:hAnsi="Helvetica Neue" w:cs="Helvetica Neue"/>
          <w:b/>
          <w:i w:val="0"/>
          <w:caps w:val="0"/>
          <w:color w:val="2D7570"/>
          <w:sz w:val="18"/>
          <w:spacing w:val="80"/>
        </w:rPr>
        <w:t>4 · DATA OWNERSHIP</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WakeMed's institutional data remains the property of WakeMed and is not transferred to AIWIZN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Platform telemetry is stored in AIWIZN's Supabase with WakeMed-scoped RLS and accessible to both parties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Aggregate findings are jointly owned and may be published by either party with co-author credit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No PHI is transferred under this agreement; all scenario content is synthetic</w:t>
      </w:r>
    </w:p>
    <w:p>
      <w:r>
        <w:br w:type="page"/>
      </w:r>
    </w:p>
    <w:p>
      <w:pPr>
        <w:spacing w:before="800" w:after="0" w:line="320" w:lineRule="auto"/>
      </w:pPr>
    </w:p>
    <w:p>
      <w:pPr>
        <w:spacing w:before="200" w:after="80" w:line="320" w:lineRule="auto"/>
      </w:pPr>
      <w:r>
        <w:rPr>
          <w:rFonts w:ascii="Helvetica Neue" w:hAnsi="Helvetica Neue" w:cs="Helvetica Neue"/>
          <w:b/>
          <w:i w:val="0"/>
          <w:caps w:val="0"/>
          <w:color w:val="D08840"/>
          <w:sz w:val="16"/>
          <w:spacing w:val="120"/>
        </w:rPr>
        <w:t>THE NEXT STEP</w:t>
      </w:r>
    </w:p>
    <w:p>
      <w:pPr>
        <w:spacing w:before="80" w:after="0" w:line="320" w:lineRule="auto"/>
      </w:pPr>
      <w:r>
        <w:rPr>
          <w:rFonts w:ascii="Georgia" w:hAnsi="Georgia" w:cs="Georgia"/>
          <w:b w:val="0"/>
          <w:i w:val="0"/>
          <w:caps w:val="0"/>
          <w:color w:val="2C2A28"/>
          <w:sz w:val="64"/>
        </w:rPr>
        <w:t>Let's scope a pilot in one</w:t>
      </w:r>
    </w:p>
    <w:p>
      <w:pPr>
        <w:spacing w:before="80" w:after="300" w:line="320" w:lineRule="auto"/>
      </w:pPr>
      <w:r>
        <w:rPr>
          <w:rFonts w:ascii="Georgia" w:hAnsi="Georgia" w:cs="Georgia"/>
          <w:b w:val="0"/>
          <w:i/>
          <w:caps w:val="0"/>
          <w:color w:val="2D7570"/>
          <w:sz w:val="64"/>
        </w:rPr>
        <w:t>high-acuity unit.</w:t>
      </w:r>
    </w:p>
    <w:p>
      <w:pPr>
        <w:spacing w:before="0" w:after="300" w:line="320" w:lineRule="auto"/>
      </w:pPr>
      <w:r>
        <w:rPr>
          <w:rFonts w:ascii="Georgia" w:hAnsi="Georgia" w:cs="Georgia"/>
          <w:b w:val="0"/>
          <w:i w:val="0"/>
          <w:caps w:val="0"/>
          <w:color w:val="2C2A28"/>
          <w:sz w:val="22"/>
        </w:rPr>
        <w:t>Walkthrough of the live engine. WakeMed-configured scenario set. Single-unit pilot scope and success metrics.</w:t>
      </w:r>
    </w:p>
    <w:p>
      <w:pPr>
        <w:spacing w:before="200" w:after="80" w:line="320" w:lineRule="auto"/>
      </w:pPr>
      <w:r>
        <w:rPr>
          <w:rFonts w:ascii="Helvetica Neue" w:hAnsi="Helvetica Neue" w:cs="Helvetica Neue"/>
          <w:b/>
          <w:i w:val="0"/>
          <w:caps w:val="0"/>
          <w:color w:val="2D7570"/>
          <w:sz w:val="16"/>
          <w:spacing w:val="120"/>
        </w:rPr>
        <w:t>DIRECT LINE</w:t>
      </w:r>
    </w:p>
    <w:p>
      <w:pPr>
        <w:spacing w:before="0" w:after="20" w:line="320" w:lineRule="auto"/>
      </w:pPr>
      <w:r>
        <w:rPr>
          <w:rFonts w:ascii="Georgia" w:hAnsi="Georgia" w:cs="Georgia"/>
          <w:b/>
          <w:i w:val="0"/>
          <w:caps w:val="0"/>
          <w:color w:val="2C2A28"/>
          <w:sz w:val="28"/>
        </w:rPr>
        <w:t>Thomas K. Vaidhyan</w:t>
      </w:r>
    </w:p>
    <w:p>
      <w:pPr>
        <w:spacing w:before="0" w:after="80" w:line="320" w:lineRule="auto"/>
      </w:pPr>
      <w:r>
        <w:rPr>
          <w:rFonts w:ascii="Georgia" w:hAnsi="Georgia" w:cs="Georgia"/>
          <w:b w:val="0"/>
          <w:i/>
          <w:caps w:val="0"/>
          <w:color w:val="7C7A75"/>
          <w:sz w:val="22"/>
        </w:rPr>
        <w:t>Founder &amp; CEO · AIWIZN / Aten Inc.</w:t>
      </w:r>
    </w:p>
    <w:p>
      <w:pPr>
        <w:spacing w:before="0" w:after="0" w:line="320" w:lineRule="auto"/>
      </w:pPr>
      <w:r>
        <w:rPr>
          <w:rFonts w:ascii="Georgia" w:hAnsi="Georgia" w:cs="Georgia"/>
          <w:b w:val="0"/>
          <w:i w:val="0"/>
          <w:caps w:val="0"/>
          <w:color w:val="2D7570"/>
          <w:sz w:val="22"/>
        </w:rPr>
        <w:t>thomas@ateninc.com</w:t>
      </w:r>
    </w:p>
    <w:p>
      <w:pPr>
        <w:spacing w:before="0" w:after="200" w:line="320" w:lineRule="auto"/>
      </w:pPr>
      <w:r>
        <w:rPr>
          <w:rFonts w:ascii="Georgia" w:hAnsi="Georgia" w:cs="Georgia"/>
          <w:b w:val="0"/>
          <w:i w:val="0"/>
          <w:caps w:val="0"/>
          <w:color w:val="2C2A28"/>
          <w:sz w:val="22"/>
        </w:rPr>
        <w:t>+1.919.341.8234</w:t>
      </w:r>
    </w:p>
    <w:p>
      <w:pPr>
        <w:spacing w:before="0" w:after="0" w:line="320" w:lineRule="auto"/>
      </w:pPr>
      <w:r>
        <w:rPr>
          <w:rFonts w:ascii="Georgia" w:hAnsi="Georgia" w:cs="Georgia"/>
          <w:b w:val="0"/>
          <w:i/>
          <w:caps w:val="0"/>
          <w:color w:val="D08840"/>
          <w:sz w:val="22"/>
        </w:rPr>
        <w:t>demo.aiwizn.com · live clinical engine</w:t>
      </w:r>
    </w:p>
    <w:sectPr>
      <w:headerReference w:type="default" r:id="rId4"/>
      <w:footerReference w:type="default" r:id="rId5"/>
      <w:pgSz w:w="12240" w:h="15840" w:orient="portrait"/>
      <w:pgMar w:top="2160" w:right="1800" w:bottom="1800" w:left="180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Helvetica Neue Light">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p>
  <w:p>
    <w:pPr>
      <w:pStyle w:val="Header &amp; Footer"/>
      <w:tabs>
        <w:tab w:val="center" w:pos="4320"/>
        <w:tab w:val="right" w:pos="8640"/>
        <w:tab w:val="clear" w:pos="9020"/>
      </w:tabs>
      <w:jc w:val="left"/>
      <w:rPr>
        <w:rFonts w:ascii="Helvetica Neue Light" w:cs="Helvetica Neue Light" w:hAnsi="Helvetica Neue Light" w:eastAsia="Helvetica Neue Light"/>
        <w:caps w:val="1"/>
        <w:outline w:val="0"/>
        <w:color w:val="808080"/>
        <w:spacing w:val="169"/>
        <w:position w:val="28"/>
        <w:sz w:val="20"/>
        <w:szCs w:val="20"/>
        <w:lang w:val="en-US"/>
        <w14:textFill>
          <w14:solidFill>
            <w14:srgbClr w14:val="808080"/>
          </w14:solidFill>
        </w14:textFill>
      </w:rPr>
    </w:pPr>
    <w:r>
      <w:rPr>
        <w:rFonts w:ascii="Helvetica Neue Light" w:hAnsi="Helvetica Neue Light"/>
        <w:caps w:val="1"/>
        <w:outline w:val="0"/>
        <w:color w:val="808080"/>
        <w:spacing w:val="169"/>
        <w:position w:val="28"/>
        <w:sz w:val="20"/>
        <w:szCs w:val="20"/>
        <w:lang w:val="en-US"/>
        <w14:textFill>
          <w14:solidFill>
            <w14:srgbClr w14:val="808080"/>
          </w14:solidFill>
        </w14:textFill>
      </w:rPr>
      <w:tab/>
    </w:r>
    <w:r>
      <w:rPr>
        <w:rFonts w:ascii="Helvetica Neue Light" w:cs="Arial Unicode MS" w:hAnsi="Helvetica Neue Light" w:eastAsia="Arial Unicode MS"/>
        <w:b w:val="0"/>
        <w:bCs w:val="0"/>
        <w:i w:val="0"/>
        <w:iCs w:val="0"/>
        <w:caps w:val="1"/>
        <w:outline w:val="0"/>
        <w:color w:val="808080"/>
        <w:spacing w:val="169"/>
        <w:position w:val="28"/>
        <w:sz w:val="20"/>
        <w:szCs w:val="20"/>
        <w:rtl w:val="0"/>
        <w:lang w:val="en-US"/>
        <w14:textFill>
          <w14:solidFill>
            <w14:srgbClr w14:val="808080"/>
          </w14:solidFill>
        </w14:textFill>
      </w:rPr>
      <w:t>imagination Unlimited</w:t>
    </w:r>
  </w:p>
  <w:p>
    <w:pPr>
      <w:pStyle w:val="Header &amp; Footer"/>
      <w:tabs>
        <w:tab w:val="center" w:pos="4320"/>
        <w:tab w:val="right" w:pos="8640"/>
        <w:tab w:val="clear" w:pos="9020"/>
      </w:tabs>
      <w:jc w:val="left"/>
      <w:rPr>
        <w:rFonts w:ascii="Helvetica Neue Light" w:cs="Helvetica Neue Light" w:hAnsi="Helvetica Neue Light" w:eastAsia="Helvetica Neue Light"/>
        <w:caps w:val="1"/>
        <w:spacing w:val="-1"/>
        <w:position w:val="-2"/>
        <w:sz w:val="16"/>
        <w:szCs w:val="16"/>
        <w:lang w:val="en-US"/>
      </w:rPr>
    </w:pPr>
    <w:r>
      <w:rPr>
        <w:rFonts w:ascii="Helvetica Neue Light" w:cs="Helvetica Neue Light" w:hAnsi="Helvetica Neue Light" w:eastAsia="Helvetica Neue Light"/>
        <w:caps w:val="1"/>
        <w:spacing w:val="-1"/>
        <w:position w:val="-2"/>
        <w:sz w:val="16"/>
        <w:szCs w:val="16"/>
        <w:lang w:val="en-US"/>
      </w:rPr>
      <w:tab/>
    </w:r>
    <w:r>
      <w:rPr>
        <w:rFonts w:ascii="Arial Unicode MS" w:cs="Arial Unicode MS" w:hAnsi="Arial Unicode MS" w:eastAsia="Arial Unicode MS" w:hint="default"/>
        <w:b w:val="0"/>
        <w:bCs w:val="0"/>
        <w:i w:val="0"/>
        <w:iCs w:val="0"/>
        <w:caps w:val="1"/>
        <w:outline w:val="0"/>
        <w:color w:val="7a7a7a"/>
        <w:spacing w:val="-1"/>
        <w:position w:val="-2"/>
        <w:sz w:val="16"/>
        <w:szCs w:val="16"/>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6"/>
        <w:szCs w:val="16"/>
        <w:rtl w:val="0"/>
        <w:lang w:val="en-US"/>
        <w14:textFill>
          <w14:solidFill>
            <w14:srgbClr w14:val="7A7A7A"/>
          </w14:solidFill>
        </w14:textFill>
      </w:rPr>
      <w:t xml:space="preserve"> AIWIZN</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PO 12521, Research Triangle Park, Durham, NC 27709-2521</w:t>
    </w:r>
  </w:p>
  <w:p>
    <w:pPr>
      <w:pStyle w:val="Header &amp; Footer"/>
      <w:tabs>
        <w:tab w:val="center" w:pos="4320"/>
        <w:tab w:val="right" w:pos="8640"/>
        <w:tab w:val="clear" w:pos="9020"/>
      </w:tabs>
      <w:jc w:val="left"/>
    </w:pPr>
    <w:r>
      <w:rPr>
        <w:rFonts w:ascii="Helvetica Neue Light" w:cs="Helvetica Neue Light" w:hAnsi="Helvetica Neue Light" w:eastAsia="Helvetica Neue Light"/>
        <w:caps w:val="1"/>
        <w:spacing w:val="-1"/>
        <w:position w:val="-2"/>
        <w:sz w:val="14"/>
        <w:szCs w:val="14"/>
        <w:lang w:val="en-US"/>
      </w:rPr>
      <w:tab/>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begin" w:fldLock="0"/>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instrText xml:space="preserve"> HYPERLINK "http://www.aiwizn.com"</w:instrText>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separate" w:fldLock="0"/>
    </w:r>
    <w:r>
      <w:rPr>
        <w:rStyle w:val="Hyperlink.0"/>
        <w:rFonts w:ascii="Helvetica Neue Light" w:cs="Arial Unicode MS" w:hAnsi="Helvetica Neue Light" w:eastAsia="Arial Unicode MS"/>
        <w:b w:val="0"/>
        <w:bCs w:val="0"/>
        <w:i w:val="0"/>
        <w:iCs w:val="0"/>
        <w:caps w:val="1"/>
        <w:spacing w:val="-1"/>
        <w:position w:val="-2"/>
        <w:sz w:val="14"/>
        <w:szCs w:val="14"/>
        <w:u w:val="single"/>
        <w:rtl w:val="0"/>
        <w:lang w:val="en-US"/>
      </w:rPr>
      <w:t>www.aiwizn.com</w:t>
    </w:r>
    <w:r>
      <w:rPr>
        <w:rFonts w:ascii="Helvetica Neue Light" w:cs="Helvetica Neue Light" w:hAnsi="Helvetica Neue Light" w:eastAsia="Helvetica Neue Light"/>
        <w:caps w:val="1"/>
        <w:spacing w:val="-1"/>
        <w:position w:val="-2"/>
        <w:sz w:val="14"/>
        <w:szCs w:val="14"/>
        <w:lang w:val="en-US"/>
      </w:rPr>
      <w:fldChar w:fldCharType="end" w:fldLock="0"/>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Arial Unicode MS" w:cs="Arial Unicode MS" w:hAnsi="Arial Unicode MS" w:eastAsia="Arial Unicode MS" w:hint="default"/>
        <w:b w:val="0"/>
        <w:bCs w:val="0"/>
        <w:i w:val="0"/>
        <w:iCs w:val="0"/>
        <w:caps w:val="1"/>
        <w:outline w:val="0"/>
        <w:color w:val="7a7a7a"/>
        <w:spacing w:val="-1"/>
        <w:position w:val="-2"/>
        <w:sz w:val="14"/>
        <w:szCs w:val="14"/>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Tel: 919.</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341.8234</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tab/>
    </w:r>
    <w:r>
      <w:drawing xmlns:a="http://schemas.openxmlformats.org/drawingml/2006/main">
        <wp:inline distT="0" distB="0" distL="0" distR="0">
          <wp:extent cx="2474656" cy="707045"/>
          <wp:effectExtent l="0" t="0" r="0" b="0"/>
          <wp:docPr id="1073741825" name="officeArt object" descr="aiwizn_logo_white.svg"/>
          <wp:cNvGraphicFramePr/>
          <a:graphic xmlns:a="http://schemas.openxmlformats.org/drawingml/2006/main">
            <a:graphicData uri="http://schemas.openxmlformats.org/drawingml/2006/picture">
              <pic:pic xmlns:pic="http://schemas.openxmlformats.org/drawingml/2006/picture">
                <pic:nvPicPr>
                  <pic:cNvPr id="1073741825" name="aiwizn_logo_white.svg" descr="aiwizn_logo_white.svg"/>
                  <pic:cNvPicPr>
                    <a:picLocks noChangeAspect="1"/>
                  </pic:cNvPicPr>
                </pic:nvPicPr>
                <pic:blipFill>
                  <a:blip r:embed="rId1">
                    <a:extLst/>
                  </a:blip>
                  <a:stretch>
                    <a:fillRect/>
                  </a:stretch>
                </pic:blipFill>
                <pic:spPr>
                  <a:xfrm>
                    <a:off x="0" y="0"/>
                    <a:ext cx="2474656" cy="707045"/>
                  </a:xfrm>
                  <a:prstGeom prst="rect">
                    <a:avLst/>
                  </a:prstGeom>
                  <a:ln w="12700" cap="flat">
                    <a:noFill/>
                    <a:miter lim="400000"/>
                  </a:ln>
                  <a:effectLst/>
                </pic:spPr>
              </pic:pic>
            </a:graphicData>
          </a:graphic>
        </wp:inline>
      </w:drawing>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rFonts w:ascii="Helvetica Neue Light" w:cs="Helvetica Neue Light" w:hAnsi="Helvetica Neue Light" w:eastAsia="Helvetica Neue Light"/>
      <w:b w:val="0"/>
      <w:bCs w:val="0"/>
      <w:i w:val="0"/>
      <w:iCs w:val="0"/>
      <w:caps w:val="1"/>
      <w:spacing w:val="-1"/>
      <w:position w:val="-2"/>
      <w:sz w:val="14"/>
      <w:szCs w:val="14"/>
      <w:u w:val="singl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