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spacing w:before="200" w:after="120"/>
              <w:jc w:val="center"/>
            </w:pPr>
            <w:r>
              <w:rPr>
                <w:rFonts w:ascii="Arial" w:cs="Arial" w:eastAsia="Arial" w:hAnsi="Arial"/>
                <w:b/>
                <w:bCs/>
                <w:color w:val="AACFE8"/>
                <w:sz w:val="28"/>
                <w:szCs w:val="28"/>
              </w:rPr>
              <w:t xml:space="preserve">APPLIPRO</w:t>
            </w:r>
          </w:p>
          <w:p>
            <w:pPr>
              <w:spacing w:before="0" w:after="40"/>
              <w:jc w:val="center"/>
            </w:pPr>
            <w:r>
              <w:rPr>
                <w:rFonts w:ascii="Arial" w:cs="Arial" w:eastAsia="Arial" w:hAnsi="Arial"/>
                <w:b/>
                <w:bCs/>
                <w:color w:val="FFFFFF"/>
                <w:sz w:val="52"/>
                <w:szCs w:val="52"/>
              </w:rPr>
              <w:t xml:space="preserve">Module Entretiens Individuels</w:t>
            </w:r>
          </w:p>
          <w:p>
            <w:pPr>
              <w:spacing w:before="40" w:after="200"/>
              <w:jc w:val="center"/>
            </w:pPr>
            <w:r>
              <w:rPr>
                <w:rFonts w:ascii="Arial" w:cs="Arial" w:eastAsia="Arial" w:hAnsi="Arial"/>
                <w:i/>
                <w:iCs/>
                <w:color w:val="AACFE8"/>
                <w:sz w:val="26"/>
                <w:szCs w:val="26"/>
              </w:rPr>
              <w:t xml:space="preserve">Cahier des charges fonctionnel — Groupe Transport Jeantais</w:t>
            </w:r>
          </w:p>
        </w:tc>
      </w:tr>
    </w:tbl>
    <w:p>
      <w:pPr>
        <w:spacing w:before="24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c>
          <w:tcPr>
            <w:tcW w:type="dxa" w:w="470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40" w:after="80"/>
            </w:pPr>
            <w:r>
              <w:rPr>
                <w:rFonts w:ascii="Arial" w:cs="Arial" w:eastAsia="Arial" w:hAnsi="Arial"/>
                <w:b/>
                <w:bCs/>
                <w:color w:val="1F4E79"/>
                <w:sz w:val="20"/>
                <w:szCs w:val="20"/>
              </w:rPr>
              <w:t xml:space="preserve">Client</w:t>
            </w:r>
          </w:p>
          <w:p>
            <w:pPr>
              <w:spacing w:before="0" w:after="40"/>
            </w:pPr>
            <w:r>
              <w:rPr>
                <w:rFonts w:ascii="Arial" w:cs="Arial" w:eastAsia="Arial" w:hAnsi="Arial"/>
                <w:color w:val="404040"/>
                <w:sz w:val="22"/>
                <w:szCs w:val="22"/>
              </w:rPr>
              <w:t xml:space="preserve">Groupe Transport Jeantais</w:t>
            </w:r>
          </w:p>
          <w:p>
            <w:pPr>
              <w:spacing w:before="80" w:after="80"/>
            </w:pPr>
            <w:r>
              <w:rPr>
                <w:rFonts w:ascii="Arial" w:cs="Arial" w:eastAsia="Arial" w:hAnsi="Arial"/>
                <w:b/>
                <w:bCs/>
                <w:color w:val="1F4E79"/>
                <w:sz w:val="20"/>
                <w:szCs w:val="20"/>
              </w:rPr>
              <w:t xml:space="preserve">Secteur</w:t>
            </w:r>
          </w:p>
          <w:p>
            <w:pPr>
              <w:spacing w:before="0" w:after="40"/>
            </w:pPr>
            <w:r>
              <w:rPr>
                <w:rFonts w:ascii="Arial" w:cs="Arial" w:eastAsia="Arial" w:hAnsi="Arial"/>
                <w:color w:val="404040"/>
                <w:sz w:val="22"/>
                <w:szCs w:val="22"/>
              </w:rPr>
              <w:t xml:space="preserve">Transport &amp; Logistique</w:t>
            </w:r>
          </w:p>
          <w:p>
            <w:pPr>
              <w:spacing w:before="80" w:after="80"/>
            </w:pPr>
            <w:r>
              <w:rPr>
                <w:rFonts w:ascii="Arial" w:cs="Arial" w:eastAsia="Arial" w:hAnsi="Arial"/>
                <w:b/>
                <w:bCs/>
                <w:color w:val="1F4E79"/>
                <w:sz w:val="20"/>
                <w:szCs w:val="20"/>
              </w:rPr>
              <w:t xml:space="preserve">Entités</w:t>
            </w:r>
          </w:p>
          <w:p>
            <w:pPr>
              <w:spacing w:before="0" w:after="40"/>
            </w:pPr>
            <w:r>
              <w:rPr>
                <w:rFonts w:ascii="Arial" w:cs="Arial" w:eastAsia="Arial" w:hAnsi="Arial"/>
                <w:color w:val="404040"/>
                <w:sz w:val="22"/>
                <w:szCs w:val="22"/>
              </w:rPr>
              <w:t xml:space="preserve">5-6 sociétés (S2PL, Jeantais, Pontarlier, Beaune, Scott, Chemloc)</w:t>
            </w:r>
          </w:p>
        </w:tc>
        <w:tc>
          <w:tcPr>
            <w:tcW w:type="dxa" w:w="4938"/>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40" w:after="80"/>
            </w:pPr>
            <w:r>
              <w:rPr>
                <w:rFonts w:ascii="Arial" w:cs="Arial" w:eastAsia="Arial" w:hAnsi="Arial"/>
                <w:b/>
                <w:bCs/>
                <w:color w:val="1F4E79"/>
                <w:sz w:val="20"/>
                <w:szCs w:val="20"/>
              </w:rPr>
              <w:t xml:space="preserve">Population cible</w:t>
            </w:r>
          </w:p>
          <w:p>
            <w:pPr>
              <w:spacing w:before="0" w:after="40"/>
            </w:pPr>
            <w:r>
              <w:rPr>
                <w:rFonts w:ascii="Arial" w:cs="Arial" w:eastAsia="Arial" w:hAnsi="Arial"/>
                <w:color w:val="404040"/>
                <w:sz w:val="22"/>
                <w:szCs w:val="22"/>
              </w:rPr>
              <w:t xml:space="preserve">~225 collaborateurs (conducteurs + sédentaires)</w:t>
            </w:r>
          </w:p>
          <w:p>
            <w:pPr>
              <w:spacing w:before="80" w:after="80"/>
            </w:pPr>
            <w:r>
              <w:rPr>
                <w:rFonts w:ascii="Arial" w:cs="Arial" w:eastAsia="Arial" w:hAnsi="Arial"/>
                <w:b/>
                <w:bCs/>
                <w:color w:val="1F4E79"/>
                <w:sz w:val="20"/>
                <w:szCs w:val="20"/>
              </w:rPr>
              <w:t xml:space="preserve">SIRH existant</w:t>
            </w:r>
          </w:p>
          <w:p>
            <w:pPr>
              <w:spacing w:before="0" w:after="40"/>
            </w:pPr>
            <w:r>
              <w:rPr>
                <w:rFonts w:ascii="Arial" w:cs="Arial" w:eastAsia="Arial" w:hAnsi="Arial"/>
                <w:color w:val="404040"/>
                <w:sz w:val="22"/>
                <w:szCs w:val="22"/>
              </w:rPr>
              <w:t xml:space="preserve">Aucun — logiciel de paie Sage uniquement</w:t>
            </w:r>
          </w:p>
          <w:p>
            <w:pPr>
              <w:spacing w:before="80" w:after="80"/>
            </w:pPr>
            <w:r>
              <w:rPr>
                <w:rFonts w:ascii="Arial" w:cs="Arial" w:eastAsia="Arial" w:hAnsi="Arial"/>
                <w:b/>
                <w:bCs/>
                <w:color w:val="1F4E79"/>
                <w:sz w:val="20"/>
                <w:szCs w:val="20"/>
              </w:rPr>
              <w:t xml:space="preserve">Interlocutrice</w:t>
            </w:r>
          </w:p>
          <w:p>
            <w:pPr>
              <w:spacing w:before="0" w:after="40"/>
            </w:pPr>
            <w:r>
              <w:rPr>
                <w:rFonts w:ascii="Arial" w:cs="Arial" w:eastAsia="Arial" w:hAnsi="Arial"/>
                <w:color w:val="404040"/>
                <w:sz w:val="22"/>
                <w:szCs w:val="22"/>
              </w:rPr>
              <w:t xml:space="preserve">Directrice Achats / QHSE &amp; Chef de projet — en lien avec la DRH</w:t>
            </w:r>
          </w:p>
        </w:tc>
      </w:tr>
    </w:tbl>
    <w:p>
      <w:pPr>
        <w:spacing w:before="200" w:after="0"/>
      </w:pPr>
      <w:r>
        <w:t xml:space="preserve"/>
      </w:r>
    </w:p>
    <w:p>
      <w:pPr>
        <w:spacing w:before="0" w:after="80"/>
      </w:pPr>
      <w:r>
        <w:rPr>
          <w:rFonts w:ascii="Arial" w:cs="Arial" w:eastAsia="Arial" w:hAnsi="Arial"/>
          <w:i/>
          <w:iCs/>
          <w:color w:val="999999"/>
          <w:sz w:val="18"/>
          <w:szCs w:val="18"/>
        </w:rPr>
        <w:t xml:space="preserve">Document établi à partir de la consultation du 18 février 2026 — Usage interne Applipro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1. CONTEXTE ET ENJEUX</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1.1 Situation actuelle</w:t>
      </w:r>
    </w:p>
    <w:p>
      <w:pPr>
        <w:spacing w:before="80" w:after="80"/>
      </w:pPr>
      <w:r>
        <w:rPr>
          <w:rFonts w:ascii="Arial" w:cs="Arial" w:eastAsia="Arial" w:hAnsi="Arial"/>
          <w:color w:val="404040"/>
          <w:sz w:val="22"/>
          <w:szCs w:val="22"/>
        </w:rPr>
        <w:t xml:space="preserve">Le Groupe Transport Jeantais gère aujourd'hui ses entretiens individuels via des formulaires papier imprimés. La direction a exprimé un fort mécontentement quant à ce mode de fonctionnement, notamment en raison de :</w:t>
      </w:r>
    </w:p>
    <w:p>
      <w:pPr>
        <w:spacing w:before="6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L'absence de traçabilité et de suivi centralisé des entretiens réalisés</w:t>
      </w:r>
    </w:p>
    <w:p>
      <w:pPr>
        <w:pStyle w:val="ListParagraph"/>
        <w:numPr>
          <w:ilvl w:val="0"/>
          <w:numId w:val="2"/>
        </w:numPr>
        <w:spacing w:before="60" w:after="60"/>
      </w:pPr>
      <w:r>
        <w:rPr>
          <w:rFonts w:ascii="Arial" w:cs="Arial" w:eastAsia="Arial" w:hAnsi="Arial"/>
          <w:color w:val="404040"/>
          <w:sz w:val="22"/>
          <w:szCs w:val="22"/>
        </w:rPr>
        <w:t xml:space="preserve">Un faible taux de complétion : les collaborateurs et managers repoussent systématiquement la saisie</w:t>
      </w:r>
    </w:p>
    <w:p>
      <w:pPr>
        <w:pStyle w:val="ListParagraph"/>
        <w:numPr>
          <w:ilvl w:val="0"/>
          <w:numId w:val="2"/>
        </w:numPr>
        <w:spacing w:before="60" w:after="60"/>
      </w:pPr>
      <w:r>
        <w:rPr>
          <w:rFonts w:ascii="Arial" w:cs="Arial" w:eastAsia="Arial" w:hAnsi="Arial"/>
          <w:color w:val="404040"/>
          <w:sz w:val="22"/>
          <w:szCs w:val="22"/>
        </w:rPr>
        <w:t xml:space="preserve">Aucune consolidation automatique des besoins en formation — la DRH doit lire chaque entretien manuellement</w:t>
      </w:r>
    </w:p>
    <w:p>
      <w:pPr>
        <w:pStyle w:val="ListParagraph"/>
        <w:numPr>
          <w:ilvl w:val="0"/>
          <w:numId w:val="2"/>
        </w:numPr>
        <w:spacing w:before="60" w:after="60"/>
      </w:pPr>
      <w:r>
        <w:rPr>
          <w:rFonts w:ascii="Arial" w:cs="Arial" w:eastAsia="Arial" w:hAnsi="Arial"/>
          <w:color w:val="404040"/>
          <w:sz w:val="22"/>
          <w:szCs w:val="22"/>
        </w:rPr>
        <w:t xml:space="preserve">Une gestion multi-entités complexe sans vision transversale</w:t>
      </w:r>
    </w:p>
    <w:p>
      <w:pPr>
        <w:pStyle w:val="ListParagraph"/>
        <w:numPr>
          <w:ilvl w:val="0"/>
          <w:numId w:val="2"/>
        </w:numPr>
        <w:spacing w:before="60" w:after="60"/>
      </w:pPr>
      <w:r>
        <w:rPr>
          <w:rFonts w:ascii="Arial" w:cs="Arial" w:eastAsia="Arial" w:hAnsi="Arial"/>
          <w:color w:val="404040"/>
          <w:sz w:val="22"/>
          <w:szCs w:val="22"/>
        </w:rPr>
        <w:t xml:space="preserve">Une population de conducteurs sans adresse mail professionnelle ni accès ordinateur</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1.2 Objectifs du module</w:t>
      </w:r>
    </w:p>
    <w:p>
      <w:pPr>
        <w:spacing w:before="80" w:after="80"/>
      </w:pPr>
      <w:r>
        <w:rPr>
          <w:rFonts w:ascii="Arial" w:cs="Arial" w:eastAsia="Arial" w:hAnsi="Arial"/>
          <w:color w:val="404040"/>
          <w:sz w:val="22"/>
          <w:szCs w:val="22"/>
        </w:rPr>
        <w:t xml:space="preserve">Le module entretiens individuels doit permettre de digitaliser l'ensemble du cycle d'entretien annuel, de la préparation à la validation finale, tout en restant accessible aux profils les moins digitalisés (conducteurs, opérationnels terrain). Il doit également générer automatiquement les données nécessaires au pilotage RH (plan de formation, indicateurs RSE, suivi des compétences).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1.3 Concurrents évalués par le client</w:t>
      </w:r>
    </w:p>
    <w:p>
      <w:pPr>
        <w:spacing w:before="80" w:after="80"/>
      </w:pPr>
      <w:r>
        <w:rPr>
          <w:rFonts w:ascii="Arial" w:cs="Arial" w:eastAsia="Arial" w:hAnsi="Arial"/>
          <w:color w:val="404040"/>
          <w:sz w:val="22"/>
          <w:szCs w:val="22"/>
        </w:rPr>
        <w:t xml:space="preserve">Le groupe a déjà consulté plusieurs éditeurs spécialisés avant de soumettre ce besoin à Applipro :</w:t>
      </w:r>
    </w:p>
    <w:p>
      <w:pPr>
        <w:spacing w:before="6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Lucca — offre SIRH large avec module entretien</w:t>
      </w:r>
    </w:p>
    <w:p>
      <w:pPr>
        <w:pStyle w:val="ListParagraph"/>
        <w:numPr>
          <w:ilvl w:val="0"/>
          <w:numId w:val="2"/>
        </w:numPr>
        <w:spacing w:before="60" w:after="60"/>
      </w:pPr>
      <w:r>
        <w:rPr>
          <w:rFonts w:ascii="Arial" w:cs="Arial" w:eastAsia="Arial" w:hAnsi="Arial"/>
          <w:color w:val="404040"/>
          <w:sz w:val="22"/>
          <w:szCs w:val="22"/>
        </w:rPr>
        <w:t xml:space="preserve">Zest — spécialisé entretien, montée en compétences et communication interne</w:t>
      </w:r>
    </w:p>
    <w:p>
      <w:pPr>
        <w:pStyle w:val="ListParagraph"/>
        <w:numPr>
          <w:ilvl w:val="0"/>
          <w:numId w:val="2"/>
        </w:numPr>
        <w:spacing w:before="60" w:after="60"/>
      </w:pPr>
      <w:r>
        <w:rPr>
          <w:rFonts w:ascii="Arial" w:cs="Arial" w:eastAsia="Arial" w:hAnsi="Arial"/>
          <w:color w:val="404040"/>
          <w:sz w:val="22"/>
          <w:szCs w:val="22"/>
        </w:rPr>
        <w:t xml:space="preserve">Up RH by Arketeam — SIRH global avec module entretien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Positionnement prix observé</w:t>
            </w:r>
          </w:p>
          <w:p>
            <w:pPr>
              <w:spacing w:before="40" w:after="40"/>
            </w:pPr>
            <w:r>
              <w:rPr>
                <w:rFonts w:ascii="Arial" w:cs="Arial" w:eastAsia="Arial" w:hAnsi="Arial"/>
                <w:color w:val="404040"/>
                <w:sz w:val="21"/>
                <w:szCs w:val="21"/>
              </w:rPr>
              <w:t xml:space="preserve">Abonnement récurrent : entre 3 €/pers/mois et 5-6 €/pers/mois. Mise en place : de 850 € (paramétrage simplifié) à ~10 000 € (accompagnement complet 10 jours). Maintenance annuelle complémentaire : jusqu'à 1 550 €/an selon prestataire.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2. ACTEURS ET PROFILS UTILISATEURS</w:t>
            </w:r>
          </w:p>
        </w:tc>
      </w:tr>
    </w:tbl>
    <w:p>
      <w:pPr>
        <w:spacing w:before="120" w:after="0"/>
      </w:pPr>
      <w:r>
        <w:t xml:space="preserve"/>
      </w:r>
    </w:p>
    <w:p>
      <w:pPr>
        <w:spacing w:before="80" w:after="80"/>
      </w:pPr>
      <w:r>
        <w:rPr>
          <w:rFonts w:ascii="Arial" w:cs="Arial" w:eastAsia="Arial" w:hAnsi="Arial"/>
          <w:color w:val="404040"/>
          <w:sz w:val="22"/>
          <w:szCs w:val="22"/>
        </w:rPr>
        <w:t xml:space="preserve">Le module implique trois profils distincts avec des droits et vues différenciés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Collaborateur / Salarié</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Accède à son formulaire de pré-entretien, suit ses objectifs en cours d'année, signe son compte-rendu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Conducteur, sédentaire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Manager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Prépare l'entretien de ses collaborateurs, conduit la session, valide le CR, a accès à son tableau de bord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Responsable d'équipe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DRH / Administrateur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Vision globale multi-entités, consolidation des besoins formation, indicateurs RSE, pilotage des campagnes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 Groupe, RH par entité</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3. SPÉCIFICATIONS FONCTIONNELLES DÉTAILLÉES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3.1 Accessibilité et authentification</w:t>
      </w:r>
    </w:p>
    <w:p>
      <w:pPr>
        <w:spacing w:before="80" w:after="80"/>
      </w:pPr>
      <w:r>
        <w:rPr>
          <w:rFonts w:ascii="Arial" w:cs="Arial" w:eastAsia="Arial" w:hAnsi="Arial"/>
          <w:color w:val="404040"/>
          <w:sz w:val="22"/>
          <w:szCs w:val="22"/>
        </w:rPr>
        <w:t xml:space="preserve">Contrainte critique identifiée : les conducteurs ne disposent pas d'adresse mail professionnelle et n'ont pas accès à un ordinateur. L'accès doit donc être possible depuis un téléphone personnel.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Multi-support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Accès via smartphone, tablette ou ordinateur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Tous profils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Authentification simple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Login / mot de passe sans obligation d'email professionnel — lien d'accès possible par SMS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Notifications push et mail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Alertes envoyées pour chaque action requise (préparation, relance, validation, clôture)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Tous profils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Interface ultra-simplifiée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Navigation intuitive, grands boutons, formulaires sans listes déroulantes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3.2 Gestion des campagnes d'entretien</w:t>
      </w:r>
    </w:p>
    <w:p>
      <w:pPr>
        <w:spacing w:before="80" w:after="80"/>
      </w:pPr>
      <w:r>
        <w:rPr>
          <w:rFonts w:ascii="Arial" w:cs="Arial" w:eastAsia="Arial" w:hAnsi="Arial"/>
          <w:color w:val="404040"/>
          <w:sz w:val="22"/>
          <w:szCs w:val="22"/>
        </w:rPr>
        <w:t xml:space="preserve">L'administrateur (DRH) pilote les campagnes d'entretien depuis le back-office. Chaque campagne est définie par une plage de dates et peut être déclinée par entité, service ou groupe de collaborateurs.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Création de campagne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Définition d'une période d'ouverture et de clôture (ex : 1er jan. → 30 avr.), assignment par groupe ou entité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Trames différenciées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Possibilité de créer des formulaires distincts par métier (conducteur vs sédentaire vs 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Déclenchement automatique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Envoi automatique du formulaire aux collaborateurs concernés à l'ouverture de campagne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Système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Gestion multi-entités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Campagne globale ou par société, avec tableau de bord distinct par entité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DRH</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3.3 Phase de préparation (avant entretien)</w:t>
      </w:r>
    </w:p>
    <w:p>
      <w:pPr>
        <w:spacing w:before="200" w:after="80"/>
      </w:pPr>
      <w:r>
        <w:rPr>
          <w:rFonts w:ascii="Arial" w:cs="Arial" w:eastAsia="Arial" w:hAnsi="Arial"/>
          <w:b/>
          <w:bCs/>
          <w:color w:val="404040"/>
          <w:sz w:val="22"/>
          <w:szCs w:val="22"/>
        </w:rPr>
        <w:t xml:space="preserve">3.3.1 Côté collaborateur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Formulaire de pré-entretien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Accès à sa trame personnalisée depuis n'importe quel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Mode brouillon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Saisie progressive, enregistrement automatique, retour possible jusqu'à la date d'entretien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Évaluation qualitative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Notation via étoiles, smileys ou jauges colorées (rouge/orange/vert) sur des critères de bien-être et satisfaction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Champs libres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Zones de saisie libre pour compléter les notations ou exprimer des remarques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Suivi des objectifs N-1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Visualisation des objectifs fixés lors du dernier entretien avec possibilité de renseigner son avancement en % tout au long de l'année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Besoins en formation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Champ dédié pour exprimer ses souhaits de formation de manière libre (sans bibliothèque imposée)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Auto-évaluation compétences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Évaluation de ses compétences actuelles par rapport aux exigences de son poste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bl>
    <w:p>
      <w:pPr>
        <w:spacing w:before="120" w:after="0"/>
      </w:pPr>
      <w:r>
        <w:t xml:space="preserve"/>
      </w:r>
    </w:p>
    <w:p>
      <w:pPr>
        <w:spacing w:before="200" w:after="80"/>
      </w:pPr>
      <w:r>
        <w:rPr>
          <w:rFonts w:ascii="Arial" w:cs="Arial" w:eastAsia="Arial" w:hAnsi="Arial"/>
          <w:b/>
          <w:bCs/>
          <w:color w:val="404040"/>
          <w:sz w:val="22"/>
          <w:szCs w:val="22"/>
        </w:rPr>
        <w:t xml:space="preserve">3.3.2 Côté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Formulaire 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Trame distincte pour préparer l'entretien de chaque collaborateur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Mode brouillon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Mêmes possibilités d'enregistrement progressif que le collaborateur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Vision de son portefeuille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Tableau de bord listant tous ses entretiens : à planifier / planifié / en cours / terminé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Rappels automatiques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Notifications de relance si des entretiens ne sont pas planifiés ou complétés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Système → Manager</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3.4 Session d'entretien (en face-à-face)</w:t>
      </w:r>
    </w:p>
    <w:p>
      <w:pPr>
        <w:spacing w:before="80" w:after="80"/>
      </w:pPr>
      <w:r>
        <w:rPr>
          <w:rFonts w:ascii="Arial" w:cs="Arial" w:eastAsia="Arial" w:hAnsi="Arial"/>
          <w:color w:val="404040"/>
          <w:sz w:val="22"/>
          <w:szCs w:val="22"/>
        </w:rPr>
        <w:t xml:space="preserve">L'entretien reste prioritairement réalisé en présentiel. Le module doit faciliter la conduite de la session sans s'y substituer.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Vue comparative 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Affichage côte à côte des réponses du collaborateur et celles du manager pour faciliter la discussion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Prise de notes en séance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Champ de saisie disponible pour le manager pendant l'entretien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Définition des objectifs N+1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Saisie des nouveaux objectifs, mesurables, avec indicateur de progression à mettre à jour durant l'année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 + 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Décisions de formation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Enregistrement des besoins identifiés pendant l'entretien (en complément ou en remplacement des souhaits exprimés)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Manager + DRH</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3.5 Phase de validation et signature</w:t>
      </w:r>
    </w:p>
    <w:p>
      <w:pPr>
        <w:spacing w:before="80" w:after="80"/>
      </w:pPr>
      <w:r>
        <w:rPr>
          <w:rFonts w:ascii="Arial" w:cs="Arial" w:eastAsia="Arial" w:hAnsi="Arial"/>
          <w:color w:val="404040"/>
          <w:sz w:val="22"/>
          <w:szCs w:val="22"/>
        </w:rPr>
        <w:t xml:space="preserve">À l'issue de l'entretien, un circuit de validation en boucle est mis en place jusqu'à accord des deux parties.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Accès au CR pour le collaborateur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Lecture du compte-rendu complété pendant l'entretien, en dehors de la séance, au calme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Remarques du collaborateur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Champ dédié pour annoter le CR sans pouvoir modifier le contenu validé en séance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Validation collaborateur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Signature électronique ou validation numérique du compte-rendu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Notification manager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Alerte automatique au manager dès validation ou remarque du collaborateur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Système →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Boucle de révision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Si remarques émises : nouvelle rencontre possible, puis re-validation des deux parties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 + 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Clôture et notification DRH</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Alerte DRH automatique quand l'entretien est entièrement validé par les deux parties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Système → DRH</w:t>
            </w:r>
          </w:p>
        </w:tc>
      </w:tr>
    </w:tbl>
    <w:p>
      <w:pPr>
        <w:spacing w:before="120" w:after="0"/>
      </w:pPr>
      <w:r>
        <w:t xml:space="preserve"/>
      </w:r>
    </w:p>
    <w:p>
      <w:pPr>
        <w:spacing w:before="80" w:after="80"/>
        <w:ind w:left="360"/>
      </w:pPr>
      <w:r>
        <w:rPr>
          <w:rFonts w:ascii="Arial" w:cs="Arial" w:eastAsia="Arial" w:hAnsi="Arial"/>
          <w:i/>
          <w:iCs/>
          <w:color w:val="666666"/>
          <w:sz w:val="20"/>
          <w:szCs w:val="20"/>
        </w:rPr>
        <w:t xml:space="preserve">💡 La signature électronique peut être intégrée via le module YouSign déjà disponible dans Applipro.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4. TABLEAUX DE BORD ET PILOTAGE</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4.1 Tableau de bord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Suivi de son périmètre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Vue de tous ses collaborateurs avec statut d'avancement de l'entretien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Indicateurs clés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Nombre d'entretiens : total / planifiés / en cours / clôturés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Alertes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Entretiens non démarrés ou en retard mis en évidence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Manager</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4.2 Tableau de bord DRH — vision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Vue multi-entités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Suivi par société, puis par service, puis par collaborateur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Taux de complétion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Pourcentage d'entretiens clôturés par entité et global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Consolidation formation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Extraction automatique de tous les besoins en formation identifiés, triés par : entité / service / collaborateur / type de 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Indicateurs RSE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Suivi du % de formations non-obligatoires réalisées par entité (reporting RSE)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Cartographie des compétences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Vue agrégée des écarts compétences/poste pour anticiper les besoins futurs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Export Excel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Extraction de l'ensemble des données pour traitement externe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DRH</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5. GESTION DES OBJECTIFS ET DES COMPÉTENCES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5.1 Suivi des objectifs en cours d'année</w:t>
      </w:r>
    </w:p>
    <w:p>
      <w:pPr>
        <w:spacing w:before="80" w:after="80"/>
      </w:pPr>
      <w:r>
        <w:rPr>
          <w:rFonts w:ascii="Arial" w:cs="Arial" w:eastAsia="Arial" w:hAnsi="Arial"/>
          <w:color w:val="404040"/>
          <w:sz w:val="22"/>
          <w:szCs w:val="22"/>
        </w:rPr>
        <w:t xml:space="preserve">Entre deux entretiens, le collaborateur dispose d'un mini-tableau de bord personnel lui permettant de suivre l'avancement de ses objectifs. Ce suivi est autonome et permet une préparation plus qualitative du prochain entretien.</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Objectifs définis lors de l'entretien, mesurables et datés</w:t>
      </w:r>
    </w:p>
    <w:p>
      <w:pPr>
        <w:pStyle w:val="ListParagraph"/>
        <w:numPr>
          <w:ilvl w:val="0"/>
          <w:numId w:val="2"/>
        </w:numPr>
        <w:spacing w:before="60" w:after="60"/>
      </w:pPr>
      <w:r>
        <w:rPr>
          <w:rFonts w:ascii="Arial" w:cs="Arial" w:eastAsia="Arial" w:hAnsi="Arial"/>
          <w:color w:val="404040"/>
          <w:sz w:val="22"/>
          <w:szCs w:val="22"/>
        </w:rPr>
        <w:t xml:space="preserve">Indicateur de progression en % mis à jour librement par le collaborateur</w:t>
      </w:r>
    </w:p>
    <w:p>
      <w:pPr>
        <w:pStyle w:val="ListParagraph"/>
        <w:numPr>
          <w:ilvl w:val="0"/>
          <w:numId w:val="2"/>
        </w:numPr>
        <w:spacing w:before="60" w:after="60"/>
      </w:pPr>
      <w:r>
        <w:rPr>
          <w:rFonts w:ascii="Arial" w:cs="Arial" w:eastAsia="Arial" w:hAnsi="Arial"/>
          <w:color w:val="404040"/>
          <w:sz w:val="22"/>
          <w:szCs w:val="22"/>
        </w:rPr>
        <w:t xml:space="preserve">Visibilité du manager sur l'avancement si souhaité</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5.2 Gestion des compétences</w:t>
      </w:r>
    </w:p>
    <w:p>
      <w:pPr>
        <w:spacing w:before="80" w:after="80"/>
      </w:pPr>
      <w:r>
        <w:rPr>
          <w:rFonts w:ascii="Arial" w:cs="Arial" w:eastAsia="Arial" w:hAnsi="Arial"/>
          <w:color w:val="404040"/>
          <w:sz w:val="22"/>
          <w:szCs w:val="22"/>
        </w:rPr>
        <w:t xml:space="preserve">Le module doit permettre une approche comparative des compétences entre le référentiel du poste et le niveau réel du collaborateur, afin d'identifier des besoins de développement et d'anticiper les évolutions métiers.</w:t>
      </w:r>
    </w:p>
    <w:p>
      <w:pPr>
        <w:spacing w:before="80" w:after="0"/>
      </w:pPr>
      <w:r>
        <w:t xml:space="preserve"/>
      </w:r>
    </w:p>
    <w:p>
      <w:pPr>
        <w:pStyle w:val="ListParagraph"/>
        <w:numPr>
          <w:ilvl w:val="0"/>
          <w:numId w:val="2"/>
        </w:numPr>
        <w:spacing w:before="60" w:after="60"/>
      </w:pPr>
      <w:r>
        <w:rPr>
          <w:rFonts w:ascii="Arial" w:cs="Arial" w:eastAsia="Arial" w:hAnsi="Arial"/>
          <w:color w:val="404040"/>
          <w:sz w:val="22"/>
          <w:szCs w:val="22"/>
        </w:rPr>
        <w:t xml:space="preserve">Référentiel de compétences lié à chaque fiche de poste</w:t>
      </w:r>
    </w:p>
    <w:p>
      <w:pPr>
        <w:pStyle w:val="ListParagraph"/>
        <w:numPr>
          <w:ilvl w:val="0"/>
          <w:numId w:val="2"/>
        </w:numPr>
        <w:spacing w:before="60" w:after="60"/>
      </w:pPr>
      <w:r>
        <w:rPr>
          <w:rFonts w:ascii="Arial" w:cs="Arial" w:eastAsia="Arial" w:hAnsi="Arial"/>
          <w:color w:val="404040"/>
          <w:sz w:val="22"/>
          <w:szCs w:val="22"/>
        </w:rPr>
        <w:t xml:space="preserve">Auto-évaluation du collaborateur et évaluation croisée manager</w:t>
      </w:r>
    </w:p>
    <w:p>
      <w:pPr>
        <w:pStyle w:val="ListParagraph"/>
        <w:numPr>
          <w:ilvl w:val="0"/>
          <w:numId w:val="2"/>
        </w:numPr>
        <w:spacing w:before="60" w:after="60"/>
      </w:pPr>
      <w:r>
        <w:rPr>
          <w:rFonts w:ascii="Arial" w:cs="Arial" w:eastAsia="Arial" w:hAnsi="Arial"/>
          <w:color w:val="404040"/>
          <w:sz w:val="22"/>
          <w:szCs w:val="22"/>
        </w:rPr>
        <w:t xml:space="preserve">Visualisation des écarts compétences-poste</w:t>
      </w:r>
    </w:p>
    <w:p>
      <w:pPr>
        <w:pStyle w:val="ListParagraph"/>
        <w:numPr>
          <w:ilvl w:val="0"/>
          <w:numId w:val="2"/>
        </w:numPr>
        <w:spacing w:before="60" w:after="60"/>
      </w:pPr>
      <w:r>
        <w:rPr>
          <w:rFonts w:ascii="Arial" w:cs="Arial" w:eastAsia="Arial" w:hAnsi="Arial"/>
          <w:color w:val="404040"/>
          <w:sz w:val="22"/>
          <w:szCs w:val="22"/>
        </w:rPr>
        <w:t xml:space="preserve">Projection sur les compétences futures nécessaires (GPEC simplifiée)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6. PLAN DE FORMATION INTÉGRÉ</w:t>
            </w:r>
          </w:p>
        </w:tc>
      </w:tr>
    </w:tbl>
    <w:p>
      <w:pPr>
        <w:spacing w:before="120" w:after="0"/>
      </w:pPr>
      <w:r>
        <w:t xml:space="preserve"/>
      </w:r>
    </w:p>
    <w:p>
      <w:pPr>
        <w:spacing w:before="80" w:after="80"/>
      </w:pPr>
      <w:r>
        <w:rPr>
          <w:rFonts w:ascii="Arial" w:cs="Arial" w:eastAsia="Arial" w:hAnsi="Arial"/>
          <w:color w:val="404040"/>
          <w:sz w:val="22"/>
          <w:szCs w:val="22"/>
        </w:rPr>
        <w:t xml:space="preserve">La remontée automatique des besoins en formation est l'une des fonctionnalités à plus forte valeur ajoutée pour la DRH. Aujourd'hui, ces informations sont collectées de façon manuelle ou via des campagnes mail ad hoc.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Saisie libre par le collaborateur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Expression des besoins sans bibliothèque imposée pour éviter les biais de sélection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Collaborateur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Saisie complémentaire en séance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Le manager peut ajouter ou ajuster les besoins identifiés lors de l'entretien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Consolidation automatique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Tableau récapitulatif des besoins par : entité / service / salarié / type de 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Aide au plan de formation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La DRH peut construire son plan de formation annuel depuis l'outil sans ressaisie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DRH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Indicateur RSE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 de formations non-obligatoires détecté automatiquement pour les rapports 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DRH</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7. CONTRAINTES TECHNIQUES ET D'INTÉGRATION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Hébergement France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Données hébergées exclusivement en France (IONOS) — conformité RGPD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Technique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Multi-entités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Architecture permettant une identité visuelle par société et une gestion des droits par périmètre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Technique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Gestion des droits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Accès distincts par rôle : collaborateur / manager / DRH entité / DRH groupe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Technique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Aucun email pro requis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Authentification possible sans adresse professionnelle (SMS ou identifiant dédié)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UX / Technique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Responsive mobile first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Interface prioritairement conçue pour smartphone (population conducteurs)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UX</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Intégration Sage (optionnel)</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Import des données RH de base depuis Sage pour pré-remplissage des fiches collaborateurs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Intégration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Export de données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Export Excel de l'ensemble des données entretiens et besoins 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Technique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Coffre-fort numérique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Option : stockage sécurisé des comptes-rendus d'entretien dans l'espace personnel du collaborateur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Option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8. CRITÈRES DE SUCCÈS ET POINTS DE VIGILANCE</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8.1 Critères de succès</w:t>
      </w:r>
    </w:p>
    <w:p>
      <w:pPr>
        <w:pStyle w:val="ListParagraph"/>
        <w:numPr>
          <w:ilvl w:val="0"/>
          <w:numId w:val="2"/>
        </w:numPr>
        <w:spacing w:before="60" w:after="60"/>
      </w:pPr>
      <w:r>
        <w:rPr>
          <w:rFonts w:ascii="Arial" w:cs="Arial" w:eastAsia="Arial" w:hAnsi="Arial"/>
          <w:color w:val="404040"/>
          <w:sz w:val="22"/>
          <w:szCs w:val="22"/>
        </w:rPr>
        <w:t xml:space="preserve">Taux de complétion des entretiens supérieur à l'existant papier</w:t>
      </w:r>
    </w:p>
    <w:p>
      <w:pPr>
        <w:pStyle w:val="ListParagraph"/>
        <w:numPr>
          <w:ilvl w:val="0"/>
          <w:numId w:val="2"/>
        </w:numPr>
        <w:spacing w:before="60" w:after="60"/>
      </w:pPr>
      <w:r>
        <w:rPr>
          <w:rFonts w:ascii="Arial" w:cs="Arial" w:eastAsia="Arial" w:hAnsi="Arial"/>
          <w:color w:val="404040"/>
          <w:sz w:val="22"/>
          <w:szCs w:val="22"/>
        </w:rPr>
        <w:t xml:space="preserve">Accessibilité validée sur smartphone Android sans adresse mail professionnelle</w:t>
      </w:r>
    </w:p>
    <w:p>
      <w:pPr>
        <w:pStyle w:val="ListParagraph"/>
        <w:numPr>
          <w:ilvl w:val="0"/>
          <w:numId w:val="2"/>
        </w:numPr>
        <w:spacing w:before="60" w:after="60"/>
      </w:pPr>
      <w:r>
        <w:rPr>
          <w:rFonts w:ascii="Arial" w:cs="Arial" w:eastAsia="Arial" w:hAnsi="Arial"/>
          <w:color w:val="404040"/>
          <w:sz w:val="22"/>
          <w:szCs w:val="22"/>
        </w:rPr>
        <w:t xml:space="preserve">Tableau de bord DRH opérationnel dès la première campagne</w:t>
      </w:r>
    </w:p>
    <w:p>
      <w:pPr>
        <w:pStyle w:val="ListParagraph"/>
        <w:numPr>
          <w:ilvl w:val="0"/>
          <w:numId w:val="2"/>
        </w:numPr>
        <w:spacing w:before="60" w:after="60"/>
      </w:pPr>
      <w:r>
        <w:rPr>
          <w:rFonts w:ascii="Arial" w:cs="Arial" w:eastAsia="Arial" w:hAnsi="Arial"/>
          <w:color w:val="404040"/>
          <w:sz w:val="22"/>
          <w:szCs w:val="22"/>
        </w:rPr>
        <w:t xml:space="preserve">Plan de formation généré automatiquement sans ressaisie</w:t>
      </w:r>
    </w:p>
    <w:p>
      <w:pPr>
        <w:pStyle w:val="ListParagraph"/>
        <w:numPr>
          <w:ilvl w:val="0"/>
          <w:numId w:val="2"/>
        </w:numPr>
        <w:spacing w:before="60" w:after="60"/>
      </w:pPr>
      <w:r>
        <w:rPr>
          <w:rFonts w:ascii="Arial" w:cs="Arial" w:eastAsia="Arial" w:hAnsi="Arial"/>
          <w:color w:val="404040"/>
          <w:sz w:val="22"/>
          <w:szCs w:val="22"/>
        </w:rPr>
        <w:t xml:space="preserve">Adoption effective par la population conducteurs (profils peu digitalisés)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8.2 Points de vigilance</w:t>
      </w:r>
    </w:p>
    <w:p>
      <w:pPr>
        <w:pStyle w:val="ListParagraph"/>
        <w:numPr>
          <w:ilvl w:val="0"/>
          <w:numId w:val="2"/>
        </w:numPr>
        <w:spacing w:before="60" w:after="60"/>
      </w:pPr>
      <w:r>
        <w:rPr>
          <w:rFonts w:ascii="Arial" w:cs="Arial" w:eastAsia="Arial" w:hAnsi="Arial"/>
          <w:color w:val="404040"/>
          <w:sz w:val="22"/>
          <w:szCs w:val="22"/>
        </w:rPr>
        <w:t xml:space="preserve">Nécessité de co-construire les trames d'entretien avec la DRH et les managers avant développement</w:t>
      </w:r>
    </w:p>
    <w:p>
      <w:pPr>
        <w:pStyle w:val="ListParagraph"/>
        <w:numPr>
          <w:ilvl w:val="0"/>
          <w:numId w:val="2"/>
        </w:numPr>
        <w:spacing w:before="60" w:after="60"/>
      </w:pPr>
      <w:r>
        <w:rPr>
          <w:rFonts w:ascii="Arial" w:cs="Arial" w:eastAsia="Arial" w:hAnsi="Arial"/>
          <w:color w:val="404040"/>
          <w:sz w:val="22"/>
          <w:szCs w:val="22"/>
        </w:rPr>
        <w:t xml:space="preserve">La signature électronique implique une vérification de conformité légale (valeur probatoire du CR signé)</w:t>
      </w:r>
    </w:p>
    <w:p>
      <w:pPr>
        <w:pStyle w:val="ListParagraph"/>
        <w:numPr>
          <w:ilvl w:val="0"/>
          <w:numId w:val="2"/>
        </w:numPr>
        <w:spacing w:before="60" w:after="60"/>
      </w:pPr>
      <w:r>
        <w:rPr>
          <w:rFonts w:ascii="Arial" w:cs="Arial" w:eastAsia="Arial" w:hAnsi="Arial"/>
          <w:color w:val="404040"/>
          <w:sz w:val="22"/>
          <w:szCs w:val="22"/>
        </w:rPr>
        <w:t xml:space="preserve">La gestion des objectifs inter-annuels implique un historique par collaborateur à conserver et sécuriser</w:t>
      </w:r>
    </w:p>
    <w:p>
      <w:pPr>
        <w:pStyle w:val="ListParagraph"/>
        <w:numPr>
          <w:ilvl w:val="0"/>
          <w:numId w:val="2"/>
        </w:numPr>
        <w:spacing w:before="60" w:after="60"/>
      </w:pPr>
      <w:r>
        <w:rPr>
          <w:rFonts w:ascii="Arial" w:cs="Arial" w:eastAsia="Arial" w:hAnsi="Arial"/>
          <w:color w:val="404040"/>
          <w:sz w:val="22"/>
          <w:szCs w:val="22"/>
        </w:rPr>
        <w:t xml:space="preserve">Le module doit pouvoir évoluer lors d'acquisitions futures (croissance externe en cours)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9. PROCHAINES ÉTAPES PROPOSÉES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38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Profil concerné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Étape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Validation technique de la faisabilité par l'équipe dev Applipro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Applipro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Étape 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Atelier de co-construction des trames d'entretien avec la DRH (1-2h)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Applipro + Client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Étape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Chiffrage et proposition commerciale dédiée au module entretiens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Applipro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21"/>
                <w:szCs w:val="21"/>
              </w:rPr>
              <w:t xml:space="preserve">Étape 4</w:t>
            </w:r>
          </w:p>
        </w:tc>
        <w:tc>
          <w:tcPr>
            <w:tcW w:type="dxa" w:w="3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1"/>
                <w:szCs w:val="21"/>
              </w:rPr>
              <w:t xml:space="preserve">Présentation au Comité de Direction du Groupe Jeantais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2E75B6"/>
                <w:sz w:val="21"/>
                <w:szCs w:val="21"/>
              </w:rPr>
              <w:t xml:space="preserve">Client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21"/>
                <w:szCs w:val="21"/>
              </w:rPr>
              <w:t xml:space="preserve">Étape 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1"/>
                <w:szCs w:val="21"/>
              </w:rPr>
              <w:t xml:space="preserve">Développement et tests — livraison cible : fin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E75B6"/>
                <w:sz w:val="21"/>
                <w:szCs w:val="21"/>
              </w:rPr>
              <w:t xml:space="preserve">Applipro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40" w:after="40"/>
            </w:pPr>
            <w:r>
              <w:rPr>
                <w:rFonts w:ascii="Arial" w:cs="Arial" w:eastAsia="Arial" w:hAnsi="Arial"/>
                <w:b/>
                <w:bCs/>
                <w:color w:val="1F4E79"/>
                <w:sz w:val="22"/>
                <w:szCs w:val="22"/>
              </w:rPr>
              <w:t xml:space="preserve">Note stratégique Applipro</w:t>
            </w:r>
          </w:p>
          <w:p>
            <w:pPr>
              <w:spacing w:before="40" w:after="40"/>
            </w:pPr>
            <w:r>
              <w:rPr>
                <w:rFonts w:ascii="Arial" w:cs="Arial" w:eastAsia="Arial" w:hAnsi="Arial"/>
                <w:color w:val="404040"/>
                <w:sz w:val="21"/>
                <w:szCs w:val="21"/>
              </w:rPr>
              <w:t xml:space="preserve">Ce module, développé sur mesure pour Transport Jeantais, a vocation à être mutualisé et commercialisé auprès de l'ensemble du portefeuille clients. L'investissement en développement est donc partiellement amorti par la valeur de création d'un nouveau module générique dans l'offre Applipro.</w:t>
            </w:r>
          </w:p>
        </w:tc>
      </w:tr>
    </w:tbl>
    <w:p>
      <w:pPr>
        <w:spacing w:before="240" w:after="0"/>
      </w:pPr>
      <w:r>
        <w:t xml:space="preserve"/>
      </w:r>
    </w:p>
    <w:p>
      <w:pPr>
        <w:pBdr>
          <w:top w:val="single" w:color="CCCCCC" w:sz="2"/>
        </w:pBdr>
        <w:spacing w:before="0" w:after="0"/>
        <w:jc w:val="center"/>
      </w:pPr>
      <w:r>
        <w:rPr>
          <w:rFonts w:ascii="Arial" w:cs="Arial" w:eastAsia="Arial" w:hAnsi="Arial"/>
          <w:i/>
          <w:iCs/>
          <w:color w:val="999999"/>
          <w:sz w:val="18"/>
          <w:szCs w:val="18"/>
        </w:rPr>
        <w:t xml:space="preserve">Applipro — EFCM SARL — Document confidentiel — Février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2026-02-18T12:06:27.718Z</dcterms:created>
  <dcterms:modified xsi:type="dcterms:W3CDTF">2026-02-18T12:06:27.719Z</dcterms:modified>
</cp:coreProperties>
</file>

<file path=docProps/custom.xml><?xml version="1.0" encoding="utf-8"?>
<Properties xmlns="http://schemas.openxmlformats.org/officeDocument/2006/custom-properties" xmlns:vt="http://schemas.openxmlformats.org/officeDocument/2006/docPropsVTypes"/>
</file>