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DC853" w14:textId="23A07F9D" w:rsidR="00335572" w:rsidRPr="00BE0B9B" w:rsidRDefault="004B0C63" w:rsidP="00E83228">
      <w:pPr>
        <w:spacing w:line="480" w:lineRule="auto"/>
        <w:jc w:val="center"/>
        <w:rPr>
          <w:b/>
        </w:rPr>
      </w:pPr>
      <w:bookmarkStart w:id="0" w:name="_Hlk513024204"/>
      <w:proofErr w:type="spellStart"/>
      <w:r w:rsidRPr="00BE0B9B">
        <w:rPr>
          <w:b/>
        </w:rPr>
        <w:t>HEfinder</w:t>
      </w:r>
      <w:proofErr w:type="spellEnd"/>
      <w:r w:rsidRPr="00BE0B9B">
        <w:rPr>
          <w:b/>
        </w:rPr>
        <w:t xml:space="preserve">: Locating Homing </w:t>
      </w:r>
      <w:r w:rsidR="000411A2" w:rsidRPr="00BE0B9B">
        <w:rPr>
          <w:b/>
        </w:rPr>
        <w:t>E</w:t>
      </w:r>
      <w:r w:rsidRPr="00BE0B9B">
        <w:rPr>
          <w:b/>
        </w:rPr>
        <w:t xml:space="preserve">ndonucleases within </w:t>
      </w:r>
      <w:r w:rsidR="000411A2" w:rsidRPr="00BE0B9B">
        <w:rPr>
          <w:b/>
        </w:rPr>
        <w:t>G</w:t>
      </w:r>
      <w:r w:rsidRPr="00BE0B9B">
        <w:rPr>
          <w:b/>
        </w:rPr>
        <w:t xml:space="preserve">enome </w:t>
      </w:r>
      <w:r w:rsidR="000411A2" w:rsidRPr="00BE0B9B">
        <w:rPr>
          <w:b/>
        </w:rPr>
        <w:t>S</w:t>
      </w:r>
      <w:r w:rsidRPr="00BE0B9B">
        <w:rPr>
          <w:b/>
        </w:rPr>
        <w:t>equences</w:t>
      </w:r>
    </w:p>
    <w:p w14:paraId="3EFD80AE" w14:textId="2CE348A5" w:rsidR="004B0C63" w:rsidRPr="00E83228" w:rsidRDefault="004B0C63" w:rsidP="00E83228">
      <w:pPr>
        <w:spacing w:line="480" w:lineRule="auto"/>
        <w:rPr>
          <w:b/>
        </w:rPr>
      </w:pPr>
      <w:r w:rsidRPr="00E83228">
        <w:rPr>
          <w:b/>
        </w:rPr>
        <w:t xml:space="preserve">Background </w:t>
      </w:r>
    </w:p>
    <w:p w14:paraId="689F58F7" w14:textId="018CC31D" w:rsidR="00A85115" w:rsidRPr="00E83228" w:rsidRDefault="004B0C63" w:rsidP="00E83228">
      <w:pPr>
        <w:spacing w:line="480" w:lineRule="auto"/>
        <w:ind w:firstLine="720"/>
      </w:pPr>
      <w:r w:rsidRPr="00E83228">
        <w:t xml:space="preserve">Homing endonucleases </w:t>
      </w:r>
      <w:r w:rsidR="00A85115" w:rsidRPr="00E83228">
        <w:t xml:space="preserve">(HEs) </w:t>
      </w:r>
      <w:r w:rsidRPr="00E83228">
        <w:t>are selfish genetic elements found in every domain of life</w:t>
      </w:r>
      <w:r w:rsidR="00ED066A" w:rsidRPr="00E83228">
        <w:t xml:space="preserve">, </w:t>
      </w:r>
      <w:r w:rsidR="009C1666">
        <w:t>often</w:t>
      </w:r>
      <w:r w:rsidR="00E215F6">
        <w:t xml:space="preserve"> with</w:t>
      </w:r>
      <w:r w:rsidR="00ED066A" w:rsidRPr="00E83228">
        <w:t xml:space="preserve">in </w:t>
      </w:r>
      <w:r w:rsidR="00BE0B9B" w:rsidRPr="00E83228">
        <w:t xml:space="preserve">type I </w:t>
      </w:r>
      <w:r w:rsidR="00ED066A" w:rsidRPr="00E83228">
        <w:t xml:space="preserve">introns or </w:t>
      </w:r>
      <w:proofErr w:type="spellStart"/>
      <w:r w:rsidR="00ED066A" w:rsidRPr="00E83228">
        <w:t>inteins</w:t>
      </w:r>
      <w:proofErr w:type="spellEnd"/>
      <w:r w:rsidR="008E4F4E">
        <w:t xml:space="preserve"> [1]. </w:t>
      </w:r>
      <w:r w:rsidR="00ED066A" w:rsidRPr="00E83228">
        <w:t>The protein product of the homing endonuclease gene (HEG) makes a double stranded cut at the HEG</w:t>
      </w:r>
      <w:r w:rsidR="00BD562D" w:rsidRPr="00BD562D">
        <w:rPr>
          <w:sz w:val="30"/>
          <w:szCs w:val="30"/>
        </w:rPr>
        <w:t>-</w:t>
      </w:r>
      <w:r w:rsidR="00ED066A" w:rsidRPr="00E83228">
        <w:t xml:space="preserve"> allele on the homologous chromosome</w:t>
      </w:r>
      <w:r w:rsidR="00A73185" w:rsidRPr="00E83228">
        <w:t xml:space="preserve">. </w:t>
      </w:r>
      <w:r w:rsidR="00C74571">
        <w:t xml:space="preserve">DNA repair </w:t>
      </w:r>
      <w:r w:rsidR="00ED066A" w:rsidRPr="00E83228">
        <w:t>copies over the HEG</w:t>
      </w:r>
      <w:r w:rsidR="001D7615">
        <w:t>,</w:t>
      </w:r>
      <w:r w:rsidR="00C74571">
        <w:t xml:space="preserve"> and</w:t>
      </w:r>
      <w:r w:rsidR="003C186B">
        <w:t xml:space="preserve"> </w:t>
      </w:r>
      <w:r w:rsidR="00ED066A" w:rsidRPr="00E83228">
        <w:t xml:space="preserve">surrounding </w:t>
      </w:r>
      <w:proofErr w:type="spellStart"/>
      <w:r w:rsidR="00ED066A" w:rsidRPr="00E83228">
        <w:t>intein</w:t>
      </w:r>
      <w:proofErr w:type="spellEnd"/>
      <w:r w:rsidR="00ED066A" w:rsidRPr="00E83228">
        <w:t xml:space="preserve"> </w:t>
      </w:r>
      <w:r w:rsidR="00E215F6">
        <w:t>or</w:t>
      </w:r>
      <w:r w:rsidR="00ED066A" w:rsidRPr="00E83228">
        <w:t xml:space="preserve"> intron, into th</w:t>
      </w:r>
      <w:r w:rsidR="00195D22">
        <w:t>e</w:t>
      </w:r>
      <w:r w:rsidR="00ED066A" w:rsidRPr="00E83228">
        <w:t xml:space="preserve"> </w:t>
      </w:r>
      <w:r w:rsidR="001E4867">
        <w:t>previously vacant</w:t>
      </w:r>
      <w:r w:rsidR="00ED066A" w:rsidRPr="00E83228">
        <w:t xml:space="preserve"> allele. In this way, </w:t>
      </w:r>
      <w:r w:rsidR="00A85115" w:rsidRPr="00E83228">
        <w:t>HEs</w:t>
      </w:r>
      <w:r w:rsidR="00ED066A" w:rsidRPr="00E83228">
        <w:t xml:space="preserve"> confer horizontal mobility to </w:t>
      </w:r>
      <w:r w:rsidR="00AF56FF">
        <w:t xml:space="preserve">the </w:t>
      </w:r>
      <w:proofErr w:type="spellStart"/>
      <w:r w:rsidR="00ED066A" w:rsidRPr="00E83228">
        <w:t>intei</w:t>
      </w:r>
      <w:r w:rsidR="00AF56FF">
        <w:t>ns</w:t>
      </w:r>
      <w:proofErr w:type="spellEnd"/>
      <w:r w:rsidR="00AF56FF">
        <w:t xml:space="preserve"> or</w:t>
      </w:r>
      <w:r w:rsidR="00ED066A" w:rsidRPr="00E83228">
        <w:t xml:space="preserve"> introns</w:t>
      </w:r>
      <w:r w:rsidR="008E4F4E">
        <w:t xml:space="preserve"> </w:t>
      </w:r>
      <w:r w:rsidR="00C924BA">
        <w:t>that house them</w:t>
      </w:r>
      <w:r w:rsidR="00C20DF0">
        <w:t xml:space="preserve"> </w:t>
      </w:r>
      <w:r w:rsidR="008E4F4E">
        <w:t>[1]</w:t>
      </w:r>
      <w:r w:rsidR="003241DF">
        <w:t>.</w:t>
      </w:r>
    </w:p>
    <w:p w14:paraId="525E06BE" w14:textId="56AA7573" w:rsidR="00AD16EC" w:rsidRPr="00E83228" w:rsidRDefault="00A85115" w:rsidP="00E83228">
      <w:pPr>
        <w:spacing w:line="480" w:lineRule="auto"/>
        <w:ind w:firstLine="720"/>
      </w:pPr>
      <w:r w:rsidRPr="00E83228">
        <w:t>HEs also show promise as biotechnology agents</w:t>
      </w:r>
      <w:r w:rsidR="00AD16EC" w:rsidRPr="00E83228">
        <w:t>, since they make</w:t>
      </w:r>
      <w:r w:rsidR="00BE0B9B">
        <w:t xml:space="preserve"> </w:t>
      </w:r>
      <w:r w:rsidR="00AF56FF">
        <w:t xml:space="preserve">a </w:t>
      </w:r>
      <w:r w:rsidR="00BE0B9B">
        <w:t>site specific double stranded cut, and are</w:t>
      </w:r>
      <w:r w:rsidR="00AD16EC" w:rsidRPr="00E83228">
        <w:t xml:space="preserve"> amenable to manipulations</w:t>
      </w:r>
      <w:r w:rsidR="00A73185" w:rsidRPr="00E83228">
        <w:t xml:space="preserve"> of</w:t>
      </w:r>
      <w:r w:rsidR="00AD16EC" w:rsidRPr="00E83228">
        <w:t xml:space="preserve"> their target site</w:t>
      </w:r>
      <w:r w:rsidR="008E4F4E">
        <w:t xml:space="preserve"> [</w:t>
      </w:r>
      <w:r w:rsidR="000C3C4A">
        <w:t>2-5</w:t>
      </w:r>
      <w:r w:rsidR="008E4F4E">
        <w:t>]</w:t>
      </w:r>
      <w:r w:rsidR="00AD16EC" w:rsidRPr="00E83228">
        <w:t xml:space="preserve">. Reprogrammable homing endonucleases may </w:t>
      </w:r>
      <w:r w:rsidR="00C46BDA">
        <w:t>eventually</w:t>
      </w:r>
      <w:r w:rsidR="00A73185" w:rsidRPr="00E83228">
        <w:t xml:space="preserve"> </w:t>
      </w:r>
      <w:r w:rsidR="00AD16EC" w:rsidRPr="00E83228">
        <w:t xml:space="preserve">act as therapeutic agents, alongside CRISPR based </w:t>
      </w:r>
      <w:r w:rsidR="00CD421C" w:rsidRPr="00E83228">
        <w:t>approaches</w:t>
      </w:r>
      <w:r w:rsidR="00A15CDA">
        <w:t xml:space="preserve"> </w:t>
      </w:r>
      <w:r w:rsidR="008E4F4E">
        <w:t>[3]</w:t>
      </w:r>
      <w:r w:rsidR="00AD16EC" w:rsidRPr="00E83228">
        <w:t xml:space="preserve">. </w:t>
      </w:r>
    </w:p>
    <w:p w14:paraId="63CE2D8C" w14:textId="7B076998" w:rsidR="00A85115" w:rsidRPr="00E83228" w:rsidRDefault="00AD16EC" w:rsidP="00E83228">
      <w:pPr>
        <w:spacing w:line="480" w:lineRule="auto"/>
        <w:ind w:firstLine="720"/>
      </w:pPr>
      <w:r w:rsidRPr="00E83228">
        <w:t xml:space="preserve"> </w:t>
      </w:r>
      <w:r w:rsidR="00840B06" w:rsidRPr="00E83228">
        <w:t>Given their importance, there is significant value in being able to identify possible active</w:t>
      </w:r>
      <w:r w:rsidR="00667A7A" w:rsidRPr="00E83228">
        <w:t xml:space="preserve"> HEs</w:t>
      </w:r>
      <w:r w:rsidR="00840B06" w:rsidRPr="00E83228">
        <w:t xml:space="preserve"> within genome sequences. Under this motivation, I wrote a tunable program</w:t>
      </w:r>
      <w:r w:rsidR="00DC4D24">
        <w:t xml:space="preserve">, </w:t>
      </w:r>
      <w:proofErr w:type="spellStart"/>
      <w:r w:rsidR="00DC4D24">
        <w:t>HEfinder</w:t>
      </w:r>
      <w:proofErr w:type="spellEnd"/>
      <w:r w:rsidR="00DC4D24">
        <w:t>,</w:t>
      </w:r>
      <w:r w:rsidR="00840B06" w:rsidRPr="00E83228">
        <w:t xml:space="preserve"> that takes a genome as input, and outputs those </w:t>
      </w:r>
      <w:r w:rsidR="003F5A5F">
        <w:t>loci</w:t>
      </w:r>
      <w:r w:rsidR="00840B06" w:rsidRPr="00E83228">
        <w:t xml:space="preserve"> that match homing endonucleases to a </w:t>
      </w:r>
      <w:r w:rsidR="00BD562D">
        <w:t>user-</w:t>
      </w:r>
      <w:r w:rsidR="00667A7A" w:rsidRPr="00E83228">
        <w:t>supplied specificity.</w:t>
      </w:r>
      <w:r w:rsidR="00840B06" w:rsidRPr="00E83228">
        <w:t xml:space="preserve"> </w:t>
      </w:r>
      <w:r w:rsidR="00A15CDA">
        <w:t xml:space="preserve">I </w:t>
      </w:r>
      <w:r w:rsidR="00DC4D24">
        <w:t>evaluated</w:t>
      </w:r>
      <w:r w:rsidR="00A15CDA">
        <w:t xml:space="preserve"> the script to ensure it worked as intended. I</w:t>
      </w:r>
      <w:r w:rsidR="00B81D44" w:rsidRPr="00E83228">
        <w:t xml:space="preserve"> then applied it to test the canonical view that </w:t>
      </w:r>
      <w:r w:rsidR="00EE59E2" w:rsidRPr="00E83228">
        <w:t xml:space="preserve">active </w:t>
      </w:r>
      <w:r w:rsidR="00B81D44" w:rsidRPr="00E83228">
        <w:t>homing endonucleases are not found within the genome sequences of multicellular Eukaryotes</w:t>
      </w:r>
      <w:r w:rsidR="008E4F4E">
        <w:t xml:space="preserve"> [4,5]</w:t>
      </w:r>
      <w:r w:rsidR="00B7506D">
        <w:t>. This view was</w:t>
      </w:r>
      <w:r w:rsidR="007F2295">
        <w:t xml:space="preserve"> recently challenged by the discovery of </w:t>
      </w:r>
      <w:proofErr w:type="gramStart"/>
      <w:r w:rsidR="007F2295">
        <w:t>a</w:t>
      </w:r>
      <w:r w:rsidR="00DC4D24">
        <w:t>n</w:t>
      </w:r>
      <w:proofErr w:type="gramEnd"/>
      <w:r w:rsidR="007F2295">
        <w:t xml:space="preserve"> HE in </w:t>
      </w:r>
      <w:r w:rsidR="000B391D">
        <w:rPr>
          <w:i/>
        </w:rPr>
        <w:t>Arabidopsis</w:t>
      </w:r>
      <w:r w:rsidR="007F2295">
        <w:rPr>
          <w:i/>
        </w:rPr>
        <w:t xml:space="preserve"> thaliana</w:t>
      </w:r>
      <w:r w:rsidR="00BE0B9B">
        <w:rPr>
          <w:i/>
        </w:rPr>
        <w:t xml:space="preserve"> </w:t>
      </w:r>
      <w:r w:rsidR="003414F8">
        <w:t>[6]</w:t>
      </w:r>
      <w:r w:rsidR="00B81D44" w:rsidRPr="00E83228">
        <w:t xml:space="preserve">. I found that the script worked effectively, and </w:t>
      </w:r>
      <w:r w:rsidR="00667A7A" w:rsidRPr="00E83228">
        <w:t>that there are</w:t>
      </w:r>
      <w:r w:rsidR="003F5A5F">
        <w:t xml:space="preserve"> several</w:t>
      </w:r>
      <w:r w:rsidR="00B81D44" w:rsidRPr="00E83228">
        <w:t xml:space="preserve"> examples of </w:t>
      </w:r>
      <w:r w:rsidR="00EE59E2" w:rsidRPr="00E83228">
        <w:t xml:space="preserve">close </w:t>
      </w:r>
      <w:r w:rsidR="00B81D44" w:rsidRPr="00E83228">
        <w:t>homing endonuclease</w:t>
      </w:r>
      <w:r w:rsidR="00EE59E2" w:rsidRPr="00E83228">
        <w:t xml:space="preserve"> homologs</w:t>
      </w:r>
      <w:r w:rsidR="00B81D44" w:rsidRPr="00E83228">
        <w:t xml:space="preserve"> in eukaryotic genomes</w:t>
      </w:r>
      <w:r w:rsidR="00EE59E2" w:rsidRPr="00E83228">
        <w:t xml:space="preserve">, </w:t>
      </w:r>
      <w:r w:rsidR="00354C47">
        <w:t xml:space="preserve">further </w:t>
      </w:r>
      <w:r w:rsidR="00BD562D">
        <w:t>challenging this vie</w:t>
      </w:r>
      <w:r w:rsidR="00354C47">
        <w:t>w</w:t>
      </w:r>
      <w:r w:rsidR="00EE59E2" w:rsidRPr="00E83228">
        <w:t xml:space="preserve">. </w:t>
      </w:r>
    </w:p>
    <w:p w14:paraId="5DE7C116" w14:textId="55602945" w:rsidR="00A73185" w:rsidRPr="00E83228" w:rsidRDefault="00A73185" w:rsidP="00E83228">
      <w:pPr>
        <w:spacing w:line="480" w:lineRule="auto"/>
        <w:rPr>
          <w:b/>
        </w:rPr>
      </w:pPr>
      <w:r w:rsidRPr="00E83228">
        <w:rPr>
          <w:b/>
        </w:rPr>
        <w:t>Methods</w:t>
      </w:r>
    </w:p>
    <w:p w14:paraId="6CDACE95" w14:textId="635AE5BA" w:rsidR="00BF44B6" w:rsidRDefault="00A73185" w:rsidP="00BF44B6">
      <w:pPr>
        <w:spacing w:line="480" w:lineRule="auto"/>
      </w:pPr>
      <w:r w:rsidRPr="00E83228">
        <w:tab/>
      </w:r>
      <w:r w:rsidR="007D1E91">
        <w:t>To create</w:t>
      </w:r>
      <w:r w:rsidRPr="00E83228">
        <w:t xml:space="preserve"> </w:t>
      </w:r>
      <w:proofErr w:type="spellStart"/>
      <w:r w:rsidRPr="00E83228">
        <w:t>HEfinder</w:t>
      </w:r>
      <w:proofErr w:type="spellEnd"/>
      <w:r w:rsidRPr="00E83228">
        <w:t xml:space="preserve">, I first </w:t>
      </w:r>
      <w:r w:rsidR="003F5A5F">
        <w:t>assembled</w:t>
      </w:r>
      <w:r w:rsidRPr="00E83228">
        <w:t xml:space="preserve"> </w:t>
      </w:r>
      <w:r w:rsidR="003F5A5F">
        <w:t xml:space="preserve">a </w:t>
      </w:r>
      <w:r w:rsidRPr="00E83228">
        <w:t xml:space="preserve">representative database of </w:t>
      </w:r>
      <w:r w:rsidR="00594AE9" w:rsidRPr="00E83228">
        <w:t>HEs (fig 1).</w:t>
      </w:r>
      <w:r w:rsidRPr="00E83228">
        <w:t xml:space="preserve"> </w:t>
      </w:r>
      <w:r w:rsidR="003F5A5F">
        <w:t>T</w:t>
      </w:r>
      <w:r w:rsidR="00594AE9" w:rsidRPr="00E83228">
        <w:t>he major HE families (LAGLIDADG, GIY-YIG, HIS-CIS, and HNH) share little sequence similari</w:t>
      </w:r>
      <w:r w:rsidR="00F62467">
        <w:t>ty</w:t>
      </w:r>
      <w:r w:rsidR="007D1E91">
        <w:t xml:space="preserve"> [5]</w:t>
      </w:r>
      <w:r w:rsidR="00594AE9" w:rsidRPr="00E83228">
        <w:t xml:space="preserve">, </w:t>
      </w:r>
      <w:r w:rsidR="003F5A5F">
        <w:t xml:space="preserve">so </w:t>
      </w:r>
      <w:r w:rsidR="00594AE9" w:rsidRPr="00E83228">
        <w:t xml:space="preserve">I started with </w:t>
      </w:r>
      <w:r w:rsidR="00A363F2">
        <w:t>representative seed sequences</w:t>
      </w:r>
      <w:r w:rsidR="00C17BE7">
        <w:t xml:space="preserve"> </w:t>
      </w:r>
      <w:r w:rsidR="00B7506D">
        <w:t>(with experimentally verified activity, where possible) from each family.</w:t>
      </w:r>
      <w:r w:rsidR="00594AE9" w:rsidRPr="00E83228">
        <w:t xml:space="preserve"> I </w:t>
      </w:r>
      <w:r w:rsidR="00594AE9" w:rsidRPr="00E83228">
        <w:lastRenderedPageBreak/>
        <w:t xml:space="preserve">ran a 5 iteration </w:t>
      </w:r>
      <w:r w:rsidR="00E215F6">
        <w:t>P</w:t>
      </w:r>
      <w:r w:rsidR="00594AE9" w:rsidRPr="00E83228">
        <w:t>si</w:t>
      </w:r>
      <w:r w:rsidR="00E215F6">
        <w:t>-B</w:t>
      </w:r>
      <w:r w:rsidR="00594AE9" w:rsidRPr="00E83228">
        <w:t>last ag</w:t>
      </w:r>
      <w:r w:rsidR="002220F8">
        <w:t>a</w:t>
      </w:r>
      <w:r w:rsidR="00594AE9" w:rsidRPr="00E83228">
        <w:t>inst NCBI’s NR database, with a</w:t>
      </w:r>
      <w:r w:rsidR="00A363F2">
        <w:t>n E-</w:t>
      </w:r>
      <w:r w:rsidR="00594AE9" w:rsidRPr="00E83228">
        <w:t>value inclusion cutoff of 1e-5.</w:t>
      </w:r>
      <w:r w:rsidR="00BD562D">
        <w:t xml:space="preserve"> </w:t>
      </w:r>
      <w:r w:rsidR="00594AE9" w:rsidRPr="00E83228">
        <w:t xml:space="preserve">I wrote two short </w:t>
      </w:r>
      <w:r w:rsidR="003F5A5F">
        <w:t>P</w:t>
      </w:r>
      <w:r w:rsidR="00594AE9" w:rsidRPr="00E83228">
        <w:t>ython scripts called</w:t>
      </w:r>
      <w:r w:rsidR="002540BA">
        <w:t xml:space="preserve"> </w:t>
      </w:r>
      <w:proofErr w:type="spellStart"/>
      <w:r w:rsidR="002540BA">
        <w:t>select</w:t>
      </w:r>
      <w:r w:rsidR="00594AE9" w:rsidRPr="00E83228">
        <w:t>_HEs</w:t>
      </w:r>
      <w:proofErr w:type="spellEnd"/>
      <w:r w:rsidR="00594AE9" w:rsidRPr="00E83228">
        <w:t xml:space="preserve">, and </w:t>
      </w:r>
      <w:proofErr w:type="spellStart"/>
      <w:r w:rsidR="00594AE9" w:rsidRPr="00E83228">
        <w:t>Psiblast_to_fasta</w:t>
      </w:r>
      <w:proofErr w:type="spellEnd"/>
      <w:r w:rsidR="00BD562D">
        <w:t xml:space="preserve"> to parse the </w:t>
      </w:r>
      <w:r w:rsidR="002220F8">
        <w:t>P</w:t>
      </w:r>
      <w:r w:rsidR="00BD562D">
        <w:t>si</w:t>
      </w:r>
      <w:r w:rsidR="002220F8">
        <w:t>-B</w:t>
      </w:r>
      <w:r w:rsidR="00BD562D">
        <w:t xml:space="preserve">last </w:t>
      </w:r>
      <w:r w:rsidR="002220F8">
        <w:t xml:space="preserve">output. Given the last round of a Psi-Blast, </w:t>
      </w:r>
      <w:proofErr w:type="spellStart"/>
      <w:r w:rsidR="002540BA">
        <w:t>select</w:t>
      </w:r>
      <w:r w:rsidR="00594AE9" w:rsidRPr="00E83228">
        <w:t>_HEs</w:t>
      </w:r>
      <w:proofErr w:type="spellEnd"/>
      <w:r w:rsidR="00594AE9" w:rsidRPr="00E83228">
        <w:t xml:space="preserve"> cull</w:t>
      </w:r>
      <w:r w:rsidR="002220F8">
        <w:t>s</w:t>
      </w:r>
      <w:r w:rsidR="00594AE9" w:rsidRPr="00E83228">
        <w:t xml:space="preserve"> all hits not annotated as homing endonucleases.</w:t>
      </w:r>
      <w:r w:rsidR="0032552D" w:rsidRPr="00E83228">
        <w:t xml:space="preserve"> </w:t>
      </w:r>
      <w:proofErr w:type="spellStart"/>
      <w:r w:rsidR="0032552D" w:rsidRPr="00E83228">
        <w:t>Psiblast_to_fasta</w:t>
      </w:r>
      <w:proofErr w:type="spellEnd"/>
      <w:r w:rsidR="002220F8">
        <w:t xml:space="preserve"> takes the </w:t>
      </w:r>
      <w:proofErr w:type="spellStart"/>
      <w:r w:rsidR="002540BA">
        <w:t>select</w:t>
      </w:r>
      <w:r w:rsidR="002220F8">
        <w:t>_HEs</w:t>
      </w:r>
      <w:proofErr w:type="spellEnd"/>
      <w:r w:rsidR="002220F8">
        <w:t xml:space="preserve"> output, and </w:t>
      </w:r>
      <w:r w:rsidR="00D45C11" w:rsidRPr="00E83228">
        <w:t>outputs a multiple sequence file of the protein sequences of all unique homing endonucleases in the input file.</w:t>
      </w:r>
      <w:r w:rsidR="007D1E91">
        <w:t xml:space="preserve"> I</w:t>
      </w:r>
      <w:r w:rsidR="002220F8" w:rsidRPr="00E83228">
        <w:t xml:space="preserve"> then wrote the </w:t>
      </w:r>
      <w:proofErr w:type="spellStart"/>
      <w:r w:rsidR="002220F8" w:rsidRPr="00E83228">
        <w:t>HEfinder</w:t>
      </w:r>
      <w:proofErr w:type="spellEnd"/>
      <w:r w:rsidR="002220F8" w:rsidRPr="00E83228">
        <w:t xml:space="preserve"> python script. The script can be called </w:t>
      </w:r>
      <w:r w:rsidR="00BF44B6" w:rsidRPr="00E83228">
        <w:rPr>
          <w:noProof/>
        </w:rPr>
        <w:drawing>
          <wp:anchor distT="0" distB="0" distL="114300" distR="114300" simplePos="0" relativeHeight="251658240" behindDoc="0" locked="0" layoutInCell="1" allowOverlap="1" wp14:anchorId="2FA85F36" wp14:editId="784599B3">
            <wp:simplePos x="0" y="0"/>
            <wp:positionH relativeFrom="column">
              <wp:posOffset>596900</wp:posOffset>
            </wp:positionH>
            <wp:positionV relativeFrom="paragraph">
              <wp:posOffset>2009140</wp:posOffset>
            </wp:positionV>
            <wp:extent cx="4419600" cy="20605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0F8" w:rsidRPr="00E83228">
        <w:t xml:space="preserve">from the command line and takes </w:t>
      </w:r>
      <w:r w:rsidR="002220F8">
        <w:t xml:space="preserve">the </w:t>
      </w:r>
      <w:r w:rsidR="00B7506D">
        <w:t>parameters</w:t>
      </w:r>
      <w:r w:rsidR="005E4BFA">
        <w:t xml:space="preserve"> listed</w:t>
      </w:r>
      <w:r w:rsidR="007D1E91">
        <w:t xml:space="preserve"> in table 1.</w:t>
      </w:r>
    </w:p>
    <w:p w14:paraId="6768C625" w14:textId="6294595D" w:rsidR="00BF44B6" w:rsidRPr="00B7506D" w:rsidRDefault="00BF44B6" w:rsidP="00BF44B6">
      <w:pPr>
        <w:pStyle w:val="Caption"/>
        <w:spacing w:line="480" w:lineRule="auto"/>
      </w:pPr>
      <w:r w:rsidRPr="00B7506D">
        <w:t xml:space="preserve">Figure </w:t>
      </w:r>
      <w:fldSimple w:instr=" SEQ Figure \* ARABIC ">
        <w:r w:rsidR="009D6BC3">
          <w:rPr>
            <w:noProof/>
          </w:rPr>
          <w:t>1</w:t>
        </w:r>
      </w:fldSimple>
      <w:r w:rsidRPr="00B7506D">
        <w:t xml:space="preserve">: graphical overview of HE database creation.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6"/>
        <w:gridCol w:w="3319"/>
        <w:gridCol w:w="2945"/>
      </w:tblGrid>
      <w:tr w:rsidR="00E83228" w14:paraId="306D117A" w14:textId="5C242291" w:rsidTr="00E83228">
        <w:tc>
          <w:tcPr>
            <w:tcW w:w="3086" w:type="dxa"/>
          </w:tcPr>
          <w:p w14:paraId="0E5BFB82" w14:textId="52CE9437" w:rsidR="00E83228" w:rsidRPr="00E83228" w:rsidRDefault="00E83228" w:rsidP="00E83228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Flag </w:t>
            </w:r>
          </w:p>
        </w:tc>
        <w:tc>
          <w:tcPr>
            <w:tcW w:w="3319" w:type="dxa"/>
          </w:tcPr>
          <w:p w14:paraId="79CC5F33" w14:textId="52265016" w:rsidR="00E83228" w:rsidRPr="00E83228" w:rsidRDefault="00E83228" w:rsidP="00E83228">
            <w:pPr>
              <w:spacing w:line="48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45" w:type="dxa"/>
          </w:tcPr>
          <w:p w14:paraId="714EF901" w14:textId="7777C2B4" w:rsidR="00E83228" w:rsidRDefault="00E83228" w:rsidP="00E83228">
            <w:pPr>
              <w:spacing w:line="480" w:lineRule="auto"/>
              <w:rPr>
                <w:b/>
              </w:rPr>
            </w:pPr>
            <w:r>
              <w:rPr>
                <w:b/>
              </w:rPr>
              <w:t>Default</w:t>
            </w:r>
          </w:p>
        </w:tc>
      </w:tr>
      <w:tr w:rsidR="00E83228" w14:paraId="1B7DE1D1" w14:textId="7DB37D84" w:rsidTr="009D1AA6">
        <w:tc>
          <w:tcPr>
            <w:tcW w:w="9350" w:type="dxa"/>
            <w:gridSpan w:val="3"/>
          </w:tcPr>
          <w:p w14:paraId="69E32F5B" w14:textId="2705661E" w:rsidR="00E83228" w:rsidRPr="00E83228" w:rsidRDefault="00E83228" w:rsidP="00E83228">
            <w:pPr>
              <w:spacing w:line="480" w:lineRule="auto"/>
              <w:jc w:val="center"/>
              <w:rPr>
                <w:b/>
              </w:rPr>
            </w:pPr>
            <w:r w:rsidRPr="00E83228">
              <w:rPr>
                <w:b/>
              </w:rPr>
              <w:t>Required Parameter</w:t>
            </w:r>
          </w:p>
        </w:tc>
      </w:tr>
      <w:tr w:rsidR="00E83228" w14:paraId="04A47173" w14:textId="4B9CA062" w:rsidTr="00E83228">
        <w:tc>
          <w:tcPr>
            <w:tcW w:w="3086" w:type="dxa"/>
          </w:tcPr>
          <w:p w14:paraId="474CBF2E" w14:textId="6726782F" w:rsidR="00E83228" w:rsidRPr="00E83228" w:rsidRDefault="00E83228" w:rsidP="00E83228">
            <w:pPr>
              <w:spacing w:line="480" w:lineRule="auto"/>
            </w:pPr>
            <w:r>
              <w:t>Not applicable</w:t>
            </w:r>
          </w:p>
        </w:tc>
        <w:tc>
          <w:tcPr>
            <w:tcW w:w="3319" w:type="dxa"/>
          </w:tcPr>
          <w:p w14:paraId="664F20A6" w14:textId="1ACDE524" w:rsidR="00E83228" w:rsidRDefault="00E83228" w:rsidP="00E83228">
            <w:pPr>
              <w:spacing w:line="480" w:lineRule="auto"/>
            </w:pPr>
            <w:r>
              <w:t>Genome</w:t>
            </w:r>
          </w:p>
        </w:tc>
        <w:tc>
          <w:tcPr>
            <w:tcW w:w="2945" w:type="dxa"/>
          </w:tcPr>
          <w:p w14:paraId="52C19FC6" w14:textId="601CCD7E" w:rsidR="00E83228" w:rsidRDefault="00E83228" w:rsidP="00E83228">
            <w:pPr>
              <w:spacing w:line="480" w:lineRule="auto"/>
            </w:pPr>
            <w:r>
              <w:t>Not applicable</w:t>
            </w:r>
          </w:p>
        </w:tc>
      </w:tr>
      <w:tr w:rsidR="00E83228" w14:paraId="5E045562" w14:textId="691B5667" w:rsidTr="00B04C71">
        <w:tc>
          <w:tcPr>
            <w:tcW w:w="9350" w:type="dxa"/>
            <w:gridSpan w:val="3"/>
          </w:tcPr>
          <w:p w14:paraId="58CEA7B3" w14:textId="24EF9B9F" w:rsidR="00E83228" w:rsidRDefault="00E83228" w:rsidP="00E83228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</w:t>
            </w:r>
            <w:r w:rsidRPr="00E83228">
              <w:rPr>
                <w:b/>
                <w:sz w:val="20"/>
              </w:rPr>
              <w:t>Optional</w:t>
            </w:r>
            <w:r w:rsidRPr="00E83228">
              <w:rPr>
                <w:b/>
              </w:rPr>
              <w:t xml:space="preserve"> Parameters</w:t>
            </w:r>
          </w:p>
        </w:tc>
      </w:tr>
      <w:tr w:rsidR="00E83228" w14:paraId="008C55E6" w14:textId="0B0468A7" w:rsidTr="00E83228">
        <w:tc>
          <w:tcPr>
            <w:tcW w:w="3086" w:type="dxa"/>
          </w:tcPr>
          <w:p w14:paraId="674C6DA9" w14:textId="2E44D192" w:rsidR="00E83228" w:rsidRDefault="00E83228" w:rsidP="00E83228">
            <w:pPr>
              <w:spacing w:line="480" w:lineRule="auto"/>
            </w:pPr>
            <w:r w:rsidRPr="00E83228">
              <w:t>-</w:t>
            </w:r>
            <w:proofErr w:type="spellStart"/>
            <w:r w:rsidRPr="00E83228">
              <w:t>use_bitscore</w:t>
            </w:r>
            <w:proofErr w:type="spellEnd"/>
          </w:p>
        </w:tc>
        <w:tc>
          <w:tcPr>
            <w:tcW w:w="3319" w:type="dxa"/>
          </w:tcPr>
          <w:p w14:paraId="7A17DD29" w14:textId="0B3E9B3B" w:rsidR="00E83228" w:rsidRDefault="00E83228" w:rsidP="00E83228">
            <w:r w:rsidRPr="00E83228">
              <w:t>use</w:t>
            </w:r>
            <w:r>
              <w:t xml:space="preserve"> </w:t>
            </w:r>
            <w:r w:rsidR="00527575">
              <w:t>b</w:t>
            </w:r>
            <w:r>
              <w:t>it</w:t>
            </w:r>
            <w:r w:rsidR="00527575">
              <w:t xml:space="preserve"> </w:t>
            </w:r>
            <w:r>
              <w:t>score rather than e value</w:t>
            </w:r>
            <w:r w:rsidRPr="00E83228">
              <w:t xml:space="preserve"> for our significance cutoff</w:t>
            </w:r>
            <w:r w:rsidR="00527575">
              <w:t>?</w:t>
            </w:r>
          </w:p>
        </w:tc>
        <w:tc>
          <w:tcPr>
            <w:tcW w:w="2945" w:type="dxa"/>
          </w:tcPr>
          <w:p w14:paraId="432F945A" w14:textId="30ACD78F" w:rsidR="00E83228" w:rsidRDefault="00E83228" w:rsidP="00E83228">
            <w:pPr>
              <w:spacing w:line="480" w:lineRule="auto"/>
            </w:pPr>
            <w:r>
              <w:t>False</w:t>
            </w:r>
          </w:p>
        </w:tc>
      </w:tr>
      <w:tr w:rsidR="00E83228" w14:paraId="5040C418" w14:textId="135B17B1" w:rsidTr="00E83228">
        <w:tc>
          <w:tcPr>
            <w:tcW w:w="3086" w:type="dxa"/>
          </w:tcPr>
          <w:p w14:paraId="22C81087" w14:textId="5A754284" w:rsidR="00E83228" w:rsidRDefault="00E83228" w:rsidP="00E83228">
            <w:pPr>
              <w:spacing w:line="480" w:lineRule="auto"/>
            </w:pPr>
            <w:r>
              <w:t>-name</w:t>
            </w:r>
          </w:p>
        </w:tc>
        <w:tc>
          <w:tcPr>
            <w:tcW w:w="3319" w:type="dxa"/>
          </w:tcPr>
          <w:p w14:paraId="702ED8D1" w14:textId="3C6CACD8" w:rsidR="00E83228" w:rsidRDefault="00E83228" w:rsidP="00E83228">
            <w:pPr>
              <w:spacing w:line="480" w:lineRule="auto"/>
            </w:pPr>
            <w:r>
              <w:t>Name of output file prefix</w:t>
            </w:r>
          </w:p>
        </w:tc>
        <w:tc>
          <w:tcPr>
            <w:tcW w:w="2945" w:type="dxa"/>
          </w:tcPr>
          <w:p w14:paraId="28A8905C" w14:textId="0AE72413" w:rsidR="00E83228" w:rsidRDefault="00E83228" w:rsidP="00E83228">
            <w:pPr>
              <w:spacing w:line="480" w:lineRule="auto"/>
            </w:pPr>
            <w:r>
              <w:t xml:space="preserve">Blast                                                                                         </w:t>
            </w:r>
          </w:p>
        </w:tc>
      </w:tr>
      <w:tr w:rsidR="00E83228" w14:paraId="21C09FFE" w14:textId="77777777" w:rsidTr="00E83228">
        <w:tc>
          <w:tcPr>
            <w:tcW w:w="3086" w:type="dxa"/>
          </w:tcPr>
          <w:p w14:paraId="2FB78D3D" w14:textId="3E3CC94B" w:rsidR="00E83228" w:rsidRDefault="00E83228" w:rsidP="00E83228">
            <w:pPr>
              <w:spacing w:line="480" w:lineRule="auto"/>
            </w:pPr>
            <w:r>
              <w:t xml:space="preserve">-c </w:t>
            </w:r>
          </w:p>
        </w:tc>
        <w:tc>
          <w:tcPr>
            <w:tcW w:w="3319" w:type="dxa"/>
          </w:tcPr>
          <w:p w14:paraId="2FB22937" w14:textId="39E6033F" w:rsidR="00E83228" w:rsidRDefault="00E83228" w:rsidP="00E83228">
            <w:pPr>
              <w:spacing w:line="480" w:lineRule="auto"/>
            </w:pPr>
            <w:r>
              <w:t xml:space="preserve">Significance cutoff </w:t>
            </w:r>
          </w:p>
        </w:tc>
        <w:tc>
          <w:tcPr>
            <w:tcW w:w="2945" w:type="dxa"/>
          </w:tcPr>
          <w:p w14:paraId="4A24E8FB" w14:textId="541D24B4" w:rsidR="00E83228" w:rsidRDefault="00E83228" w:rsidP="00E83228">
            <w:pPr>
              <w:spacing w:line="480" w:lineRule="auto"/>
            </w:pPr>
            <w:r>
              <w:t xml:space="preserve">If </w:t>
            </w:r>
            <w:r w:rsidR="00527575">
              <w:t>E-</w:t>
            </w:r>
            <w:r>
              <w:t xml:space="preserve">value is used: 1 </w:t>
            </w:r>
          </w:p>
          <w:p w14:paraId="60E3E477" w14:textId="3BAA1991" w:rsidR="00E83228" w:rsidRDefault="00E83228" w:rsidP="00E83228">
            <w:pPr>
              <w:spacing w:line="480" w:lineRule="auto"/>
            </w:pPr>
            <w:r>
              <w:t>If bit score: 50</w:t>
            </w:r>
          </w:p>
        </w:tc>
      </w:tr>
      <w:tr w:rsidR="00E83228" w14:paraId="4D8AC79A" w14:textId="77777777" w:rsidTr="00E83228">
        <w:tc>
          <w:tcPr>
            <w:tcW w:w="3086" w:type="dxa"/>
          </w:tcPr>
          <w:p w14:paraId="553D68EC" w14:textId="2AD673B5" w:rsidR="00E83228" w:rsidRDefault="00E83228" w:rsidP="00E83228">
            <w:pPr>
              <w:spacing w:line="480" w:lineRule="auto"/>
            </w:pPr>
            <w:r>
              <w:t>-o</w:t>
            </w:r>
          </w:p>
        </w:tc>
        <w:tc>
          <w:tcPr>
            <w:tcW w:w="3319" w:type="dxa"/>
          </w:tcPr>
          <w:p w14:paraId="2FEEFEAD" w14:textId="6C990CCC" w:rsidR="00E83228" w:rsidRDefault="00E83228" w:rsidP="00E83228">
            <w:pPr>
              <w:spacing w:line="480" w:lineRule="auto"/>
            </w:pPr>
            <w:r>
              <w:t>Should we write out significant results to a multiple sequence file</w:t>
            </w:r>
          </w:p>
        </w:tc>
        <w:tc>
          <w:tcPr>
            <w:tcW w:w="2945" w:type="dxa"/>
          </w:tcPr>
          <w:p w14:paraId="7EACFD9F" w14:textId="643F38E9" w:rsidR="00E83228" w:rsidRDefault="00E83228" w:rsidP="00E83228">
            <w:pPr>
              <w:keepNext/>
              <w:spacing w:line="480" w:lineRule="auto"/>
            </w:pPr>
            <w:r>
              <w:t>True</w:t>
            </w:r>
          </w:p>
        </w:tc>
      </w:tr>
    </w:tbl>
    <w:p w14:paraId="3F585284" w14:textId="2E3D29A1" w:rsidR="00E83228" w:rsidRDefault="00E83228" w:rsidP="00E83228">
      <w:pPr>
        <w:pStyle w:val="Caption"/>
        <w:rPr>
          <w:b/>
          <w:bCs/>
        </w:rPr>
      </w:pPr>
      <w:r>
        <w:t xml:space="preserve">Table </w:t>
      </w:r>
      <w:r w:rsidR="005A3ACF">
        <w:fldChar w:fldCharType="begin"/>
      </w:r>
      <w:r w:rsidR="005A3ACF">
        <w:instrText xml:space="preserve"> SEQ Table \* ARABIC </w:instrText>
      </w:r>
      <w:r w:rsidR="005A3ACF">
        <w:fldChar w:fldCharType="separate"/>
      </w:r>
      <w:r w:rsidR="009D6BC3">
        <w:rPr>
          <w:noProof/>
        </w:rPr>
        <w:t>1</w:t>
      </w:r>
      <w:r w:rsidR="005A3ACF">
        <w:rPr>
          <w:noProof/>
        </w:rPr>
        <w:fldChar w:fldCharType="end"/>
      </w:r>
      <w:r>
        <w:t xml:space="preserve">: parameters taken by </w:t>
      </w:r>
      <w:proofErr w:type="spellStart"/>
      <w:r>
        <w:t>HEfinder</w:t>
      </w:r>
      <w:proofErr w:type="spellEnd"/>
    </w:p>
    <w:p w14:paraId="0499326E" w14:textId="5E98A9CC" w:rsidR="00420BC5" w:rsidRDefault="00D45C11" w:rsidP="003C2959">
      <w:pPr>
        <w:spacing w:line="480" w:lineRule="auto"/>
        <w:ind w:firstLine="720"/>
      </w:pPr>
      <w:r w:rsidRPr="00E83228">
        <w:lastRenderedPageBreak/>
        <w:t xml:space="preserve">The script first </w:t>
      </w:r>
      <w:r w:rsidR="002540BA">
        <w:t>calls a bash script (hefinder.sh) to run</w:t>
      </w:r>
      <w:r w:rsidRPr="00E83228">
        <w:t xml:space="preserve"> a </w:t>
      </w:r>
      <w:proofErr w:type="spellStart"/>
      <w:r w:rsidRPr="00E83228">
        <w:t>blastx</w:t>
      </w:r>
      <w:proofErr w:type="spellEnd"/>
      <w:r w:rsidRPr="00E83228">
        <w:t xml:space="preserve"> of the geno</w:t>
      </w:r>
      <w:r w:rsidR="007D0CA8">
        <w:t>me input query against the HE database,</w:t>
      </w:r>
      <w:r w:rsidRPr="00E83228">
        <w:t xml:space="preserve"> with a culling limit imposed to prevent many HEs mapping to the same loc</w:t>
      </w:r>
      <w:r w:rsidR="00527575">
        <w:t>i</w:t>
      </w:r>
      <w:r w:rsidRPr="00E83228">
        <w:t xml:space="preserve">. </w:t>
      </w:r>
      <w:r w:rsidR="007D0CA8">
        <w:t>It outputs the blast results to</w:t>
      </w:r>
      <w:r w:rsidR="00730D22">
        <w:t xml:space="preserve"> a table called</w:t>
      </w:r>
      <w:r w:rsidR="003D6A93" w:rsidRPr="00E83228">
        <w:t xml:space="preserve"> </w:t>
      </w:r>
      <w:proofErr w:type="spellStart"/>
      <w:r w:rsidR="002C4586" w:rsidRPr="00E83228">
        <w:t>name_</w:t>
      </w:r>
      <w:r w:rsidR="003D6A93" w:rsidRPr="00E83228">
        <w:t>ful</w:t>
      </w:r>
      <w:r w:rsidR="00BA7CF2" w:rsidRPr="00E83228">
        <w:t>l</w:t>
      </w:r>
      <w:proofErr w:type="spellEnd"/>
      <w:r w:rsidR="002C4586" w:rsidRPr="00E83228">
        <w:t xml:space="preserve"> (name supplied by user).</w:t>
      </w:r>
      <w:r w:rsidR="003D6A93" w:rsidRPr="00E83228">
        <w:t xml:space="preserve"> </w:t>
      </w:r>
      <w:r w:rsidR="002540BA">
        <w:t xml:space="preserve">Hefinder.sh </w:t>
      </w:r>
      <w:r w:rsidRPr="00E83228">
        <w:t xml:space="preserve">then calls </w:t>
      </w:r>
      <w:proofErr w:type="gramStart"/>
      <w:r w:rsidRPr="00E83228">
        <w:t>a</w:t>
      </w:r>
      <w:r w:rsidR="004008ED">
        <w:t>n</w:t>
      </w:r>
      <w:proofErr w:type="gramEnd"/>
      <w:r w:rsidRPr="00E83228">
        <w:t xml:space="preserve"> </w:t>
      </w:r>
      <w:proofErr w:type="spellStart"/>
      <w:r w:rsidRPr="00E83228">
        <w:t>Rscript</w:t>
      </w:r>
      <w:proofErr w:type="spellEnd"/>
      <w:r w:rsidRPr="00E83228">
        <w:t xml:space="preserve"> called </w:t>
      </w:r>
      <w:proofErr w:type="spellStart"/>
      <w:r w:rsidRPr="00E83228">
        <w:t>Blastparse.R</w:t>
      </w:r>
      <w:proofErr w:type="spellEnd"/>
      <w:r w:rsidRPr="00E83228">
        <w:t xml:space="preserve"> that </w:t>
      </w:r>
      <w:r w:rsidR="007D0CA8">
        <w:t xml:space="preserve">parses </w:t>
      </w:r>
      <w:r w:rsidR="00730D22">
        <w:t xml:space="preserve">and </w:t>
      </w:r>
      <w:r w:rsidRPr="00E83228">
        <w:t>visualizes the data</w:t>
      </w:r>
      <w:r w:rsidR="003D6A93" w:rsidRPr="00E83228">
        <w:t xml:space="preserve">, and outputs </w:t>
      </w:r>
      <w:r w:rsidR="002C4586" w:rsidRPr="00E83228">
        <w:t xml:space="preserve">4 graphs and </w:t>
      </w:r>
      <w:r w:rsidR="003D6A93" w:rsidRPr="00E83228">
        <w:t>a table of those hits that meet the significance cutoff</w:t>
      </w:r>
      <w:r w:rsidR="002C4586" w:rsidRPr="00E83228">
        <w:t xml:space="preserve"> called </w:t>
      </w:r>
      <w:proofErr w:type="spellStart"/>
      <w:r w:rsidR="002C4586" w:rsidRPr="00E83228">
        <w:t>name_filtere</w:t>
      </w:r>
      <w:r w:rsidR="00730D22">
        <w:t>d</w:t>
      </w:r>
      <w:proofErr w:type="spellEnd"/>
      <w:r w:rsidRPr="00E83228">
        <w:t xml:space="preserve">. Finally, </w:t>
      </w:r>
      <w:r w:rsidR="007D0CA8">
        <w:t xml:space="preserve">unless the -o flag </w:t>
      </w:r>
      <w:r w:rsidR="00730D22">
        <w:t>is</w:t>
      </w:r>
      <w:r w:rsidR="007D0CA8">
        <w:t xml:space="preserve"> used</w:t>
      </w:r>
      <w:r w:rsidRPr="00E83228">
        <w:t xml:space="preserve">, </w:t>
      </w:r>
      <w:proofErr w:type="spellStart"/>
      <w:r w:rsidR="003A7FC9">
        <w:t>HEfinder</w:t>
      </w:r>
      <w:proofErr w:type="spellEnd"/>
      <w:r w:rsidRPr="00E83228">
        <w:t xml:space="preserve"> uses </w:t>
      </w:r>
      <w:r w:rsidR="007D0CA8">
        <w:t>E</w:t>
      </w:r>
      <w:r w:rsidRPr="00E83228">
        <w:t xml:space="preserve">mboss </w:t>
      </w:r>
      <w:proofErr w:type="spellStart"/>
      <w:r w:rsidRPr="00E83228">
        <w:t>extractseq</w:t>
      </w:r>
      <w:proofErr w:type="spellEnd"/>
      <w:r w:rsidRPr="00E83228">
        <w:t xml:space="preserve"> to write out significant sections of the genome to a file, called</w:t>
      </w:r>
      <w:r w:rsidR="007D0CA8">
        <w:t xml:space="preserve"> </w:t>
      </w:r>
      <w:proofErr w:type="spellStart"/>
      <w:r w:rsidR="003D6A93" w:rsidRPr="00E83228">
        <w:t>name_</w:t>
      </w:r>
      <w:r w:rsidRPr="00E83228">
        <w:t>significant_hit_sequences</w:t>
      </w:r>
      <w:r w:rsidR="005E4BFA">
        <w:t>.seq</w:t>
      </w:r>
      <w:proofErr w:type="spellEnd"/>
      <w:r w:rsidR="00BA7CF2" w:rsidRPr="00E83228">
        <w:t xml:space="preserve">. </w:t>
      </w:r>
    </w:p>
    <w:p w14:paraId="2D6041FE" w14:textId="70E663C1" w:rsidR="00420BC5" w:rsidRDefault="00420BC5" w:rsidP="00E83228">
      <w:pPr>
        <w:spacing w:line="480" w:lineRule="auto"/>
        <w:rPr>
          <w:b/>
        </w:rPr>
      </w:pPr>
      <w:r>
        <w:rPr>
          <w:b/>
        </w:rPr>
        <w:t xml:space="preserve">Results </w:t>
      </w:r>
    </w:p>
    <w:p w14:paraId="65655EA1" w14:textId="77777777" w:rsidR="00B7506D" w:rsidRDefault="00420BC5" w:rsidP="00061F6E">
      <w:pPr>
        <w:spacing w:line="480" w:lineRule="auto"/>
      </w:pPr>
      <w:r>
        <w:tab/>
      </w:r>
      <w:r w:rsidR="002F4A54">
        <w:t xml:space="preserve">To test </w:t>
      </w:r>
      <w:proofErr w:type="spellStart"/>
      <w:r w:rsidR="002F4A54">
        <w:t>HEfinder</w:t>
      </w:r>
      <w:proofErr w:type="spellEnd"/>
      <w:r w:rsidR="002F4A54">
        <w:t>,</w:t>
      </w:r>
      <w:r>
        <w:t xml:space="preserve"> I ran the script on defaults against the chloroplast sequence of </w:t>
      </w:r>
      <w:proofErr w:type="spellStart"/>
      <w:r w:rsidRPr="003C2E4B">
        <w:rPr>
          <w:i/>
        </w:rPr>
        <w:t>Haematococcus</w:t>
      </w:r>
      <w:proofErr w:type="spellEnd"/>
      <w:r w:rsidRPr="003C2E4B">
        <w:rPr>
          <w:i/>
        </w:rPr>
        <w:t xml:space="preserve"> </w:t>
      </w:r>
      <w:proofErr w:type="spellStart"/>
      <w:r w:rsidR="003C2E4B">
        <w:rPr>
          <w:i/>
        </w:rPr>
        <w:t>L</w:t>
      </w:r>
      <w:r w:rsidRPr="003C2E4B">
        <w:rPr>
          <w:i/>
        </w:rPr>
        <w:t>acustris</w:t>
      </w:r>
      <w:proofErr w:type="spellEnd"/>
      <w:r w:rsidR="002F4A54">
        <w:t xml:space="preserve">. </w:t>
      </w:r>
      <w:r>
        <w:t xml:space="preserve"> I chose </w:t>
      </w:r>
      <w:r w:rsidR="00D924BB">
        <w:t>this alga</w:t>
      </w:r>
      <w:r w:rsidR="002F4A54">
        <w:t xml:space="preserve"> </w:t>
      </w:r>
      <w:r w:rsidR="007D0CA8">
        <w:t xml:space="preserve">as a target </w:t>
      </w:r>
      <w:r>
        <w:t xml:space="preserve">because it has eight unique annotated </w:t>
      </w:r>
      <w:r w:rsidR="0018680E">
        <w:t>HEs</w:t>
      </w:r>
      <w:r>
        <w:t xml:space="preserve">. </w:t>
      </w:r>
      <w:r w:rsidR="0018680E">
        <w:t>The results</w:t>
      </w:r>
      <w:r w:rsidR="003F5A5F">
        <w:t xml:space="preserve"> (fig 2)</w:t>
      </w:r>
      <w:r w:rsidR="0018680E">
        <w:t xml:space="preserve"> show that while the script was able to identify the 8 annotated HEs, there were several false positives (significant matches that did not match one of the 8</w:t>
      </w:r>
      <w:r w:rsidR="0018680E" w:rsidRPr="001868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00183" wp14:editId="0939F1E1">
                <wp:simplePos x="0" y="0"/>
                <wp:positionH relativeFrom="column">
                  <wp:posOffset>3480435</wp:posOffset>
                </wp:positionH>
                <wp:positionV relativeFrom="paragraph">
                  <wp:posOffset>4634865</wp:posOffset>
                </wp:positionV>
                <wp:extent cx="311067" cy="369332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4CEFB0-3BA0-4715-BAFC-7E9E8449C8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6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7ACE68" w14:textId="24FB21BC" w:rsidR="0018680E" w:rsidRDefault="0018680E" w:rsidP="0018680E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00183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margin-left:274.05pt;margin-top:364.95pt;width:24.5pt;height:2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" filled="f" stroked="f">
                <v:textbox style="mso-fit-shape-to-text:t">
                  <w:txbxContent>
                    <w:p w14:paraId="2C7ACE68" w14:textId="24FB21BC" w:rsidR="0018680E" w:rsidRDefault="0018680E" w:rsidP="0018680E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8C2D1D">
        <w:t>).</w:t>
      </w:r>
      <w:r w:rsidR="003F5A5F">
        <w:t xml:space="preserve"> </w:t>
      </w:r>
    </w:p>
    <w:p w14:paraId="4089D2A9" w14:textId="457C98D5" w:rsidR="00B7506D" w:rsidRPr="00B7506D" w:rsidRDefault="00B7506D" w:rsidP="00B7506D">
      <w:pPr>
        <w:spacing w:line="276" w:lineRule="auto"/>
        <w:rPr>
          <w:i/>
          <w:color w:val="44546A" w:themeColor="text2"/>
          <w:sz w:val="18"/>
          <w:szCs w:val="18"/>
        </w:rPr>
      </w:pPr>
      <w:r>
        <w:rPr>
          <w:noProof/>
        </w:rPr>
        <w:drawing>
          <wp:inline distT="0" distB="0" distL="0" distR="0" wp14:anchorId="4605165C" wp14:editId="4C379E43">
            <wp:extent cx="5943600" cy="249301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i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F6E">
        <w:rPr>
          <w:i/>
          <w:color w:val="44546A" w:themeColor="text2"/>
          <w:sz w:val="18"/>
          <w:szCs w:val="18"/>
        </w:rPr>
        <w:t xml:space="preserve">Figure </w:t>
      </w:r>
      <w:r w:rsidRPr="00061F6E">
        <w:rPr>
          <w:i/>
          <w:color w:val="44546A" w:themeColor="text2"/>
          <w:sz w:val="18"/>
          <w:szCs w:val="18"/>
        </w:rPr>
        <w:fldChar w:fldCharType="begin"/>
      </w:r>
      <w:r w:rsidRPr="00061F6E">
        <w:rPr>
          <w:i/>
          <w:color w:val="44546A" w:themeColor="text2"/>
          <w:sz w:val="18"/>
          <w:szCs w:val="18"/>
        </w:rPr>
        <w:instrText xml:space="preserve"> SEQ Figure \* ARABIC </w:instrText>
      </w:r>
      <w:r w:rsidRPr="00061F6E">
        <w:rPr>
          <w:i/>
          <w:color w:val="44546A" w:themeColor="text2"/>
          <w:sz w:val="18"/>
          <w:szCs w:val="18"/>
        </w:rPr>
        <w:fldChar w:fldCharType="separate"/>
      </w:r>
      <w:r w:rsidR="009D6BC3">
        <w:rPr>
          <w:i/>
          <w:noProof/>
          <w:color w:val="44546A" w:themeColor="text2"/>
          <w:sz w:val="18"/>
          <w:szCs w:val="18"/>
        </w:rPr>
        <w:t>2</w:t>
      </w:r>
      <w:r w:rsidRPr="00061F6E">
        <w:rPr>
          <w:i/>
          <w:color w:val="44546A" w:themeColor="text2"/>
          <w:sz w:val="18"/>
          <w:szCs w:val="18"/>
        </w:rPr>
        <w:fldChar w:fldCharType="end"/>
      </w:r>
      <w:r w:rsidRPr="00061F6E">
        <w:rPr>
          <w:i/>
          <w:color w:val="44546A" w:themeColor="text2"/>
          <w:sz w:val="18"/>
          <w:szCs w:val="18"/>
        </w:rPr>
        <w:t xml:space="preserve">: results of testing </w:t>
      </w:r>
      <w:proofErr w:type="spellStart"/>
      <w:r w:rsidRPr="00061F6E">
        <w:rPr>
          <w:i/>
          <w:color w:val="44546A" w:themeColor="text2"/>
          <w:sz w:val="18"/>
          <w:szCs w:val="18"/>
        </w:rPr>
        <w:t>HEfinder</w:t>
      </w:r>
      <w:proofErr w:type="spellEnd"/>
      <w:r w:rsidRPr="00061F6E">
        <w:rPr>
          <w:i/>
          <w:color w:val="44546A" w:themeColor="text2"/>
          <w:sz w:val="18"/>
          <w:szCs w:val="18"/>
        </w:rPr>
        <w:t xml:space="preserve"> on H. </w:t>
      </w:r>
      <w:proofErr w:type="spellStart"/>
      <w:r w:rsidRPr="00061F6E">
        <w:rPr>
          <w:i/>
          <w:color w:val="44546A" w:themeColor="text2"/>
          <w:sz w:val="18"/>
          <w:szCs w:val="18"/>
        </w:rPr>
        <w:t>lacustris</w:t>
      </w:r>
      <w:proofErr w:type="spellEnd"/>
      <w:r w:rsidRPr="00061F6E">
        <w:rPr>
          <w:i/>
          <w:color w:val="44546A" w:themeColor="text2"/>
          <w:sz w:val="18"/>
          <w:szCs w:val="18"/>
        </w:rPr>
        <w:t xml:space="preserve"> chloroplast sequence</w:t>
      </w:r>
      <w:r>
        <w:rPr>
          <w:i/>
          <w:color w:val="44546A" w:themeColor="text2"/>
          <w:sz w:val="18"/>
          <w:szCs w:val="18"/>
        </w:rPr>
        <w:t>. Annotated homing endonuclease hits marked with red arrows</w:t>
      </w:r>
    </w:p>
    <w:p w14:paraId="346E5167" w14:textId="445F44A3" w:rsidR="00B7506D" w:rsidRDefault="00BE78A4" w:rsidP="00B7506D">
      <w:pPr>
        <w:spacing w:line="480" w:lineRule="auto"/>
        <w:ind w:firstLine="720"/>
      </w:pPr>
      <w:r>
        <w:t xml:space="preserve">However, </w:t>
      </w:r>
      <w:r w:rsidR="005E4BFA">
        <w:t xml:space="preserve">when </w:t>
      </w:r>
      <w:r w:rsidR="003F5A5F">
        <w:t>I</w:t>
      </w:r>
      <w:r w:rsidR="008C2D1D">
        <w:t xml:space="preserve"> t</w:t>
      </w:r>
      <w:r w:rsidR="003F5A5F">
        <w:t>ook</w:t>
      </w:r>
      <w:r w:rsidR="008C2D1D">
        <w:t xml:space="preserve"> a multiple sequence alignment of the proteins sequences of the false positives and blast</w:t>
      </w:r>
      <w:r w:rsidR="00F80EA7">
        <w:t>ed</w:t>
      </w:r>
      <w:r w:rsidR="008C2D1D">
        <w:t xml:space="preserve"> them against the NR databas</w:t>
      </w:r>
      <w:r w:rsidR="005E4BFA">
        <w:t>e,</w:t>
      </w:r>
      <w:r w:rsidR="008C2D1D">
        <w:t xml:space="preserve"> each match a homing endonuclease within </w:t>
      </w:r>
      <w:r w:rsidR="00D924BB">
        <w:t>other</w:t>
      </w:r>
      <w:r w:rsidR="008C2D1D">
        <w:t xml:space="preserve"> algae with an E value of less than 1*10^-17. These are almost certainly not false positives, but actual </w:t>
      </w:r>
      <w:r w:rsidR="008C2D1D">
        <w:lastRenderedPageBreak/>
        <w:t>homing endonucleases within other proteins that are not explicitly annotated as such</w:t>
      </w:r>
      <w:r w:rsidR="003241DF">
        <w:t>, bringing the total unique homing endonuclease count, within this 1.</w:t>
      </w:r>
      <w:r w:rsidR="00747E4C">
        <w:t>3</w:t>
      </w:r>
      <w:r w:rsidR="003241DF">
        <w:t>5 MB sequence, to 15</w:t>
      </w:r>
      <w:r w:rsidR="00330FD5">
        <w:t>.</w:t>
      </w:r>
    </w:p>
    <w:p w14:paraId="13FEC5FB" w14:textId="704763DA" w:rsidR="00862522" w:rsidRPr="00456B58" w:rsidRDefault="00B7506D" w:rsidP="00456B58">
      <w:pPr>
        <w:spacing w:line="480" w:lineRule="auto"/>
        <w:ind w:firstLine="720"/>
      </w:pPr>
      <w:r>
        <w:t xml:space="preserve">Given the high saturation of homing endonucleases in every test sequence I had tried, I decided to test the theory that homing endonucleases were not found within the genome sequences of </w:t>
      </w:r>
      <w:bookmarkStart w:id="1" w:name="_GoBack"/>
      <w:bookmarkEnd w:id="1"/>
      <w:r>
        <w:t xml:space="preserve">multicellular. I tested the script on </w:t>
      </w:r>
      <w:proofErr w:type="spellStart"/>
      <w:r>
        <w:rPr>
          <w:i/>
        </w:rPr>
        <w:t>Dictyostelium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Discoideum</w:t>
      </w:r>
      <w:proofErr w:type="spellEnd"/>
      <w:r>
        <w:rPr>
          <w:i/>
        </w:rPr>
        <w:t xml:space="preserve">, </w:t>
      </w:r>
      <w:proofErr w:type="spellStart"/>
      <w:r>
        <w:t>Arabadopsis</w:t>
      </w:r>
      <w:proofErr w:type="spellEnd"/>
      <w:r>
        <w:t xml:space="preserve"> chromosome 1 and 2, and human chromosome 20 (fig 3)</w:t>
      </w:r>
      <w:r w:rsidR="00D75607">
        <w:rPr>
          <w:noProof/>
        </w:rPr>
        <w:drawing>
          <wp:inline distT="0" distB="0" distL="0" distR="0" wp14:anchorId="68A4878A" wp14:editId="6476C9C0">
            <wp:extent cx="4997450" cy="308414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89" cy="30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FA37" w14:textId="6C64E66D" w:rsidR="0037725B" w:rsidRPr="0037725B" w:rsidRDefault="00862522" w:rsidP="00D875C8">
      <w:pPr>
        <w:spacing w:line="480" w:lineRule="auto"/>
        <w:rPr>
          <w:i/>
          <w:color w:val="44546A" w:themeColor="text2"/>
          <w:sz w:val="18"/>
          <w:szCs w:val="18"/>
        </w:rPr>
      </w:pPr>
      <w:r w:rsidRPr="00061F6E">
        <w:rPr>
          <w:i/>
          <w:color w:val="44546A" w:themeColor="text2"/>
          <w:sz w:val="18"/>
          <w:szCs w:val="18"/>
        </w:rPr>
        <w:t xml:space="preserve">Figure </w:t>
      </w:r>
      <w:r>
        <w:rPr>
          <w:i/>
          <w:color w:val="44546A" w:themeColor="text2"/>
          <w:sz w:val="18"/>
          <w:szCs w:val="18"/>
        </w:rPr>
        <w:t>3</w:t>
      </w:r>
      <w:r w:rsidRPr="00061F6E">
        <w:rPr>
          <w:i/>
          <w:color w:val="44546A" w:themeColor="text2"/>
          <w:sz w:val="18"/>
          <w:szCs w:val="18"/>
        </w:rPr>
        <w:t xml:space="preserve">: </w:t>
      </w:r>
      <w:r>
        <w:rPr>
          <w:i/>
          <w:color w:val="44546A" w:themeColor="text2"/>
          <w:sz w:val="18"/>
          <w:szCs w:val="18"/>
        </w:rPr>
        <w:t xml:space="preserve">Testing </w:t>
      </w:r>
      <w:proofErr w:type="spellStart"/>
      <w:r>
        <w:rPr>
          <w:i/>
          <w:color w:val="44546A" w:themeColor="text2"/>
          <w:sz w:val="18"/>
          <w:szCs w:val="18"/>
        </w:rPr>
        <w:t>HEfinder</w:t>
      </w:r>
      <w:proofErr w:type="spellEnd"/>
      <w:r>
        <w:rPr>
          <w:i/>
          <w:color w:val="44546A" w:themeColor="text2"/>
          <w:sz w:val="18"/>
          <w:szCs w:val="18"/>
        </w:rPr>
        <w:t xml:space="preserve"> on a variety of multicellular eukaryotic genomes. Hits colored in blue indicate sections of genome that match a homing endonuclease </w:t>
      </w:r>
      <w:r w:rsidR="0037725B">
        <w:rPr>
          <w:i/>
          <w:color w:val="44546A" w:themeColor="text2"/>
          <w:sz w:val="18"/>
          <w:szCs w:val="18"/>
        </w:rPr>
        <w:t xml:space="preserve">in the </w:t>
      </w:r>
      <w:proofErr w:type="spellStart"/>
      <w:r w:rsidR="0037725B">
        <w:rPr>
          <w:i/>
          <w:color w:val="44546A" w:themeColor="text2"/>
          <w:sz w:val="18"/>
          <w:szCs w:val="18"/>
        </w:rPr>
        <w:t>HEdatabase</w:t>
      </w:r>
      <w:proofErr w:type="spellEnd"/>
      <w:r w:rsidR="0037725B">
        <w:rPr>
          <w:i/>
          <w:color w:val="44546A" w:themeColor="text2"/>
          <w:sz w:val="18"/>
          <w:szCs w:val="18"/>
        </w:rPr>
        <w:t xml:space="preserve"> with an E-value less than 1</w:t>
      </w:r>
      <w:r w:rsidR="009F5EF6">
        <w:rPr>
          <w:i/>
          <w:color w:val="44546A" w:themeColor="text2"/>
          <w:sz w:val="18"/>
          <w:szCs w:val="18"/>
        </w:rPr>
        <w:t>. See Eukaryotic_genomes_results_and_figure_3_code for raw data and code for graphs</w:t>
      </w:r>
    </w:p>
    <w:p w14:paraId="1188263F" w14:textId="2B1E8EB4" w:rsidR="00911E8A" w:rsidRDefault="00AF5C14" w:rsidP="00D875C8">
      <w:pPr>
        <w:spacing w:line="480" w:lineRule="auto"/>
        <w:rPr>
          <w:b/>
        </w:rPr>
      </w:pPr>
      <w:r>
        <w:rPr>
          <w:b/>
        </w:rPr>
        <w:t>Discussion</w:t>
      </w:r>
    </w:p>
    <w:p w14:paraId="1A9CED9F" w14:textId="2B1B7122" w:rsidR="00C46BDA" w:rsidRDefault="00911E8A" w:rsidP="00D875C8">
      <w:pPr>
        <w:spacing w:line="480" w:lineRule="auto"/>
      </w:pPr>
      <w:r>
        <w:rPr>
          <w:b/>
        </w:rPr>
        <w:tab/>
      </w:r>
      <w:r>
        <w:t xml:space="preserve">The </w:t>
      </w:r>
      <w:proofErr w:type="spellStart"/>
      <w:r>
        <w:t>HEfinder</w:t>
      </w:r>
      <w:proofErr w:type="spellEnd"/>
      <w:r>
        <w:t xml:space="preserve"> </w:t>
      </w:r>
      <w:r w:rsidRPr="003C2E4B">
        <w:rPr>
          <w:i/>
        </w:rPr>
        <w:t>H</w:t>
      </w:r>
      <w:r>
        <w:rPr>
          <w:i/>
        </w:rPr>
        <w:t xml:space="preserve">. </w:t>
      </w:r>
      <w:proofErr w:type="spellStart"/>
      <w:r>
        <w:rPr>
          <w:i/>
        </w:rPr>
        <w:t>L</w:t>
      </w:r>
      <w:r w:rsidRPr="003C2E4B">
        <w:rPr>
          <w:i/>
        </w:rPr>
        <w:t>acustris</w:t>
      </w:r>
      <w:proofErr w:type="spellEnd"/>
      <w:r>
        <w:rPr>
          <w:i/>
        </w:rPr>
        <w:t xml:space="preserve"> </w:t>
      </w:r>
      <w:r>
        <w:t xml:space="preserve">demonstrate that </w:t>
      </w:r>
      <w:proofErr w:type="spellStart"/>
      <w:r>
        <w:t>HEfinder</w:t>
      </w:r>
      <w:proofErr w:type="spellEnd"/>
      <w:r>
        <w:t xml:space="preserve"> works as intended, and that algae chloroplasts are replete with homing endonucleases, many of which are unannotated.</w:t>
      </w:r>
      <w:r w:rsidR="00B1455A">
        <w:t xml:space="preserve"> </w:t>
      </w:r>
    </w:p>
    <w:p w14:paraId="649EA1B0" w14:textId="4E470ED8" w:rsidR="00C81516" w:rsidRDefault="00747E4C" w:rsidP="00C81516">
      <w:pPr>
        <w:spacing w:line="480" w:lineRule="auto"/>
        <w:ind w:firstLine="720"/>
      </w:pPr>
      <w:proofErr w:type="spellStart"/>
      <w:r>
        <w:t>HEfinder</w:t>
      </w:r>
      <w:proofErr w:type="spellEnd"/>
      <w:r>
        <w:t xml:space="preserve"> found at least a few very significant hits within the genomes of every multicellular eukaryote I tried. </w:t>
      </w:r>
      <w:r w:rsidR="009F7B96">
        <w:t xml:space="preserve">It is important to note that </w:t>
      </w:r>
      <w:proofErr w:type="spellStart"/>
      <w:r w:rsidR="00C81516">
        <w:t>HEfinder</w:t>
      </w:r>
      <w:proofErr w:type="spellEnd"/>
      <w:r w:rsidR="00C81516">
        <w:t xml:space="preserve"> cannot prove tha</w:t>
      </w:r>
      <w:r>
        <w:t>t these HEs are active</w:t>
      </w:r>
      <w:r w:rsidR="00C81516">
        <w:t xml:space="preserve">. It can, </w:t>
      </w:r>
      <w:r w:rsidR="00C81516">
        <w:lastRenderedPageBreak/>
        <w:t>however, provide loci of putative homing endonucleases, which can then be experimentally evaluated for activity.</w:t>
      </w:r>
      <w:r>
        <w:t xml:space="preserve"> </w:t>
      </w:r>
      <w:proofErr w:type="gramStart"/>
      <w:r>
        <w:t>However</w:t>
      </w:r>
      <w:proofErr w:type="gramEnd"/>
      <w:r>
        <w:t xml:space="preserve"> given the volume of HEs observed and their close homology to active HEs, these results certainly cast doubt on the conclusion that HEs are not found within eukaryotic genomes</w:t>
      </w:r>
      <w:r w:rsidR="00012B9E">
        <w:t xml:space="preserve">, and call </w:t>
      </w:r>
      <w:r w:rsidR="00195D22">
        <w:t xml:space="preserve">for further inquiry. </w:t>
      </w:r>
    </w:p>
    <w:p w14:paraId="0153D537" w14:textId="0E89DE4A" w:rsidR="00E955A1" w:rsidRDefault="00DE481F" w:rsidP="00C81516">
      <w:pPr>
        <w:spacing w:line="480" w:lineRule="auto"/>
        <w:ind w:firstLine="720"/>
      </w:pPr>
      <w:r>
        <w:t>One</w:t>
      </w:r>
      <w:r w:rsidR="00C7677B">
        <w:t xml:space="preserve"> strength of the current script is its ability to identify all homing endonucleases within a genome, including those</w:t>
      </w:r>
      <w:r w:rsidR="000C4966">
        <w:t xml:space="preserve"> in pseudogenes</w:t>
      </w:r>
      <w:r w:rsidR="00090EE4">
        <w:t xml:space="preserve">. However, this strength also comes with a performance tradeoff- blasting the </w:t>
      </w:r>
      <w:proofErr w:type="gramStart"/>
      <w:r w:rsidR="00090EE4">
        <w:t>six frame</w:t>
      </w:r>
      <w:proofErr w:type="gramEnd"/>
      <w:r w:rsidR="00090EE4">
        <w:t xml:space="preserve"> translation is computationally intensive</w:t>
      </w:r>
      <w:r w:rsidR="002B5A03">
        <w:t xml:space="preserve"> for large queries</w:t>
      </w:r>
      <w:r w:rsidR="00090EE4">
        <w:t>.</w:t>
      </w:r>
      <w:r w:rsidR="00FA5A83">
        <w:t xml:space="preserve"> On</w:t>
      </w:r>
      <w:r w:rsidR="00090EE4">
        <w:t xml:space="preserve"> chromosome 20, the program was run </w:t>
      </w:r>
      <w:r w:rsidR="0033290A">
        <w:t>for several hours</w:t>
      </w:r>
      <w:r w:rsidR="00090EE4">
        <w:t xml:space="preserve">. If I were to continue attempting to demonstrate that HEs are present in eukaryotes, I would </w:t>
      </w:r>
      <w:r w:rsidR="00117002">
        <w:t xml:space="preserve">likely </w:t>
      </w:r>
      <w:r w:rsidR="00090EE4">
        <w:t xml:space="preserve">modify the script to instead take in a </w:t>
      </w:r>
      <w:r w:rsidR="000C4966">
        <w:t>proteome and</w:t>
      </w:r>
      <w:r w:rsidR="00090EE4">
        <w:t xml:space="preserve"> do a </w:t>
      </w:r>
      <w:proofErr w:type="spellStart"/>
      <w:r w:rsidR="00090EE4">
        <w:t>blastp</w:t>
      </w:r>
      <w:proofErr w:type="spellEnd"/>
      <w:r w:rsidR="00090EE4">
        <w:t xml:space="preserve"> against the HE database</w:t>
      </w:r>
      <w:r w:rsidR="00BF7995">
        <w:t>. T</w:t>
      </w:r>
      <w:r w:rsidR="00090EE4">
        <w:t xml:space="preserve">he closest HE homologs are likely to be in protein coding sequences anyway, and the speed of the script would be improved. </w:t>
      </w:r>
    </w:p>
    <w:p w14:paraId="111ADA2A" w14:textId="4E302D49" w:rsidR="00195D22" w:rsidRDefault="00195D22" w:rsidP="00C81516">
      <w:pPr>
        <w:spacing w:line="480" w:lineRule="auto"/>
        <w:ind w:firstLine="720"/>
      </w:pPr>
    </w:p>
    <w:p w14:paraId="294633EB" w14:textId="05429584" w:rsidR="00195D22" w:rsidRDefault="00195D22" w:rsidP="00C81516">
      <w:pPr>
        <w:spacing w:line="480" w:lineRule="auto"/>
        <w:ind w:firstLine="720"/>
      </w:pPr>
    </w:p>
    <w:p w14:paraId="666EA5F1" w14:textId="3DE10935" w:rsidR="00195D22" w:rsidRDefault="00195D22" w:rsidP="00C81516">
      <w:pPr>
        <w:spacing w:line="480" w:lineRule="auto"/>
        <w:ind w:firstLine="720"/>
      </w:pPr>
    </w:p>
    <w:p w14:paraId="7D2B1D5A" w14:textId="7A12037F" w:rsidR="00195D22" w:rsidRDefault="00195D22" w:rsidP="00C81516">
      <w:pPr>
        <w:spacing w:line="480" w:lineRule="auto"/>
        <w:ind w:firstLine="720"/>
      </w:pPr>
    </w:p>
    <w:p w14:paraId="76744C5D" w14:textId="3CF9BE9C" w:rsidR="00195D22" w:rsidRDefault="00195D22" w:rsidP="00C81516">
      <w:pPr>
        <w:spacing w:line="480" w:lineRule="auto"/>
        <w:ind w:firstLine="720"/>
      </w:pPr>
    </w:p>
    <w:p w14:paraId="54123D37" w14:textId="5AC338F3" w:rsidR="00AF56FF" w:rsidRDefault="00AF56FF" w:rsidP="00C81516">
      <w:pPr>
        <w:spacing w:line="480" w:lineRule="auto"/>
        <w:ind w:firstLine="720"/>
      </w:pPr>
    </w:p>
    <w:p w14:paraId="0E6CB78B" w14:textId="7BCA0D3C" w:rsidR="00AF56FF" w:rsidRDefault="00AF56FF" w:rsidP="00C81516">
      <w:pPr>
        <w:spacing w:line="480" w:lineRule="auto"/>
        <w:ind w:firstLine="720"/>
      </w:pPr>
    </w:p>
    <w:p w14:paraId="116AAA6A" w14:textId="44186279" w:rsidR="00AF56FF" w:rsidRDefault="00AF56FF" w:rsidP="00C81516">
      <w:pPr>
        <w:spacing w:line="480" w:lineRule="auto"/>
        <w:ind w:firstLine="720"/>
      </w:pPr>
    </w:p>
    <w:p w14:paraId="76869E1C" w14:textId="256C966E" w:rsidR="00AF56FF" w:rsidRDefault="00AF56FF" w:rsidP="00C81516">
      <w:pPr>
        <w:spacing w:line="480" w:lineRule="auto"/>
        <w:ind w:firstLine="720"/>
      </w:pPr>
    </w:p>
    <w:p w14:paraId="51D3AFFC" w14:textId="77777777" w:rsidR="00AF56FF" w:rsidRDefault="00AF56FF" w:rsidP="00C81516">
      <w:pPr>
        <w:spacing w:line="480" w:lineRule="auto"/>
        <w:ind w:firstLine="720"/>
      </w:pPr>
    </w:p>
    <w:p w14:paraId="74E9BEA6" w14:textId="4275C91A" w:rsidR="00D45C11" w:rsidRDefault="00277C63" w:rsidP="00D45C11">
      <w:pPr>
        <w:rPr>
          <w:b/>
        </w:rPr>
      </w:pPr>
      <w:r>
        <w:rPr>
          <w:b/>
        </w:rPr>
        <w:lastRenderedPageBreak/>
        <w:t xml:space="preserve">References </w:t>
      </w:r>
    </w:p>
    <w:p w14:paraId="71C22B08" w14:textId="6E447F9F" w:rsidR="000C3C4A" w:rsidRPr="000C3C4A" w:rsidRDefault="000C3C4A" w:rsidP="00AF56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F4E">
        <w:rPr>
          <w:rFonts w:ascii="Times New Roman" w:eastAsia="Times New Roman" w:hAnsi="Times New Roman" w:cs="Times New Roman"/>
          <w:sz w:val="24"/>
          <w:szCs w:val="24"/>
        </w:rPr>
        <w:t>Gogarten</w:t>
      </w:r>
      <w:proofErr w:type="spellEnd"/>
      <w:r w:rsidRPr="008E4F4E">
        <w:rPr>
          <w:rFonts w:ascii="Times New Roman" w:eastAsia="Times New Roman" w:hAnsi="Times New Roman" w:cs="Times New Roman"/>
          <w:sz w:val="24"/>
          <w:szCs w:val="24"/>
        </w:rPr>
        <w:t xml:space="preserve">, J. P., &amp; Hilario, E. (2006). </w:t>
      </w:r>
      <w:proofErr w:type="spellStart"/>
      <w:r w:rsidRPr="008E4F4E">
        <w:rPr>
          <w:rFonts w:ascii="Times New Roman" w:eastAsia="Times New Roman" w:hAnsi="Times New Roman" w:cs="Times New Roman"/>
          <w:sz w:val="24"/>
          <w:szCs w:val="24"/>
        </w:rPr>
        <w:t>Inteins</w:t>
      </w:r>
      <w:proofErr w:type="spellEnd"/>
      <w:r w:rsidRPr="008E4F4E">
        <w:rPr>
          <w:rFonts w:ascii="Times New Roman" w:eastAsia="Times New Roman" w:hAnsi="Times New Roman" w:cs="Times New Roman"/>
          <w:sz w:val="24"/>
          <w:szCs w:val="24"/>
        </w:rPr>
        <w:t xml:space="preserve">, introns, and homing endonucleases: Recent revelations about the life cycle of parasitic genetic elements. </w:t>
      </w:r>
      <w:r w:rsidRPr="008E4F4E">
        <w:rPr>
          <w:rFonts w:ascii="Times New Roman" w:eastAsia="Times New Roman" w:hAnsi="Times New Roman" w:cs="Times New Roman"/>
          <w:i/>
          <w:iCs/>
          <w:sz w:val="24"/>
          <w:szCs w:val="24"/>
        </w:rPr>
        <w:t>BMC Evolutionary Biology</w:t>
      </w:r>
      <w:r w:rsidRPr="008E4F4E">
        <w:rPr>
          <w:rFonts w:ascii="Times New Roman" w:eastAsia="Times New Roman" w:hAnsi="Times New Roman" w:cs="Times New Roman"/>
          <w:sz w:val="24"/>
          <w:szCs w:val="24"/>
        </w:rPr>
        <w:t>. https://doi.org/10.1186/1471-2148-6-94</w:t>
      </w:r>
    </w:p>
    <w:p w14:paraId="5E8E62E4" w14:textId="50C6B2B2" w:rsidR="00984724" w:rsidRPr="008E4F4E" w:rsidRDefault="00406341" w:rsidP="008E4F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Antunes, M. S., Smith, J. J., Jantz, D., &amp; Medford, J. I. (2012). Targeted DNA excision in Arabidopsis by a re-engineered homing endonuclease. </w:t>
      </w:r>
      <w:r w:rsidRPr="00406341">
        <w:rPr>
          <w:rFonts w:ascii="Times New Roman" w:eastAsia="Times New Roman" w:hAnsi="Times New Roman" w:cs="Times New Roman"/>
          <w:i/>
          <w:iCs/>
          <w:sz w:val="24"/>
          <w:szCs w:val="24"/>
        </w:rPr>
        <w:t>BMC Biotechnology</w:t>
      </w:r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6341">
        <w:rPr>
          <w:rFonts w:ascii="Times New Roman" w:eastAsia="Times New Roman" w:hAnsi="Times New Roman" w:cs="Times New Roman"/>
          <w:i/>
          <w:iCs/>
          <w:sz w:val="24"/>
          <w:szCs w:val="24"/>
        </w:rPr>
        <w:t>12</w:t>
      </w:r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9" w:history="1">
        <w:r w:rsidRPr="004063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https://doi.org/10.1186/1472-6750-12-86</w:t>
        </w:r>
      </w:hyperlink>
    </w:p>
    <w:p w14:paraId="3BB0CC61" w14:textId="701CE2FE" w:rsidR="00406341" w:rsidRPr="00406341" w:rsidRDefault="00406341" w:rsidP="004063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6341">
        <w:rPr>
          <w:rFonts w:ascii="Times New Roman" w:eastAsia="Times New Roman" w:hAnsi="Times New Roman" w:cs="Times New Roman"/>
          <w:sz w:val="24"/>
          <w:szCs w:val="24"/>
        </w:rPr>
        <w:t>Barzel</w:t>
      </w:r>
      <w:proofErr w:type="spellEnd"/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Pr="00406341">
        <w:rPr>
          <w:rFonts w:ascii="Times New Roman" w:eastAsia="Times New Roman" w:hAnsi="Times New Roman" w:cs="Times New Roman"/>
          <w:sz w:val="24"/>
          <w:szCs w:val="24"/>
        </w:rPr>
        <w:t>Privman</w:t>
      </w:r>
      <w:proofErr w:type="spellEnd"/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, E., </w:t>
      </w:r>
      <w:proofErr w:type="spellStart"/>
      <w:r w:rsidRPr="00406341">
        <w:rPr>
          <w:rFonts w:ascii="Times New Roman" w:eastAsia="Times New Roman" w:hAnsi="Times New Roman" w:cs="Times New Roman"/>
          <w:sz w:val="24"/>
          <w:szCs w:val="24"/>
        </w:rPr>
        <w:t>Peeri</w:t>
      </w:r>
      <w:proofErr w:type="spellEnd"/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proofErr w:type="spellStart"/>
      <w:r w:rsidRPr="00406341">
        <w:rPr>
          <w:rFonts w:ascii="Times New Roman" w:eastAsia="Times New Roman" w:hAnsi="Times New Roman" w:cs="Times New Roman"/>
          <w:sz w:val="24"/>
          <w:szCs w:val="24"/>
        </w:rPr>
        <w:t>Naor</w:t>
      </w:r>
      <w:proofErr w:type="spellEnd"/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Pr="00406341">
        <w:rPr>
          <w:rFonts w:ascii="Times New Roman" w:eastAsia="Times New Roman" w:hAnsi="Times New Roman" w:cs="Times New Roman"/>
          <w:sz w:val="24"/>
          <w:szCs w:val="24"/>
        </w:rPr>
        <w:t>Shachar</w:t>
      </w:r>
      <w:proofErr w:type="spellEnd"/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, E., Burstein, D., … </w:t>
      </w:r>
      <w:proofErr w:type="spellStart"/>
      <w:r w:rsidRPr="00406341">
        <w:rPr>
          <w:rFonts w:ascii="Times New Roman" w:eastAsia="Times New Roman" w:hAnsi="Times New Roman" w:cs="Times New Roman"/>
          <w:sz w:val="24"/>
          <w:szCs w:val="24"/>
        </w:rPr>
        <w:t>Kupiec</w:t>
      </w:r>
      <w:proofErr w:type="spellEnd"/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, M. (2011). Native homing endonucleases can target conserved genes in humans and in animal models. </w:t>
      </w:r>
      <w:r w:rsidRPr="00406341">
        <w:rPr>
          <w:rFonts w:ascii="Times New Roman" w:eastAsia="Times New Roman" w:hAnsi="Times New Roman" w:cs="Times New Roman"/>
          <w:i/>
          <w:iCs/>
          <w:sz w:val="24"/>
          <w:szCs w:val="24"/>
        </w:rPr>
        <w:t>Nucleic Acids Research</w:t>
      </w:r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6341">
        <w:rPr>
          <w:rFonts w:ascii="Times New Roman" w:eastAsia="Times New Roman" w:hAnsi="Times New Roman" w:cs="Times New Roman"/>
          <w:i/>
          <w:iCs/>
          <w:sz w:val="24"/>
          <w:szCs w:val="24"/>
        </w:rPr>
        <w:t>39</w:t>
      </w:r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(15), 6646–6659. </w:t>
      </w:r>
      <w:hyperlink r:id="rId10" w:history="1">
        <w:r w:rsidRPr="004063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https://doi.org/10.1093/nar/gkr242</w:t>
        </w:r>
      </w:hyperlink>
    </w:p>
    <w:p w14:paraId="6E56C190" w14:textId="1D79784B" w:rsidR="008E4F4E" w:rsidRDefault="008E4F4E" w:rsidP="008E4F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Belfort, M., &amp; </w:t>
      </w:r>
      <w:proofErr w:type="spellStart"/>
      <w:r w:rsidRPr="00406341">
        <w:rPr>
          <w:rFonts w:ascii="Times New Roman" w:eastAsia="Times New Roman" w:hAnsi="Times New Roman" w:cs="Times New Roman"/>
          <w:sz w:val="24"/>
          <w:szCs w:val="24"/>
        </w:rPr>
        <w:t>Bonocora</w:t>
      </w:r>
      <w:proofErr w:type="spellEnd"/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, R. P. (2014). Homing endonucleases: From genetic anomalies to programmable genomic clippers. </w:t>
      </w:r>
      <w:r w:rsidRPr="00406341">
        <w:rPr>
          <w:rFonts w:ascii="Times New Roman" w:eastAsia="Times New Roman" w:hAnsi="Times New Roman" w:cs="Times New Roman"/>
          <w:i/>
          <w:iCs/>
          <w:sz w:val="24"/>
          <w:szCs w:val="24"/>
        </w:rPr>
        <w:t>Methods in Molecular Biology</w:t>
      </w:r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6341">
        <w:rPr>
          <w:rFonts w:ascii="Times New Roman" w:eastAsia="Times New Roman" w:hAnsi="Times New Roman" w:cs="Times New Roman"/>
          <w:i/>
          <w:iCs/>
          <w:sz w:val="24"/>
          <w:szCs w:val="24"/>
        </w:rPr>
        <w:t>1123</w:t>
      </w:r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, 1–26. </w:t>
      </w:r>
      <w:hyperlink r:id="rId11" w:history="1">
        <w:r w:rsidRPr="001F796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https://doi.org/10.1007/978-1-62703-968-0_1</w:t>
        </w:r>
      </w:hyperlink>
    </w:p>
    <w:p w14:paraId="5AC54F21" w14:textId="111EFD84" w:rsidR="000C3C4A" w:rsidRDefault="000C3C4A" w:rsidP="000C3C4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Stoddard, B. L. (2011). Homing endonucleases: From microbial genetic invaders to reagents for targeted DNA modification. </w:t>
      </w:r>
      <w:r w:rsidRPr="00406341">
        <w:rPr>
          <w:rFonts w:ascii="Times New Roman" w:eastAsia="Times New Roman" w:hAnsi="Times New Roman" w:cs="Times New Roman"/>
          <w:i/>
          <w:iCs/>
          <w:sz w:val="24"/>
          <w:szCs w:val="24"/>
        </w:rPr>
        <w:t>Structure</w:t>
      </w:r>
      <w:r w:rsidRPr="004063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2" w:history="1">
        <w:r w:rsidRPr="001F796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https://doi.org/10.1016/j.str.2010.12.003</w:t>
        </w:r>
      </w:hyperlink>
    </w:p>
    <w:p w14:paraId="32DFD4C5" w14:textId="48A23190" w:rsidR="009D6BC3" w:rsidRPr="009D6BC3" w:rsidRDefault="003C6A7A" w:rsidP="00D45C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A7A">
        <w:rPr>
          <w:rFonts w:ascii="Times New Roman" w:eastAsia="Times New Roman" w:hAnsi="Times New Roman" w:cs="Times New Roman"/>
          <w:sz w:val="24"/>
          <w:szCs w:val="24"/>
        </w:rPr>
        <w:t xml:space="preserve">Cho, S. K., Ryu, M. Y., Poulsen, C., Kim, J. H., Oh, T. R., Choi, S. W., … Yang, S. W. (2017). HIGLE is a bifunctional homing endonuclease that directly interacts with HYL1 and SERRATE in Arabidopsis thaliana. </w:t>
      </w:r>
      <w:r w:rsidRPr="003C6A7A">
        <w:rPr>
          <w:rFonts w:ascii="Times New Roman" w:eastAsia="Times New Roman" w:hAnsi="Times New Roman" w:cs="Times New Roman"/>
          <w:i/>
          <w:iCs/>
          <w:sz w:val="24"/>
          <w:szCs w:val="24"/>
        </w:rPr>
        <w:t>FEBS Letters</w:t>
      </w:r>
      <w:r w:rsidRPr="003C6A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3" w:history="1">
        <w:r w:rsidR="006A6BDE" w:rsidRPr="003057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https://doi.org/10.1002/1873-3468.12628</w:t>
        </w:r>
      </w:hyperlink>
      <w:bookmarkEnd w:id="0"/>
    </w:p>
    <w:sectPr w:rsidR="009D6BC3" w:rsidRPr="009D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56887"/>
    <w:multiLevelType w:val="hybridMultilevel"/>
    <w:tmpl w:val="7F0EE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63"/>
    <w:rsid w:val="0000009C"/>
    <w:rsid w:val="00012B9E"/>
    <w:rsid w:val="000411A2"/>
    <w:rsid w:val="00061F6E"/>
    <w:rsid w:val="000862BA"/>
    <w:rsid w:val="00090EE4"/>
    <w:rsid w:val="000A24EA"/>
    <w:rsid w:val="000B391D"/>
    <w:rsid w:val="000C3C4A"/>
    <w:rsid w:val="000C4966"/>
    <w:rsid w:val="000E18DD"/>
    <w:rsid w:val="000E1B4E"/>
    <w:rsid w:val="00117002"/>
    <w:rsid w:val="0013414B"/>
    <w:rsid w:val="0018680E"/>
    <w:rsid w:val="00195D22"/>
    <w:rsid w:val="001D7615"/>
    <w:rsid w:val="001E4867"/>
    <w:rsid w:val="0020611A"/>
    <w:rsid w:val="002220F8"/>
    <w:rsid w:val="002540BA"/>
    <w:rsid w:val="002701FE"/>
    <w:rsid w:val="00277C63"/>
    <w:rsid w:val="002B5A03"/>
    <w:rsid w:val="002C4586"/>
    <w:rsid w:val="002F3492"/>
    <w:rsid w:val="002F4A54"/>
    <w:rsid w:val="003241DF"/>
    <w:rsid w:val="0032552D"/>
    <w:rsid w:val="00330FD5"/>
    <w:rsid w:val="0033290A"/>
    <w:rsid w:val="00335572"/>
    <w:rsid w:val="003414F8"/>
    <w:rsid w:val="00354C47"/>
    <w:rsid w:val="0037725B"/>
    <w:rsid w:val="003875A0"/>
    <w:rsid w:val="003A7FC9"/>
    <w:rsid w:val="003C186B"/>
    <w:rsid w:val="003C2959"/>
    <w:rsid w:val="003C2E4B"/>
    <w:rsid w:val="003C6A7A"/>
    <w:rsid w:val="003D6A93"/>
    <w:rsid w:val="003F5A5F"/>
    <w:rsid w:val="004008ED"/>
    <w:rsid w:val="00406341"/>
    <w:rsid w:val="00415DE5"/>
    <w:rsid w:val="0042044B"/>
    <w:rsid w:val="00420BC5"/>
    <w:rsid w:val="0042629A"/>
    <w:rsid w:val="00434E1A"/>
    <w:rsid w:val="00456B58"/>
    <w:rsid w:val="004B0C63"/>
    <w:rsid w:val="004B5CF3"/>
    <w:rsid w:val="0050682F"/>
    <w:rsid w:val="00527575"/>
    <w:rsid w:val="0057243C"/>
    <w:rsid w:val="005943A8"/>
    <w:rsid w:val="00594AE9"/>
    <w:rsid w:val="00595D56"/>
    <w:rsid w:val="005A3ACF"/>
    <w:rsid w:val="005E4BFA"/>
    <w:rsid w:val="005F5810"/>
    <w:rsid w:val="00667A7A"/>
    <w:rsid w:val="006A6BDE"/>
    <w:rsid w:val="006C50AE"/>
    <w:rsid w:val="00730D22"/>
    <w:rsid w:val="00747E4C"/>
    <w:rsid w:val="007A048B"/>
    <w:rsid w:val="007A464A"/>
    <w:rsid w:val="007D0CA8"/>
    <w:rsid w:val="007D1E91"/>
    <w:rsid w:val="007D2716"/>
    <w:rsid w:val="007F2295"/>
    <w:rsid w:val="00801250"/>
    <w:rsid w:val="00805083"/>
    <w:rsid w:val="00840B06"/>
    <w:rsid w:val="00862522"/>
    <w:rsid w:val="008C2D1D"/>
    <w:rsid w:val="008E4F4E"/>
    <w:rsid w:val="008E74FA"/>
    <w:rsid w:val="00911E8A"/>
    <w:rsid w:val="009658DE"/>
    <w:rsid w:val="00984724"/>
    <w:rsid w:val="009922E6"/>
    <w:rsid w:val="009C1666"/>
    <w:rsid w:val="009D6BC3"/>
    <w:rsid w:val="009F5EF6"/>
    <w:rsid w:val="009F7B96"/>
    <w:rsid w:val="00A15CDA"/>
    <w:rsid w:val="00A252D3"/>
    <w:rsid w:val="00A363F2"/>
    <w:rsid w:val="00A73185"/>
    <w:rsid w:val="00A817EF"/>
    <w:rsid w:val="00A85115"/>
    <w:rsid w:val="00AB6824"/>
    <w:rsid w:val="00AD16EC"/>
    <w:rsid w:val="00AF0B95"/>
    <w:rsid w:val="00AF4D85"/>
    <w:rsid w:val="00AF56FF"/>
    <w:rsid w:val="00AF5C14"/>
    <w:rsid w:val="00B1455A"/>
    <w:rsid w:val="00B7506D"/>
    <w:rsid w:val="00B81D44"/>
    <w:rsid w:val="00BA5DD3"/>
    <w:rsid w:val="00BA7CF2"/>
    <w:rsid w:val="00BD562D"/>
    <w:rsid w:val="00BE0B9B"/>
    <w:rsid w:val="00BE78A4"/>
    <w:rsid w:val="00BF44B6"/>
    <w:rsid w:val="00BF7995"/>
    <w:rsid w:val="00C17BE7"/>
    <w:rsid w:val="00C20DF0"/>
    <w:rsid w:val="00C46BDA"/>
    <w:rsid w:val="00C64126"/>
    <w:rsid w:val="00C74571"/>
    <w:rsid w:val="00C7677B"/>
    <w:rsid w:val="00C81516"/>
    <w:rsid w:val="00C924BA"/>
    <w:rsid w:val="00CD421C"/>
    <w:rsid w:val="00CD4D24"/>
    <w:rsid w:val="00D07248"/>
    <w:rsid w:val="00D45C11"/>
    <w:rsid w:val="00D72C78"/>
    <w:rsid w:val="00D75607"/>
    <w:rsid w:val="00D8505D"/>
    <w:rsid w:val="00D875C8"/>
    <w:rsid w:val="00D924BB"/>
    <w:rsid w:val="00DB055D"/>
    <w:rsid w:val="00DC4D24"/>
    <w:rsid w:val="00DE481F"/>
    <w:rsid w:val="00E215F6"/>
    <w:rsid w:val="00E83228"/>
    <w:rsid w:val="00E955A1"/>
    <w:rsid w:val="00EA49B9"/>
    <w:rsid w:val="00ED066A"/>
    <w:rsid w:val="00ED6D38"/>
    <w:rsid w:val="00EE3576"/>
    <w:rsid w:val="00EE59E2"/>
    <w:rsid w:val="00F332AF"/>
    <w:rsid w:val="00F62467"/>
    <w:rsid w:val="00F80EA7"/>
    <w:rsid w:val="00FA5A83"/>
    <w:rsid w:val="00FC6B9B"/>
    <w:rsid w:val="00FD5356"/>
    <w:rsid w:val="00F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77B9"/>
  <w15:chartTrackingRefBased/>
  <w15:docId w15:val="{6D6DD21C-395B-48E8-A7E7-6CF656AA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C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72C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8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6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34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063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4F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i.org/10.1002/1873-3468.1262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i.org/10.1016/j.str.2010.12.0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i.org/10.1007/978-1-62703-968-0_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93/nar/gkr24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86/1472-6750-12-8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ADD87-74A3-42B8-A657-7E50EDA7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6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Davis</dc:creator>
  <cp:keywords/>
  <dc:description/>
  <cp:lastModifiedBy>Thomas Davis</cp:lastModifiedBy>
  <cp:revision>134</cp:revision>
  <cp:lastPrinted>2018-05-02T15:28:00Z</cp:lastPrinted>
  <dcterms:created xsi:type="dcterms:W3CDTF">2018-04-26T04:11:00Z</dcterms:created>
  <dcterms:modified xsi:type="dcterms:W3CDTF">2018-05-02T15:35:00Z</dcterms:modified>
</cp:coreProperties>
</file>