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Inhaltsverzeichnis</w:t>
          </w:r>
        </w:p>
        <w:p>
          <w:r>
            <w:fldChar w:fldCharType="begin" w:dirty="true"/>
            <w:instrText xml:space="preserve">TOC \o "1-2" \h \z \u</w:instrText>
            <w:fldChar w:fldCharType="separate"/>
            <w:fldChar w:fldCharType="end"/>
          </w:r>
        </w:p>
      </w:sdtContent>
    </w:sdt>
    <w:bookmarkStart w:id="23" w:name="der-eu-ai-act-verständlich-erklärt"/>
    <w:p>
      <w:pPr>
        <w:pStyle w:val="Heading1"/>
      </w:pPr>
      <w:r>
        <w:t xml:space="preserve">Der EU AI Act — verständlich erklärt</w:t>
      </w:r>
    </w:p>
    <w:bookmarkStart w:id="21" w:name="Xb74f0bffb4c48083f4172c72cf3cf0c4bd1de1e"/>
    <w:p>
      <w:pPr>
        <w:pStyle w:val="Heading2"/>
      </w:pPr>
      <w:r>
        <w:t xml:space="preserve">Die KI-Verordnung der Europäischen Union — verständlich und praxisnah erklärt</w:t>
      </w:r>
    </w:p>
    <w:p>
      <w:pPr>
        <w:pStyle w:val="FirstParagraph"/>
      </w:pPr>
      <w:r>
        <w:rPr>
          <w:bCs/>
          <w:b/>
        </w:rPr>
        <w:t xml:space="preserve">Rechtsstand: 29.07.2026 · Fassung 1.1</w:t>
      </w:r>
      <w:r>
        <w:t xml:space="preserve"> </w:t>
      </w:r>
      <w:r>
        <w:t xml:space="preserve">Berücksichtigt werden die Verordnung (EU) 2024/1689 (KI-Verordnung) in der Fassung der Verordnung (EU) 2026/1744 (Digital-Omnibus-Verordnung zur KI, in Kraft seit 27.07.2026).</w:t>
      </w:r>
    </w:p>
    <w:p>
      <w:r>
        <w:pict>
          <v:rect style="width:0;height:1.5pt" o:hralign="center" o:hrstd="t" o:hr="t"/>
        </w:pict>
      </w:r>
    </w:p>
    <w:bookmarkStart w:id="20" w:name="wie-sie-dieses-dokument-lesen"/>
    <w:p>
      <w:pPr>
        <w:pStyle w:val="Heading3"/>
      </w:pPr>
      <w:r>
        <w:t xml:space="preserve">Wie Sie dieses Dokument lesen</w:t>
      </w:r>
    </w:p>
    <w:p>
      <w:pPr>
        <w:pStyle w:val="FirstParagraph"/>
      </w:pPr>
      <w:r>
        <w:t xml:space="preserve">Dieses Dokument hat zwei Ebenen.</w:t>
      </w:r>
    </w:p>
    <w:p>
      <w:pPr>
        <w:pStyle w:val="BodyText"/>
      </w:pPr>
      <w:r>
        <w:t xml:space="preserve">Der</w:t>
      </w:r>
      <w:r>
        <w:t xml:space="preserve"> </w:t>
      </w:r>
      <w:r>
        <w:rPr>
          <w:bCs/>
          <w:b/>
        </w:rPr>
        <w:t xml:space="preserve">Haupttext</w:t>
      </w:r>
      <w:r>
        <w:t xml:space="preserve"> </w:t>
      </w:r>
      <w:r>
        <w:t xml:space="preserve">ist bewusst einfach geschrieben. Sie brauchen keine juristische Vorbildung, um ihn zu verstehen.</w:t>
      </w:r>
    </w:p>
    <w:p>
      <w:pPr>
        <w:pStyle w:val="BodyText"/>
      </w:pPr>
      <w:r>
        <w:t xml:space="preserve">Die</w:t>
      </w:r>
      <w:r>
        <w:t xml:space="preserve"> </w:t>
      </w:r>
      <w:r>
        <w:rPr>
          <w:bCs/>
          <w:b/>
        </w:rPr>
        <w:t xml:space="preserve">Fundstellen</w:t>
      </w:r>
      <w:r>
        <w:t xml:space="preserve"> </w:t>
      </w:r>
      <w:r>
        <w:t xml:space="preserve">stehen jeweils direkt darunter, eingerückt und mit dem Wort</w:t>
      </w:r>
      <w:r>
        <w:t xml:space="preserve"> </w:t>
      </w:r>
      <w:r>
        <w:t xml:space="preserve">“</w:t>
      </w:r>
      <w:r>
        <w:t xml:space="preserve">Fundstelle</w:t>
      </w:r>
      <w:r>
        <w:t xml:space="preserve">”</w:t>
      </w:r>
      <w:r>
        <w:t xml:space="preserve"> </w:t>
      </w:r>
      <w:r>
        <w:t xml:space="preserve">gekennzeichnet. Dort finden Sie den genauen Artikel im Gesetzestext. Wenn Sie nur wissen wollen, was zu tun ist, überspringen Sie diese Zeilen. Wenn Sie prüfen oder zitieren wollen, finden Sie dort den Beleg.</w:t>
      </w:r>
    </w:p>
    <w:p>
      <w:pPr>
        <w:pStyle w:val="BodyText"/>
      </w:pPr>
      <w:r>
        <w:t xml:space="preserve">Die Abkürzung</w:t>
      </w:r>
      <w:r>
        <w:t xml:space="preserve"> </w:t>
      </w:r>
      <w:r>
        <w:rPr>
          <w:bCs/>
          <w:b/>
        </w:rPr>
        <w:t xml:space="preserve">“</w:t>
      </w:r>
      <w:r>
        <w:rPr>
          <w:bCs/>
          <w:b/>
        </w:rPr>
        <w:t xml:space="preserve">n. F.</w:t>
      </w:r>
      <w:r>
        <w:rPr>
          <w:bCs/>
          <w:b/>
        </w:rPr>
        <w:t xml:space="preserve">”</w:t>
      </w:r>
      <w:r>
        <w:t xml:space="preserve"> </w:t>
      </w:r>
      <w:r>
        <w:t xml:space="preserve">bedeutet</w:t>
      </w:r>
      <w:r>
        <w:t xml:space="preserve"> </w:t>
      </w:r>
      <w:r>
        <w:t xml:space="preserve">“</w:t>
      </w:r>
      <w:r>
        <w:t xml:space="preserve">neue Fassung</w:t>
      </w:r>
      <w:r>
        <w:t xml:space="preserve">”</w:t>
      </w:r>
      <w:r>
        <w:t xml:space="preserve"> </w:t>
      </w:r>
      <w:r>
        <w:t xml:space="preserve">und markiert Vorschriften, die durch den Digital Omnibus im Juli 2026 geändert wurden.</w:t>
      </w:r>
      <w:r>
        <w:t xml:space="preserve"> </w:t>
      </w:r>
      <w:r>
        <w:rPr>
          <w:bCs/>
          <w:b/>
        </w:rPr>
        <w:t xml:space="preserve">“</w:t>
      </w:r>
      <w:r>
        <w:rPr>
          <w:bCs/>
          <w:b/>
        </w:rPr>
        <w:t xml:space="preserve">UAbs.</w:t>
      </w:r>
      <w:r>
        <w:rPr>
          <w:bCs/>
          <w:b/>
        </w:rPr>
        <w:t xml:space="preserve">”</w:t>
      </w:r>
      <w:r>
        <w:t xml:space="preserve"> </w:t>
      </w:r>
      <w:r>
        <w:t xml:space="preserve">steht für</w:t>
      </w:r>
      <w:r>
        <w:t xml:space="preserve"> </w:t>
      </w:r>
      <w:r>
        <w:t xml:space="preserve">“</w:t>
      </w:r>
      <w:r>
        <w:t xml:space="preserve">Unterabsatz</w:t>
      </w:r>
      <w:r>
        <w:t xml:space="preserve">”</w:t>
      </w:r>
      <w:r>
        <w:t xml:space="preserve">,</w:t>
      </w:r>
      <w:r>
        <w:t xml:space="preserve"> </w:t>
      </w:r>
      <w:r>
        <w:rPr>
          <w:bCs/>
          <w:b/>
        </w:rPr>
        <w:t xml:space="preserve">“</w:t>
      </w:r>
      <w:r>
        <w:rPr>
          <w:bCs/>
          <w:b/>
        </w:rPr>
        <w:t xml:space="preserve">a. F.</w:t>
      </w:r>
      <w:r>
        <w:rPr>
          <w:bCs/>
          <w:b/>
        </w:rPr>
        <w:t xml:space="preserve">”</w:t>
      </w:r>
      <w:r>
        <w:t xml:space="preserve"> </w:t>
      </w:r>
      <w:r>
        <w:t xml:space="preserve">für</w:t>
      </w:r>
      <w:r>
        <w:t xml:space="preserve"> </w:t>
      </w:r>
      <w:r>
        <w:t xml:space="preserve">“</w:t>
      </w:r>
      <w:r>
        <w:t xml:space="preserve">alte Fassung</w:t>
      </w:r>
      <w:r>
        <w:t xml:space="preserve">”</w:t>
      </w:r>
      <w:r>
        <w:t xml:space="preserve">,</w:t>
      </w:r>
      <w:r>
        <w:t xml:space="preserve"> </w:t>
      </w:r>
      <w:r>
        <w:rPr>
          <w:bCs/>
          <w:b/>
        </w:rPr>
        <w:t xml:space="preserve">“</w:t>
      </w:r>
      <w:r>
        <w:rPr>
          <w:bCs/>
          <w:b/>
        </w:rPr>
        <w:t xml:space="preserve">ErwG</w:t>
      </w:r>
      <w:r>
        <w:rPr>
          <w:bCs/>
          <w:b/>
        </w:rPr>
        <w:t xml:space="preserve">”</w:t>
      </w:r>
      <w:r>
        <w:t xml:space="preserve"> </w:t>
      </w:r>
      <w:r>
        <w:t xml:space="preserve">für</w:t>
      </w:r>
      <w:r>
        <w:t xml:space="preserve"> </w:t>
      </w:r>
      <w:r>
        <w:t xml:space="preserve">“</w:t>
      </w:r>
      <w:r>
        <w:t xml:space="preserve">Erwägungsgrund</w:t>
      </w:r>
      <w:r>
        <w:t xml:space="preserve">”</w:t>
      </w:r>
      <w:r>
        <w:t xml:space="preserve">.</w:t>
      </w:r>
    </w:p>
    <w:p>
      <w:pPr>
        <w:pStyle w:val="BodyText"/>
      </w:pPr>
      <w:r>
        <w:rPr>
          <w:bCs/>
          <w:b/>
        </w:rPr>
        <w:t xml:space="preserve">Zum Anspruch dieses Dokuments:</w:t>
      </w:r>
      <w:r>
        <w:t xml:space="preserve"> </w:t>
      </w:r>
      <w:r>
        <w:t xml:space="preserve">Der Text ist verständlich und praxisnah geschrieben. Er ist bewusst einfacher als der Gesetzestext, erfüllt aber nicht durchgehend die formalen Kriterien der</w:t>
      </w:r>
      <w:r>
        <w:t xml:space="preserve"> </w:t>
      </w:r>
      <w:r>
        <w:t xml:space="preserve">“</w:t>
      </w:r>
      <w:r>
        <w:t xml:space="preserve">Einfachen Sprache</w:t>
      </w:r>
      <w:r>
        <w:t xml:space="preserve">”</w:t>
      </w:r>
      <w:r>
        <w:t xml:space="preserve"> </w:t>
      </w:r>
      <w:r>
        <w:t xml:space="preserve">im engeren Sinn — einzelne Sätze bleiben lang, weil die Rechtslage es verlangt. Wo eine Vereinfachung den Inhalt verfälschen würde, hat die Genauigkeit Vorrang.</w:t>
      </w:r>
    </w:p>
    <w:p>
      <w:r>
        <w:pict>
          <v:rect style="width:0;height:1.5pt" o:hralign="center" o:hrstd="t" o:hr="t"/>
        </w:pict>
      </w:r>
    </w:p>
    <w:bookmarkEnd w:id="20"/>
    <w:bookmarkEnd w:id="21"/>
    <w:bookmarkStart w:id="22" w:name="wichtiger-hinweis"/>
    <w:p>
      <w:pPr>
        <w:pStyle w:val="Heading2"/>
      </w:pPr>
      <w:r>
        <w:t xml:space="preserve">Wichtiger Hinweis</w:t>
      </w:r>
    </w:p>
    <w:p>
      <w:pPr>
        <w:pStyle w:val="FirstParagraph"/>
      </w:pPr>
      <w:r>
        <w:t xml:space="preserve">Dieses Dokument ist eine allgemeine Information. Es ersetzt keine Rechtsberatung im Einzelfall. Ob und wie die KI-Verordnung auf ein bestimmtes System in einem bestimmten Unternehmen anzuwenden ist, hängt von Umständen ab, die hier nicht bekannt sind. Für rechtsverbindliche Auskünfte wenden Sie sich bitte an eine Rechtsanwältin oder einen Rechtsanwalt.</w:t>
      </w:r>
    </w:p>
    <w:p>
      <w:pPr>
        <w:pStyle w:val="BodyText"/>
      </w:pPr>
      <w:r>
        <w:t xml:space="preserve">Der Rechtsstand ist der 29.07.2026. Die letzte Änderung der KI-Verordnung wurde am 24.07.2026 im Amtsblatt veröffentlicht und trat am 27.07.2026 in Kraft — zwei Tage vor diesem Rechtsstand. Weitere Änderungen sind möglich. Prüfen Sie vor einer Anwendung, ob es einen neueren Stand gibt.</w:t>
      </w:r>
    </w:p>
    <w:p>
      <w:pPr>
        <w:pStyle w:val="BodyText"/>
      </w:pPr>
      <w:r>
        <w:t xml:space="preserve">Wo dieses Dokument eine Frist oder eine Rechtsfolge angibt, die auf einer Auslegung beruht, ist das ausdrücklich gekennzeichnet. Solche Angaben sind</w:t>
      </w:r>
      <w:r>
        <w:t xml:space="preserve"> </w:t>
      </w:r>
      <w:r>
        <w:rPr>
          <w:bCs/>
          <w:b/>
        </w:rPr>
        <w:t xml:space="preserve">Planungsannahmen</w:t>
      </w:r>
      <w:r>
        <w:t xml:space="preserve">, keine gesicherte Rechtslage.</w:t>
      </w:r>
    </w:p>
    <w:p>
      <w:r>
        <w:pict>
          <v:rect style="width:0;height:1.5pt" o:hralign="center" o:hrstd="t" o:hr="t"/>
        </w:pict>
      </w:r>
    </w:p>
    <w:bookmarkEnd w:id="22"/>
    <w:bookmarkEnd w:id="23"/>
    <w:bookmarkStart w:id="24" w:name="was-ist-der-eu-ai-act-in-zehn-sätzen"/>
    <w:p>
      <w:pPr>
        <w:pStyle w:val="Heading1"/>
      </w:pPr>
      <w:r>
        <w:t xml:space="preserve">1. Was ist der EU AI Act — in zehn Sätzen</w:t>
      </w:r>
    </w:p>
    <w:p>
      <w:pPr>
        <w:numPr>
          <w:ilvl w:val="0"/>
          <w:numId w:val="1001"/>
        </w:numPr>
        <w:pStyle w:val="Compact"/>
      </w:pPr>
      <w:r>
        <w:t xml:space="preserve">Der EU AI Act ist ein europäisches Gesetz, das den Umgang mit Künstlicher Intelligenz regelt.</w:t>
      </w:r>
    </w:p>
    <w:p>
      <w:pPr>
        <w:numPr>
          <w:ilvl w:val="0"/>
          <w:numId w:val="1001"/>
        </w:numPr>
        <w:pStyle w:val="Compact"/>
      </w:pPr>
      <w:r>
        <w:t xml:space="preserve">Er heißt offiziell</w:t>
      </w:r>
      <w:r>
        <w:t xml:space="preserve"> </w:t>
      </w:r>
      <w:r>
        <w:t xml:space="preserve">“</w:t>
      </w:r>
      <w:r>
        <w:t xml:space="preserve">KI-Verordnung</w:t>
      </w:r>
      <w:r>
        <w:t xml:space="preserve">”</w:t>
      </w:r>
      <w:r>
        <w:t xml:space="preserve"> </w:t>
      </w:r>
      <w:r>
        <w:t xml:space="preserve">und gilt seit dem 1. August 2024 — allerdings gestaffelt, nicht alles auf einmal.</w:t>
      </w:r>
    </w:p>
    <w:p>
      <w:pPr>
        <w:numPr>
          <w:ilvl w:val="0"/>
          <w:numId w:val="1001"/>
        </w:numPr>
        <w:pStyle w:val="Compact"/>
      </w:pPr>
      <w:r>
        <w:t xml:space="preserve">Als Verordnung gilt er unmittelbar in allen EU-Mitgliedstaaten; er muss nicht erst in nationales Recht umgesetzt werden.</w:t>
      </w:r>
    </w:p>
    <w:p>
      <w:pPr>
        <w:numPr>
          <w:ilvl w:val="0"/>
          <w:numId w:val="1001"/>
        </w:numPr>
        <w:pStyle w:val="Compact"/>
      </w:pPr>
      <w:r>
        <w:t xml:space="preserve">Er ordnet KI-Systeme nach ihrem Risiko: verboten, hochriskant, transparenzpflichtig oder weitgehend frei — als Prüfreihenfolge, nicht als vier sich ausschließende Schubladen.</w:t>
      </w:r>
    </w:p>
    <w:p>
      <w:pPr>
        <w:numPr>
          <w:ilvl w:val="0"/>
          <w:numId w:val="1001"/>
        </w:numPr>
        <w:pStyle w:val="Compact"/>
      </w:pPr>
      <w:r>
        <w:t xml:space="preserve">Je höher das Risiko, desto mehr Pflichten.</w:t>
      </w:r>
    </w:p>
    <w:p>
      <w:pPr>
        <w:numPr>
          <w:ilvl w:val="0"/>
          <w:numId w:val="1001"/>
        </w:numPr>
        <w:pStyle w:val="Compact"/>
      </w:pPr>
      <w:r>
        <w:t xml:space="preserve">Er unterscheidet außerdem nach Rollen: Wer KI</w:t>
      </w:r>
      <w:r>
        <w:t xml:space="preserve"> </w:t>
      </w:r>
      <w:r>
        <w:rPr>
          <w:bCs/>
          <w:b/>
        </w:rPr>
        <w:t xml:space="preserve">anbietet</w:t>
      </w:r>
      <w:r>
        <w:t xml:space="preserve">, hat andere Pflichten als wer KI</w:t>
      </w:r>
      <w:r>
        <w:t xml:space="preserve"> </w:t>
      </w:r>
      <w:r>
        <w:rPr>
          <w:bCs/>
          <w:b/>
        </w:rPr>
        <w:t xml:space="preserve">einsetzt</w:t>
      </w:r>
      <w:r>
        <w:t xml:space="preserve">.</w:t>
      </w:r>
    </w:p>
    <w:p>
      <w:pPr>
        <w:numPr>
          <w:ilvl w:val="0"/>
          <w:numId w:val="1001"/>
        </w:numPr>
        <w:pStyle w:val="Compact"/>
      </w:pPr>
      <w:r>
        <w:t xml:space="preserve">Für die meisten Unternehmen ist die zweite Rolle die relevante — sie sind Betreiber, nicht Anbieter.</w:t>
      </w:r>
    </w:p>
    <w:p>
      <w:pPr>
        <w:numPr>
          <w:ilvl w:val="0"/>
          <w:numId w:val="1001"/>
        </w:numPr>
        <w:pStyle w:val="Compact"/>
      </w:pPr>
      <w:r>
        <w:t xml:space="preserve">Verstöße können teuer werden: bis zu 35 Millionen Euro oder 7 % des weltweiten Jahresumsatzes.</w:t>
      </w:r>
    </w:p>
    <w:p>
      <w:pPr>
        <w:numPr>
          <w:ilvl w:val="0"/>
          <w:numId w:val="1001"/>
        </w:numPr>
        <w:pStyle w:val="Compact"/>
      </w:pPr>
      <w:r>
        <w:t xml:space="preserve">Im Juli 2026 wurde die Verordnung durch den</w:t>
      </w:r>
      <w:r>
        <w:t xml:space="preserve"> </w:t>
      </w:r>
      <w:r>
        <w:t xml:space="preserve">“</w:t>
      </w:r>
      <w:r>
        <w:t xml:space="preserve">Digital Omnibus</w:t>
      </w:r>
      <w:r>
        <w:t xml:space="preserve">”</w:t>
      </w:r>
      <w:r>
        <w:t xml:space="preserve"> </w:t>
      </w:r>
      <w:r>
        <w:t xml:space="preserve">geändert: Die Pflichten für Hochrisiko-KI wurden verschoben, neue Verbote kamen hinzu.</w:t>
      </w:r>
    </w:p>
    <w:p>
      <w:pPr>
        <w:numPr>
          <w:ilvl w:val="0"/>
          <w:numId w:val="1001"/>
        </w:numPr>
        <w:pStyle w:val="Compact"/>
      </w:pPr>
      <w:r>
        <w:t xml:space="preserve">Was jetzt schon gilt, gilt weiterhin — die Verschiebung betrifft ausschließlich die Hochrisiko-Kapitel.</w:t>
      </w:r>
    </w:p>
    <w:p>
      <w:pPr>
        <w:pStyle w:val="BlockText"/>
      </w:pPr>
      <w:r>
        <w:rPr>
          <w:bCs/>
          <w:b/>
        </w:rPr>
        <w:t xml:space="preserve">Fundstelle:</w:t>
      </w:r>
      <w:r>
        <w:t xml:space="preserve"> </w:t>
      </w:r>
      <w:r>
        <w:t xml:space="preserve">Verordnung (EU) 2024/1689, ABl. L, 2024/1689, 12.7.2024, geändert durch Verordnung (EU) 2026/1744, ABl. 24.7.2026, in Kraft seit 27.07.2026. Inkrafttreten der Grundverordnung: Art. 113 KI-VO.</w:t>
      </w:r>
    </w:p>
    <w:p>
      <w:r>
        <w:pict>
          <v:rect style="width:0;height:1.5pt" o:hralign="center" o:hrstd="t" o:hr="t"/>
        </w:pict>
      </w:r>
    </w:p>
    <w:bookmarkEnd w:id="24"/>
    <w:bookmarkStart w:id="28" w:name="für-wen-gilt-der-ai-act"/>
    <w:p>
      <w:pPr>
        <w:pStyle w:val="Heading1"/>
      </w:pPr>
      <w:r>
        <w:t xml:space="preserve">2. Für wen gilt der AI Act?</w:t>
      </w:r>
    </w:p>
    <w:bookmarkStart w:id="25" w:name="Xe0c4aa7fee1936fe74b02a5dbf2f4bccb49a7d1"/>
    <w:p>
      <w:pPr>
        <w:pStyle w:val="Heading2"/>
      </w:pPr>
      <w:r>
        <w:t xml:space="preserve">2.1 Der räumliche Anwendungsbereich — auch außerhalb der EU</w:t>
      </w:r>
    </w:p>
    <w:p>
      <w:pPr>
        <w:pStyle w:val="FirstParagraph"/>
      </w:pPr>
      <w:r>
        <w:t xml:space="preserve">Die Verordnung gilt nicht nur für Unternehmen mit Sitz in der EU. Sie gilt für sieben Gruppen:</w:t>
      </w:r>
    </w:p>
    <w:p>
      <w:pPr>
        <w:numPr>
          <w:ilvl w:val="0"/>
          <w:numId w:val="1002"/>
        </w:numPr>
        <w:pStyle w:val="Compact"/>
      </w:pPr>
      <w:r>
        <w:rPr>
          <w:bCs/>
          <w:b/>
        </w:rPr>
        <w:t xml:space="preserve">Anbieter</w:t>
      </w:r>
      <w:r>
        <w:t xml:space="preserve">, die KI-Systeme in der EU in Verkehr bringen oder in Betrieb nehmen — egal, wo sie sitzen.</w:t>
      </w:r>
    </w:p>
    <w:p>
      <w:pPr>
        <w:numPr>
          <w:ilvl w:val="0"/>
          <w:numId w:val="1002"/>
        </w:numPr>
        <w:pStyle w:val="Compact"/>
      </w:pPr>
      <w:r>
        <w:rPr>
          <w:bCs/>
          <w:b/>
        </w:rPr>
        <w:t xml:space="preserve">Betreiber</w:t>
      </w:r>
      <w:r>
        <w:t xml:space="preserve"> </w:t>
      </w:r>
      <w:r>
        <w:t xml:space="preserve">mit Sitz in der EU oder die sich in der EU befinden.</w:t>
      </w:r>
    </w:p>
    <w:p>
      <w:pPr>
        <w:numPr>
          <w:ilvl w:val="0"/>
          <w:numId w:val="1002"/>
        </w:numPr>
        <w:pStyle w:val="Compact"/>
      </w:pPr>
      <w:r>
        <w:rPr>
          <w:bCs/>
          <w:b/>
        </w:rPr>
        <w:t xml:space="preserve">Anbieter und Betreiber aus Drittstaaten</w:t>
      </w:r>
      <w:r>
        <w:t xml:space="preserve">, wenn die vom KI-System hervorgebrachte</w:t>
      </w:r>
      <w:r>
        <w:t xml:space="preserve"> </w:t>
      </w:r>
      <w:r>
        <w:rPr>
          <w:bCs/>
          <w:b/>
        </w:rPr>
        <w:t xml:space="preserve">Ausgabe</w:t>
      </w:r>
      <w:r>
        <w:t xml:space="preserve"> </w:t>
      </w:r>
      <w:r>
        <w:t xml:space="preserve">in der Union verwendet wird.</w:t>
      </w:r>
    </w:p>
    <w:p>
      <w:pPr>
        <w:numPr>
          <w:ilvl w:val="0"/>
          <w:numId w:val="1002"/>
        </w:numPr>
        <w:pStyle w:val="Compact"/>
      </w:pPr>
      <w:r>
        <w:rPr>
          <w:bCs/>
          <w:b/>
        </w:rPr>
        <w:t xml:space="preserve">Einführer und Händler</w:t>
      </w:r>
      <w:r>
        <w:t xml:space="preserve"> </w:t>
      </w:r>
      <w:r>
        <w:t xml:space="preserve">von KI-Systemen.</w:t>
      </w:r>
    </w:p>
    <w:p>
      <w:pPr>
        <w:numPr>
          <w:ilvl w:val="0"/>
          <w:numId w:val="1002"/>
        </w:numPr>
        <w:pStyle w:val="Compact"/>
      </w:pPr>
      <w:r>
        <w:rPr>
          <w:bCs/>
          <w:b/>
        </w:rPr>
        <w:t xml:space="preserve">Produkthersteller</w:t>
      </w:r>
      <w:r>
        <w:t xml:space="preserve">, die KI zusammen mit ihrem Produkt unter eigenem Namen anbieten.</w:t>
      </w:r>
    </w:p>
    <w:p>
      <w:pPr>
        <w:numPr>
          <w:ilvl w:val="0"/>
          <w:numId w:val="1002"/>
        </w:numPr>
        <w:pStyle w:val="Compact"/>
      </w:pPr>
      <w:r>
        <w:rPr>
          <w:bCs/>
          <w:b/>
        </w:rPr>
        <w:t xml:space="preserve">Bevollmächtigte</w:t>
      </w:r>
      <w:r>
        <w:t xml:space="preserve"> </w:t>
      </w:r>
      <w:r>
        <w:t xml:space="preserve">von Anbietern aus Drittstaaten.</w:t>
      </w:r>
    </w:p>
    <w:p>
      <w:pPr>
        <w:numPr>
          <w:ilvl w:val="0"/>
          <w:numId w:val="1002"/>
        </w:numPr>
        <w:pStyle w:val="Compact"/>
      </w:pPr>
      <w:r>
        <w:rPr>
          <w:bCs/>
          <w:b/>
        </w:rPr>
        <w:t xml:space="preserve">Betroffene Personen</w:t>
      </w:r>
      <w:r>
        <w:t xml:space="preserve">, die sich in der EU befinden.</w:t>
      </w:r>
    </w:p>
    <w:p>
      <w:pPr>
        <w:pStyle w:val="FirstParagraph"/>
      </w:pPr>
      <w:r>
        <w:t xml:space="preserve">Der dritte Punkt ist der weitreichendste. Ein Unternehmen in den USA, das ein KI-System betreibt, dessen Ausgaben ein Kunde in Deutschland nutzt, kann dadurch unter die Verordnung fallen — auch ohne Niederlassung in Europa. Ob das im Einzelfall zutrifft, hängt davon ab, was mit der Ausgabe tatsächlich geschieht, wie die Vertragsbeziehungen gestaltet sind und wo die Nutzung stattfindet.</w:t>
      </w:r>
    </w:p>
    <w:p>
      <w:pPr>
        <w:pStyle w:val="BlockText"/>
      </w:pPr>
      <w:r>
        <w:rPr>
          <w:bCs/>
          <w:b/>
        </w:rPr>
        <w:t xml:space="preserve">Fundstelle:</w:t>
      </w:r>
      <w:r>
        <w:t xml:space="preserve"> </w:t>
      </w:r>
      <w:r>
        <w:t xml:space="preserve">Art. 2 Abs. 1 lit. a–g KI-VO. Der amtliche deutsche Wortlaut der lit. c:</w:t>
      </w:r>
      <w:r>
        <w:t xml:space="preserve"> </w:t>
      </w:r>
      <w:r>
        <w:t xml:space="preserve">“</w:t>
      </w:r>
      <w:r>
        <w:t xml:space="preserve">Anbieter und Betreiber von KI-Systemen, die ihren Sitz in einem Drittland haben oder sich in einem Drittland befinden, wenn die vom KI-System hervorgebrachte Ausgabe in der Union verwendet wird</w:t>
      </w:r>
      <w:r>
        <w:t xml:space="preserve">”</w:t>
      </w:r>
      <w:r>
        <w:t xml:space="preserve">.</w:t>
      </w:r>
    </w:p>
    <w:bookmarkEnd w:id="25"/>
    <w:bookmarkStart w:id="26" w:name="was-ist-überhaupt-ein-ki-system"/>
    <w:p>
      <w:pPr>
        <w:pStyle w:val="Heading2"/>
      </w:pPr>
      <w:r>
        <w:t xml:space="preserve">2.2 Was ist überhaupt ein</w:t>
      </w:r>
      <w:r>
        <w:t xml:space="preserve"> </w:t>
      </w:r>
      <w:r>
        <w:t xml:space="preserve">“</w:t>
      </w:r>
      <w:r>
        <w:t xml:space="preserve">KI-System</w:t>
      </w:r>
      <w:r>
        <w:t xml:space="preserve">”</w:t>
      </w:r>
      <w:r>
        <w:t xml:space="preserve">?</w:t>
      </w:r>
    </w:p>
    <w:p>
      <w:pPr>
        <w:pStyle w:val="FirstParagraph"/>
      </w:pPr>
      <w:r>
        <w:t xml:space="preserve">Die Verordnung definiert den Begriff bewusst weit:</w:t>
      </w:r>
    </w:p>
    <w:p>
      <w:pPr>
        <w:pStyle w:val="BlockText"/>
      </w:pPr>
      <w:r>
        <w:t xml:space="preserve">“</w:t>
      </w:r>
      <w:r>
        <w:t xml:space="preserve">ein maschinengestütztes System, das für einen in unterschiedlichem Grade autonomen Betrieb ausgelegt ist und das nach seiner Betriebsaufnahme anpassungsfähig sein kann und das aus den erhaltenen Eingaben für explizite oder implizite Ziele ableitet, wie Ausgaben wie etwa Vorhersagen, Inhalte, Empfehlungen oder Entscheidungen erstellt werden, die physische oder virtuelle Umgebungen beeinflussen können</w:t>
      </w:r>
      <w:r>
        <w:t xml:space="preserve">”</w:t>
      </w:r>
    </w:p>
    <w:p>
      <w:pPr>
        <w:pStyle w:val="FirstParagraph"/>
      </w:pPr>
      <w:r>
        <w:t xml:space="preserve">Einfacher gesagt: Ein System, das aus Eingaben selbstständig Ergebnisse ableitet — und zwar nicht nur nach starr programmierten Regeln, sondern mit einem gewissen Grad an Eigenständigkeit.</w:t>
      </w:r>
    </w:p>
    <w:p>
      <w:pPr>
        <w:pStyle w:val="BodyText"/>
      </w:pPr>
      <w:r>
        <w:t xml:space="preserve">Klassische Software mit fest programmierter Wenn-Dann-Logik fällt in der Regel nicht darunter. Ein Machine-Learning-Modell, ein Sprachmodell, ein Empfehlungssystem in der Regel schon.</w:t>
      </w:r>
    </w:p>
    <w:p>
      <w:pPr>
        <w:pStyle w:val="BlockText"/>
      </w:pPr>
      <w:r>
        <w:rPr>
          <w:bCs/>
          <w:b/>
        </w:rPr>
        <w:t xml:space="preserve">Fundstelle:</w:t>
      </w:r>
      <w:r>
        <w:t xml:space="preserve"> </w:t>
      </w:r>
      <w:r>
        <w:t xml:space="preserve">Art. 3 Nr. 1 KI-VO.</w:t>
      </w:r>
    </w:p>
    <w:bookmarkEnd w:id="26"/>
    <w:bookmarkStart w:id="27" w:name="wann-gilt-die-verordnung-nicht"/>
    <w:p>
      <w:pPr>
        <w:pStyle w:val="Heading2"/>
      </w:pPr>
      <w:r>
        <w:t xml:space="preserve">2.3 Wann gilt die Verordnung</w:t>
      </w:r>
      <w:r>
        <w:t xml:space="preserve"> </w:t>
      </w:r>
      <w:r>
        <w:rPr>
          <w:bCs/>
          <w:b/>
        </w:rPr>
        <w:t xml:space="preserve">nicht</w:t>
      </w:r>
      <w:r>
        <w:t xml:space="preserve">?</w:t>
      </w:r>
    </w:p>
    <w:p>
      <w:pPr>
        <w:pStyle w:val="FirstParagraph"/>
      </w:pPr>
      <w:r>
        <w:t xml:space="preserve">Es gibt mehrere Ausnahmen. Die für Unternehmen wichtigsten:</w:t>
      </w:r>
    </w:p>
    <w:p>
      <w:pPr>
        <w:pStyle w:val="BodyText"/>
      </w:pPr>
      <w:r>
        <w:rPr>
          <w:bCs/>
          <w:b/>
        </w:rPr>
        <w:t xml:space="preserve">Militär, Verteidigung, nationale Sicherheit.</w:t>
      </w:r>
      <w:r>
        <w:t xml:space="preserve"> </w:t>
      </w:r>
      <w:r>
        <w:t xml:space="preserve">Die Verordnung gilt nicht für KI-Systeme, die ausschließlich für militärische Zwecke, Verteidigungszwecke oder Zwecke der nationalen Sicherheit in Verkehr gebracht, in Betrieb genommen oder verwendet werden.</w:t>
      </w:r>
    </w:p>
    <w:p>
      <w:pPr>
        <w:pStyle w:val="BlockText"/>
      </w:pPr>
      <w:r>
        <w:rPr>
          <w:bCs/>
          <w:b/>
        </w:rPr>
        <w:t xml:space="preserve">Fundstelle:</w:t>
      </w:r>
      <w:r>
        <w:t xml:space="preserve"> </w:t>
      </w:r>
      <w:r>
        <w:t xml:space="preserve">Art. 2 Abs. 3 KI-VO.</w:t>
      </w:r>
    </w:p>
    <w:p>
      <w:pPr>
        <w:pStyle w:val="FirstParagraph"/>
      </w:pPr>
      <w:r>
        <w:rPr>
          <w:bCs/>
          <w:b/>
        </w:rPr>
        <w:t xml:space="preserve">Wissenschaftliche Forschung und Entwicklung.</w:t>
      </w:r>
      <w:r>
        <w:t xml:space="preserve"> </w:t>
      </w:r>
      <w:r>
        <w:t xml:space="preserve">Systeme, die eigens für den alleinigen Zweck wissenschaftlicher Forschung und Entwicklung entwickelt und in Betrieb genommen werden, sind ausgenommen.</w:t>
      </w:r>
    </w:p>
    <w:p>
      <w:pPr>
        <w:pStyle w:val="BlockText"/>
      </w:pPr>
      <w:r>
        <w:rPr>
          <w:bCs/>
          <w:b/>
        </w:rPr>
        <w:t xml:space="preserve">Fundstelle:</w:t>
      </w:r>
      <w:r>
        <w:t xml:space="preserve"> </w:t>
      </w:r>
      <w:r>
        <w:t xml:space="preserve">Art. 2 Abs. 6 KI-VO.</w:t>
      </w:r>
    </w:p>
    <w:p>
      <w:pPr>
        <w:pStyle w:val="FirstParagraph"/>
      </w:pPr>
      <w:r>
        <w:rPr>
          <w:bCs/>
          <w:b/>
        </w:rPr>
        <w:t xml:space="preserve">Entwicklung vor der Markteinführung.</w:t>
      </w:r>
      <w:r>
        <w:t xml:space="preserve"> </w:t>
      </w:r>
      <w:r>
        <w:t xml:space="preserve">Forschungs-, Test- und Entwicklungstätigkeiten vor dem Inverkehrbringen sind ausgenommen.</w:t>
      </w:r>
      <w:r>
        <w:t xml:space="preserve"> </w:t>
      </w:r>
      <w:r>
        <w:rPr>
          <w:bCs/>
          <w:b/>
        </w:rPr>
        <w:t xml:space="preserve">Achtung:</w:t>
      </w:r>
      <w:r>
        <w:t xml:space="preserve"> </w:t>
      </w:r>
      <w:r>
        <w:t xml:space="preserve">Tests unter Realbedingungen fallen ausdrücklich</w:t>
      </w:r>
      <w:r>
        <w:t xml:space="preserve"> </w:t>
      </w:r>
      <w:r>
        <w:rPr>
          <w:bCs/>
          <w:b/>
        </w:rPr>
        <w:t xml:space="preserve">nicht</w:t>
      </w:r>
      <w:r>
        <w:t xml:space="preserve"> </w:t>
      </w:r>
      <w:r>
        <w:t xml:space="preserve">unter diese Ausnahme.</w:t>
      </w:r>
    </w:p>
    <w:p>
      <w:pPr>
        <w:pStyle w:val="BlockText"/>
      </w:pPr>
      <w:r>
        <w:rPr>
          <w:bCs/>
          <w:b/>
        </w:rPr>
        <w:t xml:space="preserve">Fundstelle:</w:t>
      </w:r>
      <w:r>
        <w:t xml:space="preserve"> </w:t>
      </w:r>
      <w:r>
        <w:t xml:space="preserve">Art. 2 Abs. 8 KI-VO.</w:t>
      </w:r>
    </w:p>
    <w:p>
      <w:pPr>
        <w:pStyle w:val="FirstParagraph"/>
      </w:pPr>
      <w:r>
        <w:rPr>
          <w:bCs/>
          <w:b/>
        </w:rPr>
        <w:t xml:space="preserve">Private Nutzung.</w:t>
      </w:r>
      <w:r>
        <w:t xml:space="preserve"> </w:t>
      </w:r>
      <w:r>
        <w:t xml:space="preserve">Wer KI als Privatperson im Rahmen einer ausschließlich persönlichen und nicht beruflichen Tätigkeit nutzt, unterliegt nicht den Betreiberpflichten. Sobald die Nutzung beruflich ist, greift die Verordnung.</w:t>
      </w:r>
    </w:p>
    <w:p>
      <w:pPr>
        <w:pStyle w:val="BlockText"/>
      </w:pPr>
      <w:r>
        <w:rPr>
          <w:bCs/>
          <w:b/>
        </w:rPr>
        <w:t xml:space="preserve">Fundstelle:</w:t>
      </w:r>
      <w:r>
        <w:t xml:space="preserve"> </w:t>
      </w:r>
      <w:r>
        <w:t xml:space="preserve">Art. 2 Abs. 10 KI-VO. Ebenso bereits in der Definition des Betreibers, Art. 3 Nr. 4 KI-VO.</w:t>
      </w:r>
    </w:p>
    <w:p>
      <w:pPr>
        <w:pStyle w:val="FirstParagraph"/>
      </w:pPr>
      <w:r>
        <w:rPr>
          <w:bCs/>
          <w:b/>
        </w:rPr>
        <w:t xml:space="preserve">Open Source — aber mit engen Grenzen.</w:t>
      </w:r>
      <w:r>
        <w:t xml:space="preserve"> </w:t>
      </w:r>
      <w:r>
        <w:t xml:space="preserve">Die Verordnung gilt nicht für KI-Systeme, die unter freien und quelloffenen Lizenzen bereitgestellt werden. Diese Ausnahme entfällt jedoch, sobald das System als Hochrisiko-System in Verkehr gebracht oder in Betrieb genommen wird oder unter Art. 5 (Verbote) oder Art. 50 (Transparenz) fällt. Das ist keine pauschale Freistellung: Sie betrifft nur die KI-Verordnung. Datenschutzrecht, Produktsicherheitsrecht, Urheberrecht und Vertragsrecht bleiben unberührt. Für KI-Modelle mit allgemeinem Verwendungszweck gilt eine eigene, engere Regel.</w:t>
      </w:r>
    </w:p>
    <w:p>
      <w:pPr>
        <w:pStyle w:val="BlockText"/>
      </w:pPr>
      <w:r>
        <w:rPr>
          <w:bCs/>
          <w:b/>
        </w:rPr>
        <w:t xml:space="preserve">Fundstelle:</w:t>
      </w:r>
      <w:r>
        <w:t xml:space="preserve"> </w:t>
      </w:r>
      <w:r>
        <w:t xml:space="preserve">Art. 2 Abs. 12 KI-VO:</w:t>
      </w:r>
      <w:r>
        <w:t xml:space="preserve"> </w:t>
      </w:r>
      <w:r>
        <w:t xml:space="preserve">“</w:t>
      </w:r>
      <w:r>
        <w:t xml:space="preserve">Diese Verordnung gilt nicht für KI-Systeme, die unter freien und quelloffenen Lizenzen bereitgestellt werden, es sei denn, sie werden als Hochrisiko-KI-Systeme oder als ein KI-System, das unter Artikel 5 oder 50 fällt, in Verkehr gebracht oder in Betrieb genommen.</w:t>
      </w:r>
      <w:r>
        <w:t xml:space="preserve">”</w:t>
      </w:r>
      <w:r>
        <w:t xml:space="preserve"> </w:t>
      </w:r>
      <w:r>
        <w:t xml:space="preserve">Für GPAI-Modelle: Art. 53 Abs. 2 und Art. 54 Abs. 6 KI-VO. Ausnahme für Dritte, die Instrumente, Dienste oder Komponenten unter freier Lizenz bereitstellen: Art. 25 Abs. 4 KI-VO n. F.</w:t>
      </w:r>
    </w:p>
    <w:p>
      <w:r>
        <w:pict>
          <v:rect style="width:0;height:1.5pt" o:hralign="center" o:hrstd="t" o:hr="t"/>
        </w:pict>
      </w:r>
    </w:p>
    <w:bookmarkEnd w:id="27"/>
    <w:bookmarkEnd w:id="28"/>
    <w:bookmarkStart w:id="33" w:name="X508f3a2a79262328ce58af81edd0165c54ce6af"/>
    <w:p>
      <w:pPr>
        <w:pStyle w:val="Heading1"/>
      </w:pPr>
      <w:r>
        <w:t xml:space="preserve">3. Die Risikostufen — ein Prüfmodell in vier Schritten</w:t>
      </w:r>
    </w:p>
    <w:p>
      <w:pPr>
        <w:pStyle w:val="FirstParagraph"/>
      </w:pPr>
      <w:r>
        <w:t xml:space="preserve">Die Verordnung ordnet KI-Systeme nach Risiko. Je höher das Risiko, desto strenger die Regeln.</w:t>
      </w:r>
    </w:p>
    <w:p>
      <w:pPr>
        <w:pStyle w:val="BlockText"/>
      </w:pPr>
      <w:r>
        <w:rPr>
          <w:bCs/>
          <w:b/>
        </w:rPr>
        <w:t xml:space="preserve">Bitte beachten:</w:t>
      </w:r>
      <w:r>
        <w:t xml:space="preserve"> </w:t>
      </w:r>
      <w:r>
        <w:t xml:space="preserve">Die folgenden vier Stufen sind ein</w:t>
      </w:r>
      <w:r>
        <w:t xml:space="preserve"> </w:t>
      </w:r>
      <w:r>
        <w:rPr>
          <w:bCs/>
          <w:b/>
        </w:rPr>
        <w:t xml:space="preserve">vereinfachtes Arbeitsmodell für die erste Orientierung</w:t>
      </w:r>
      <w:r>
        <w:t xml:space="preserve">, keine abschließende gesetzliche Klassifikation. Die Stufen schließen sich nicht gegenseitig aus. Ein Hochrisiko-System kann zusätzlich transparenzpflichtig sein. KI-Modelle mit allgemeinem Verwendungszweck (GPAI) bilden einen eigenen Regelungsbereich neben diesen Stufen (Kapitel 8). Prüfen Sie deshalb</w:t>
      </w:r>
      <w:r>
        <w:t xml:space="preserve"> </w:t>
      </w:r>
      <w:r>
        <w:rPr>
          <w:bCs/>
          <w:b/>
        </w:rPr>
        <w:t xml:space="preserve">alle</w:t>
      </w:r>
      <w:r>
        <w:t xml:space="preserve"> </w:t>
      </w:r>
      <w:r>
        <w:t xml:space="preserve">Stufen, nicht nur die erste, die passt.</w:t>
      </w:r>
    </w:p>
    <w:bookmarkStart w:id="29" w:name="stufe-1-verboten"/>
    <w:p>
      <w:pPr>
        <w:pStyle w:val="Heading2"/>
      </w:pPr>
      <w:r>
        <w:t xml:space="preserve">Stufe 1: Verboten</w:t>
      </w:r>
    </w:p>
    <w:p>
      <w:pPr>
        <w:pStyle w:val="FirstParagraph"/>
      </w:pPr>
      <w:r>
        <w:t xml:space="preserve">Diese Systeme dürfen in der EU nicht angeboten, in Betrieb genommen oder verwendet werden. Es gibt weder eine Übergangsfrist noch einen Bestandsschutz. Ausnahmen bestehen nur, wo die Verordnung sie ausdrücklich vorsieht — insbesondere die behördliche Vorabgenehmigung für die biometrische Echtzeit-Fernidentifizierung zu Strafverfolgungszwecken. Die Verbote nach Art. 5 Abs. 1 lit. a bis h gelten seit dem 2. Februar 2025, die beiden neuen Verbote (NCII, CSAM) ab dem 2. Dezember 2026.</w:t>
      </w:r>
    </w:p>
    <w:p>
      <w:pPr>
        <w:pStyle w:val="BodyText"/>
      </w:pPr>
      <w:r>
        <w:rPr>
          <w:bCs/>
          <w:b/>
        </w:rPr>
        <w:t xml:space="preserve">Beispiele:</w:t>
      </w:r>
      <w:r>
        <w:t xml:space="preserve"> </w:t>
      </w:r>
      <w:r>
        <w:t xml:space="preserve">Social Scoring durch Behörden oder Unternehmen; Emotionserkennung am Arbeitsplatz; das ungezielte Absammeln von Gesichtsbildern aus dem Internet zum Aufbau einer Gesichtserkennungsdatenbank.</w:t>
      </w:r>
    </w:p>
    <w:p>
      <w:pPr>
        <w:pStyle w:val="BodyText"/>
      </w:pPr>
      <w:r>
        <w:t xml:space="preserve">Details in Kapitel 5.</w:t>
      </w:r>
    </w:p>
    <w:p>
      <w:pPr>
        <w:pStyle w:val="BlockText"/>
      </w:pPr>
      <w:r>
        <w:rPr>
          <w:bCs/>
          <w:b/>
        </w:rPr>
        <w:t xml:space="preserve">Fundstelle:</w:t>
      </w:r>
      <w:r>
        <w:t xml:space="preserve"> </w:t>
      </w:r>
      <w:r>
        <w:t xml:space="preserve">Art. 5 KI-VO. Geltungsbeginn: Art. 113 Abs. 3 lit. a KI-VO.</w:t>
      </w:r>
    </w:p>
    <w:bookmarkEnd w:id="29"/>
    <w:bookmarkStart w:id="30" w:name="stufe-2-hochriskant"/>
    <w:p>
      <w:pPr>
        <w:pStyle w:val="Heading2"/>
      </w:pPr>
      <w:r>
        <w:t xml:space="preserve">Stufe 2: Hochriskant</w:t>
      </w:r>
    </w:p>
    <w:p>
      <w:pPr>
        <w:pStyle w:val="FirstParagraph"/>
      </w:pPr>
      <w:r>
        <w:t xml:space="preserve">Diese Systeme sind erlaubt, aber stark reguliert. Es gibt zwei Wege in diese Kategorie:</w:t>
      </w:r>
    </w:p>
    <w:p>
      <w:pPr>
        <w:pStyle w:val="BodyText"/>
      </w:pPr>
      <w:r>
        <w:rPr>
          <w:bCs/>
          <w:b/>
        </w:rPr>
        <w:t xml:space="preserve">Weg A — über das Produkt:</w:t>
      </w:r>
      <w:r>
        <w:t xml:space="preserve"> </w:t>
      </w:r>
      <w:r>
        <w:t xml:space="preserve">Das KI-System ist ein Sicherheitsbauteil eines Produkts, das ohnehin einer EU-Produktsicherheitsvorschrift unterliegt und von einer unabhängigen Stelle geprüft werden muss. Beispiele: Medizinprodukte, Aufzüge, persönliche Schutzausrüstung.</w:t>
      </w:r>
    </w:p>
    <w:p>
      <w:pPr>
        <w:pStyle w:val="BlockText"/>
      </w:pPr>
      <w:r>
        <w:rPr>
          <w:bCs/>
          <w:b/>
        </w:rPr>
        <w:t xml:space="preserve">Fundstelle:</w:t>
      </w:r>
      <w:r>
        <w:t xml:space="preserve"> </w:t>
      </w:r>
      <w:r>
        <w:t xml:space="preserve">Art. 6 Abs. 1 KI-VO i. V. m. Anhang I KI-VO.</w:t>
      </w:r>
    </w:p>
    <w:p>
      <w:pPr>
        <w:pStyle w:val="FirstParagraph"/>
      </w:pPr>
      <w:r>
        <w:rPr>
          <w:bCs/>
          <w:b/>
        </w:rPr>
        <w:t xml:space="preserve">Weg B — über den Anwendungsbereich:</w:t>
      </w:r>
      <w:r>
        <w:t xml:space="preserve"> </w:t>
      </w:r>
      <w:r>
        <w:t xml:space="preserve">Das System wird in einem der acht in Anhang III genannten Bereiche eingesetzt. Beispiele: Personalauswahl, Kreditwürdigkeitsprüfung, Zugang zu Bildung.</w:t>
      </w:r>
    </w:p>
    <w:p>
      <w:pPr>
        <w:pStyle w:val="BlockText"/>
      </w:pPr>
      <w:r>
        <w:rPr>
          <w:bCs/>
          <w:b/>
        </w:rPr>
        <w:t xml:space="preserve">Fundstelle:</w:t>
      </w:r>
      <w:r>
        <w:t xml:space="preserve"> </w:t>
      </w:r>
      <w:r>
        <w:t xml:space="preserve">Art. 6 Abs. 2 KI-VO i. V. m. Anhang III KI-VO.</w:t>
      </w:r>
    </w:p>
    <w:p>
      <w:pPr>
        <w:pStyle w:val="FirstParagraph"/>
      </w:pPr>
      <w:r>
        <w:t xml:space="preserve">Details in Kapitel 6.</w:t>
      </w:r>
    </w:p>
    <w:bookmarkEnd w:id="30"/>
    <w:bookmarkStart w:id="31" w:name="stufe-3-transparenzpflichtig"/>
    <w:p>
      <w:pPr>
        <w:pStyle w:val="Heading2"/>
      </w:pPr>
      <w:r>
        <w:t xml:space="preserve">Stufe 3: Transparenzpflichtig</w:t>
      </w:r>
    </w:p>
    <w:p>
      <w:pPr>
        <w:pStyle w:val="FirstParagraph"/>
      </w:pPr>
      <w:r>
        <w:t xml:space="preserve">Manche Systeme sind nicht hochriskant, können aber Menschen täuschen. Für sie gilt: Es muss erkennbar sein, dass hier KI im Spiel ist.</w:t>
      </w:r>
    </w:p>
    <w:p>
      <w:pPr>
        <w:pStyle w:val="BodyText"/>
      </w:pPr>
      <w:r>
        <w:rPr>
          <w:bCs/>
          <w:b/>
        </w:rPr>
        <w:t xml:space="preserve">Beispiele:</w:t>
      </w:r>
      <w:r>
        <w:t xml:space="preserve"> </w:t>
      </w:r>
      <w:r>
        <w:t xml:space="preserve">Chatbots, KI-generierte Bilder und Texte, Deepfakes.</w:t>
      </w:r>
    </w:p>
    <w:p>
      <w:pPr>
        <w:pStyle w:val="BodyText"/>
      </w:pPr>
      <w:r>
        <w:t xml:space="preserve">Diese Pflichten gelten ab dem</w:t>
      </w:r>
      <w:r>
        <w:t xml:space="preserve"> </w:t>
      </w:r>
      <w:r>
        <w:rPr>
          <w:bCs/>
          <w:b/>
        </w:rPr>
        <w:t xml:space="preserve">2. August 2026</w:t>
      </w:r>
      <w:r>
        <w:t xml:space="preserve"> </w:t>
      </w:r>
      <w:r>
        <w:t xml:space="preserve">— unabhängig davon, ob das System auch hochriskant ist. Details in Kapitel 8.</w:t>
      </w:r>
    </w:p>
    <w:p>
      <w:pPr>
        <w:pStyle w:val="BlockText"/>
      </w:pPr>
      <w:r>
        <w:rPr>
          <w:bCs/>
          <w:b/>
        </w:rPr>
        <w:t xml:space="preserve">Fundstelle:</w:t>
      </w:r>
      <w:r>
        <w:t xml:space="preserve"> </w:t>
      </w:r>
      <w:r>
        <w:t xml:space="preserve">Art. 50 KI-VO. Geltungsbeginn: Art. 113 Abs. 1 KI-VO.</w:t>
      </w:r>
    </w:p>
    <w:bookmarkEnd w:id="31"/>
    <w:bookmarkStart w:id="32" w:name="stufe-4-geringes-risiko"/>
    <w:p>
      <w:pPr>
        <w:pStyle w:val="Heading2"/>
      </w:pPr>
      <w:r>
        <w:t xml:space="preserve">Stufe 4: Geringes Risiko</w:t>
      </w:r>
    </w:p>
    <w:p>
      <w:pPr>
        <w:pStyle w:val="FirstParagraph"/>
      </w:pPr>
      <w:r>
        <w:t xml:space="preserve">Alles Übrige. Hier greifen keine der besonderen Pflichten aus den Stufen 1 bis 3 — die Pflicht zur KI-Kompetenz nach Art. 4 gilt jedoch für</w:t>
      </w:r>
      <w:r>
        <w:t xml:space="preserve"> </w:t>
      </w:r>
      <w:r>
        <w:rPr>
          <w:bCs/>
          <w:b/>
        </w:rPr>
        <w:t xml:space="preserve">alle</w:t>
      </w:r>
      <w:r>
        <w:t xml:space="preserve"> </w:t>
      </w:r>
      <w:r>
        <w:t xml:space="preserve">KI-Systeme, unabhängig von der Stufe.</w:t>
      </w:r>
    </w:p>
    <w:p>
      <w:pPr>
        <w:pStyle w:val="BodyText"/>
      </w:pPr>
      <w:r>
        <w:rPr>
          <w:bCs/>
          <w:b/>
        </w:rPr>
        <w:t xml:space="preserve">Wichtig:</w:t>
      </w:r>
      <w:r>
        <w:t xml:space="preserve"> </w:t>
      </w:r>
      <w:r>
        <w:t xml:space="preserve">“</w:t>
      </w:r>
      <w:r>
        <w:t xml:space="preserve">Geringes Risiko</w:t>
      </w:r>
      <w:r>
        <w:t xml:space="preserve">”</w:t>
      </w:r>
      <w:r>
        <w:t xml:space="preserve"> </w:t>
      </w:r>
      <w:r>
        <w:t xml:space="preserve">ist keine rechtliche Freigabe. Auch außerhalb der besonderen Pflichten der KI-Verordnung können Datenschutzrecht, Arbeitsrecht und Mitbestimmung, Urheberrecht, Produktsicherheitsrecht, Wettbewerbsrecht und das Vertragsrecht einschlägig sein. Die Einstufung sagt nur, dass die</w:t>
      </w:r>
      <w:r>
        <w:t xml:space="preserve"> </w:t>
      </w:r>
      <w:r>
        <w:rPr>
          <w:bCs/>
          <w:b/>
        </w:rPr>
        <w:t xml:space="preserve">hier geprüften</w:t>
      </w:r>
      <w:r>
        <w:t xml:space="preserve"> </w:t>
      </w:r>
      <w:r>
        <w:t xml:space="preserve">Kategorien der KI-Verordnung nicht greifen.</w:t>
      </w:r>
    </w:p>
    <w:p>
      <w:pPr>
        <w:pStyle w:val="BodyText"/>
      </w:pPr>
      <w:r>
        <w:rPr>
          <w:bCs/>
          <w:b/>
        </w:rPr>
        <w:t xml:space="preserve">Beispiele:</w:t>
      </w:r>
      <w:r>
        <w:t xml:space="preserve"> </w:t>
      </w:r>
      <w:r>
        <w:t xml:space="preserve">Spam-Filter, KI in Computerspielen, Rechtschreibkorrektur.</w:t>
      </w:r>
    </w:p>
    <w:p>
      <w:pPr>
        <w:pStyle w:val="BlockText"/>
      </w:pPr>
      <w:r>
        <w:rPr>
          <w:bCs/>
          <w:b/>
        </w:rPr>
        <w:t xml:space="preserve">Fundstelle:</w:t>
      </w:r>
      <w:r>
        <w:t xml:space="preserve"> </w:t>
      </w:r>
      <w:r>
        <w:t xml:space="preserve">Art. 4 KI-VO n. F. Der Artikel steht in Kapitel I (Allgemeine Bestimmungen) und ist nicht auf Hochrisiko-Systeme beschränkt.</w:t>
      </w:r>
    </w:p>
    <w:p>
      <w:r>
        <w:pict>
          <v:rect style="width:0;height:1.5pt" o:hralign="center" o:hrstd="t" o:hr="t"/>
        </w:pict>
      </w:r>
    </w:p>
    <w:bookmarkEnd w:id="32"/>
    <w:bookmarkEnd w:id="33"/>
    <w:bookmarkStart w:id="38" w:name="die-rollen-wer-sind-sie-eigentlich"/>
    <w:p>
      <w:pPr>
        <w:pStyle w:val="Heading1"/>
      </w:pPr>
      <w:r>
        <w:t xml:space="preserve">4. Die Rollen: Wer sind Sie eigentlich?</w:t>
      </w:r>
    </w:p>
    <w:p>
      <w:pPr>
        <w:pStyle w:val="FirstParagraph"/>
      </w:pPr>
      <w:r>
        <w:t xml:space="preserve">Dies ist die praktisch wichtigste Frage. Von der Antwort hängt ab, welche Pflichten Sie treffen.</w:t>
      </w:r>
    </w:p>
    <w:bookmarkStart w:id="34" w:name="anbieter-provider"/>
    <w:p>
      <w:pPr>
        <w:pStyle w:val="Heading2"/>
      </w:pPr>
      <w:r>
        <w:t xml:space="preserve">4.1 Anbieter (Provider)</w:t>
      </w:r>
    </w:p>
    <w:p>
      <w:pPr>
        <w:pStyle w:val="FirstParagraph"/>
      </w:pPr>
      <w:r>
        <w:rPr>
          <w:bCs/>
          <w:b/>
        </w:rPr>
        <w:t xml:space="preserve">Anbieter</w:t>
      </w:r>
      <w:r>
        <w:t xml:space="preserve"> </w:t>
      </w:r>
      <w:r>
        <w:t xml:space="preserve">ist, wer ein KI-System entwickelt oder entwickeln lässt</w:t>
      </w:r>
      <w:r>
        <w:t xml:space="preserve"> </w:t>
      </w:r>
      <w:r>
        <w:rPr>
          <w:bCs/>
          <w:b/>
        </w:rPr>
        <w:t xml:space="preserve">und</w:t>
      </w:r>
      <w:r>
        <w:t xml:space="preserve"> </w:t>
      </w:r>
      <w:r>
        <w:t xml:space="preserve">es unter eigenem Namen oder eigener Handelsmarke in Verkehr bringt oder in Betrieb nimmt. Ob entgeltlich oder unentgeltlich, spielt keine Rolle.</w:t>
      </w:r>
    </w:p>
    <w:p>
      <w:pPr>
        <w:pStyle w:val="BodyText"/>
      </w:pPr>
      <w:r>
        <w:t xml:space="preserve">Wichtig:</w:t>
      </w:r>
      <w:r>
        <w:t xml:space="preserve"> </w:t>
      </w:r>
      <w:r>
        <w:t xml:space="preserve">“</w:t>
      </w:r>
      <w:r>
        <w:t xml:space="preserve">Entwickeln lassen</w:t>
      </w:r>
      <w:r>
        <w:t xml:space="preserve">”</w:t>
      </w:r>
      <w:r>
        <w:t xml:space="preserve"> </w:t>
      </w:r>
      <w:r>
        <w:t xml:space="preserve">genügt. Wer ein System bei einem Dienstleister bauen lässt und es dann unter eigenem Namen vertreibt, ist Anbieter.</w:t>
      </w:r>
    </w:p>
    <w:p>
      <w:pPr>
        <w:pStyle w:val="BlockText"/>
      </w:pPr>
      <w:r>
        <w:rPr>
          <w:bCs/>
          <w:b/>
        </w:rPr>
        <w:t xml:space="preserve">Fundstelle:</w:t>
      </w:r>
      <w:r>
        <w:t xml:space="preserve"> </w:t>
      </w:r>
      <w:r>
        <w:t xml:space="preserve">Art. 3 Nr. 3 KI-VO.</w:t>
      </w:r>
    </w:p>
    <w:bookmarkEnd w:id="34"/>
    <w:bookmarkStart w:id="35" w:name="betreiber-deployer"/>
    <w:p>
      <w:pPr>
        <w:pStyle w:val="Heading2"/>
      </w:pPr>
      <w:r>
        <w:t xml:space="preserve">4.2 Betreiber (Deployer)</w:t>
      </w:r>
    </w:p>
    <w:p>
      <w:pPr>
        <w:pStyle w:val="FirstParagraph"/>
      </w:pPr>
      <w:r>
        <w:rPr>
          <w:bCs/>
          <w:b/>
        </w:rPr>
        <w:t xml:space="preserve">Betreiber</w:t>
      </w:r>
      <w:r>
        <w:t xml:space="preserve"> </w:t>
      </w:r>
      <w:r>
        <w:t xml:space="preserve">ist, wer ein KI-System in eigener Verantwortung verwendet — es sei denn, die Verwendung erfolgt im Rahmen einer persönlichen und nicht beruflichen Tätigkeit.</w:t>
      </w:r>
    </w:p>
    <w:p>
      <w:pPr>
        <w:pStyle w:val="BodyText"/>
      </w:pPr>
      <w:r>
        <w:t xml:space="preserve">Für die meisten Unternehmen ist das die zutreffende Rolle: Sie kaufen ein KI-System ein und setzen es ein.</w:t>
      </w:r>
    </w:p>
    <w:p>
      <w:pPr>
        <w:pStyle w:val="BlockText"/>
      </w:pPr>
      <w:r>
        <w:rPr>
          <w:bCs/>
          <w:b/>
        </w:rPr>
        <w:t xml:space="preserve">Fundstelle:</w:t>
      </w:r>
      <w:r>
        <w:t xml:space="preserve"> </w:t>
      </w:r>
      <w:r>
        <w:t xml:space="preserve">Art. 3 Nr. 4 KI-VO.</w:t>
      </w:r>
    </w:p>
    <w:bookmarkEnd w:id="35"/>
    <w:bookmarkStart w:id="36" w:name="der-rollenwechsel-die-häufigste-falle"/>
    <w:p>
      <w:pPr>
        <w:pStyle w:val="Heading2"/>
      </w:pPr>
      <w:r>
        <w:t xml:space="preserve">4.3 Der Rollenwechsel — die häufigste Falle</w:t>
      </w:r>
    </w:p>
    <w:p>
      <w:pPr>
        <w:pStyle w:val="FirstParagraph"/>
      </w:pPr>
      <w:r>
        <w:t xml:space="preserve">Ein Betreiber kann unbeabsichtigt zum Anbieter werden. Dann treffen ihn schlagartig die vollen Anbieterpflichten. Drei Auslöser:</w:t>
      </w:r>
    </w:p>
    <w:p>
      <w:pPr>
        <w:pStyle w:val="BodyText"/>
      </w:pPr>
      <w:r>
        <w:rPr>
          <w:bCs/>
          <w:b/>
        </w:rPr>
        <w:t xml:space="preserve">Auslöser 1 — Eigener Name.</w:t>
      </w:r>
      <w:r>
        <w:t xml:space="preserve"> </w:t>
      </w:r>
      <w:r>
        <w:t xml:space="preserve">Sie versehen ein bereits in Verkehr gebrachtes Hochrisiko-System mit Ihrem Namen oder Ihrer Handelsmarke. Vertragliche Vereinbarungen können die Pflichtenverteilung modifizieren.</w:t>
      </w:r>
    </w:p>
    <w:p>
      <w:pPr>
        <w:pStyle w:val="BlockText"/>
      </w:pPr>
      <w:r>
        <w:rPr>
          <w:bCs/>
          <w:b/>
        </w:rPr>
        <w:t xml:space="preserve">Fundstelle:</w:t>
      </w:r>
      <w:r>
        <w:t xml:space="preserve"> </w:t>
      </w:r>
      <w:r>
        <w:t xml:space="preserve">Art. 25 Abs. 1 lit. a KI-VO.</w:t>
      </w:r>
    </w:p>
    <w:p>
      <w:pPr>
        <w:pStyle w:val="FirstParagraph"/>
      </w:pPr>
      <w:r>
        <w:rPr>
          <w:bCs/>
          <w:b/>
        </w:rPr>
        <w:t xml:space="preserve">Auslöser 2 — Wesentliche Veränderung.</w:t>
      </w:r>
      <w:r>
        <w:t xml:space="preserve"> </w:t>
      </w:r>
      <w:r>
        <w:t xml:space="preserve">Sie verändern ein Hochrisiko-System wesentlich, und es bleibt hochriskant.</w:t>
      </w:r>
      <w:r>
        <w:t xml:space="preserve"> </w:t>
      </w:r>
      <w:r>
        <w:t xml:space="preserve">“</w:t>
      </w:r>
      <w:r>
        <w:t xml:space="preserve">Wesentlich</w:t>
      </w:r>
      <w:r>
        <w:t xml:space="preserve">”</w:t>
      </w:r>
      <w:r>
        <w:t xml:space="preserve"> </w:t>
      </w:r>
      <w:r>
        <w:t xml:space="preserve">ist eine Änderung, die in der ursprünglichen Konformitätsbewertung nicht vorgesehen war und die Konformität beeinträchtigt oder die Zweckbestimmung ändert.</w:t>
      </w:r>
    </w:p>
    <w:p>
      <w:pPr>
        <w:pStyle w:val="BlockText"/>
      </w:pPr>
      <w:r>
        <w:rPr>
          <w:bCs/>
          <w:b/>
        </w:rPr>
        <w:t xml:space="preserve">Fundstelle:</w:t>
      </w:r>
      <w:r>
        <w:t xml:space="preserve"> </w:t>
      </w:r>
      <w:r>
        <w:t xml:space="preserve">Art. 25 Abs. 1 lit. b KI-VO, Begriff</w:t>
      </w:r>
      <w:r>
        <w:t xml:space="preserve"> </w:t>
      </w:r>
      <w:r>
        <w:t xml:space="preserve">“</w:t>
      </w:r>
      <w:r>
        <w:t xml:space="preserve">wesentliche Veränderung</w:t>
      </w:r>
      <w:r>
        <w:t xml:space="preserve">”</w:t>
      </w:r>
      <w:r>
        <w:t xml:space="preserve"> </w:t>
      </w:r>
      <w:r>
        <w:t xml:space="preserve">in Art. 3 Nr. 23 KI-VO.</w:t>
      </w:r>
    </w:p>
    <w:p>
      <w:pPr>
        <w:pStyle w:val="FirstParagraph"/>
      </w:pPr>
      <w:r>
        <w:rPr>
          <w:bCs/>
          <w:b/>
        </w:rPr>
        <w:t xml:space="preserve">Auslöser 3 — Zweckänderung.</w:t>
      </w:r>
      <w:r>
        <w:t xml:space="preserve"> </w:t>
      </w:r>
      <w:r>
        <w:t xml:space="preserve">Sie nehmen ein System, das nicht als hochriskant eingestuft ist — ausdrücklich auch ein KI-System mit allgemeinem Verwendungszweck —, und ändern seine Zweckbestimmung so, dass es zum Hochrisiko-System wird.</w:t>
      </w:r>
    </w:p>
    <w:p>
      <w:pPr>
        <w:pStyle w:val="BodyText"/>
      </w:pPr>
      <w:r>
        <w:t xml:space="preserve">Dies ist der praxisrelevanteste Fall. Wer ein allgemeines Sprachmodell nimmt und daraus ein Werkzeug zur Bewerbervorauswahl baut, macht aus einem unproblematischen System ein Hochrisiko-System — und wird dadurch zum Anbieter.</w:t>
      </w:r>
    </w:p>
    <w:p>
      <w:pPr>
        <w:pStyle w:val="BlockText"/>
      </w:pPr>
      <w:r>
        <w:rPr>
          <w:bCs/>
          <w:b/>
        </w:rPr>
        <w:t xml:space="preserve">Fundstelle:</w:t>
      </w:r>
      <w:r>
        <w:t xml:space="preserve"> </w:t>
      </w:r>
      <w:r>
        <w:t xml:space="preserve">Art. 25 Abs. 1 lit. c KI-VO.</w:t>
      </w:r>
    </w:p>
    <w:p>
      <w:pPr>
        <w:pStyle w:val="FirstParagraph"/>
      </w:pPr>
      <w:r>
        <w:rPr>
          <w:bCs/>
          <w:b/>
        </w:rPr>
        <w:t xml:space="preserve">Was dann passiert:</w:t>
      </w:r>
      <w:r>
        <w:t xml:space="preserve"> </w:t>
      </w:r>
      <w:r>
        <w:t xml:space="preserve">Der ursprüngliche Anbieter gilt nicht mehr als Anbieter dieses spezifischen Systems. Er muss aber mit dem neuen Anbieter zusammenarbeiten: technische Unterlagen bereitstellen, über bekannte Einschränkungen und Fehlerarten informieren und gezielten technischen Zugang gewähren, auch zu Test- und Validierungszwecken. Das gilt nicht, wenn der Erstanbieter eindeutig festgelegt hat, dass sein System nicht in ein Hochrisiko-System umgewandelt werden darf.</w:t>
      </w:r>
    </w:p>
    <w:p>
      <w:pPr>
        <w:pStyle w:val="BodyText"/>
      </w:pPr>
      <w:r>
        <w:t xml:space="preserve">Diese Kooperationspflichten wurden durch den Digital Omnibus konkretisiert und sind seit Juli 2026 ausdrücklich bußgeldbewehrt.</w:t>
      </w:r>
    </w:p>
    <w:p>
      <w:pPr>
        <w:pStyle w:val="BlockText"/>
      </w:pPr>
      <w:r>
        <w:rPr>
          <w:bCs/>
          <w:b/>
        </w:rPr>
        <w:t xml:space="preserve">Fundstelle:</w:t>
      </w:r>
      <w:r>
        <w:t xml:space="preserve"> </w:t>
      </w:r>
      <w:r>
        <w:t xml:space="preserve">Art. 25 Abs. 2 KI-VO n. F.; Bußgeldtatbestand: Art. 99 Abs. 4 lit. da KI-VO (neu eingefügt durch VO (EU) 2026/1744, Art. 1 Nr. 38).</w:t>
      </w:r>
    </w:p>
    <w:bookmarkEnd w:id="36"/>
    <w:bookmarkStart w:id="37" w:name="weitere-rollen"/>
    <w:p>
      <w:pPr>
        <w:pStyle w:val="Heading2"/>
      </w:pPr>
      <w:r>
        <w:t xml:space="preserve">4.4 Weitere Rollen</w:t>
      </w:r>
    </w:p>
    <w:p>
      <w:pPr>
        <w:pStyle w:val="FirstParagraph"/>
      </w:pPr>
      <w:r>
        <w:rPr>
          <w:bCs/>
          <w:b/>
        </w:rPr>
        <w:t xml:space="preserve">Einführer</w:t>
      </w:r>
      <w:r>
        <w:t xml:space="preserve"> </w:t>
      </w:r>
      <w:r>
        <w:t xml:space="preserve">bringen KI-Systeme aus Drittstaaten in die EU.</w:t>
      </w:r>
      <w:r>
        <w:t xml:space="preserve"> </w:t>
      </w:r>
      <w:r>
        <w:rPr>
          <w:bCs/>
          <w:b/>
        </w:rPr>
        <w:t xml:space="preserve">Händler</w:t>
      </w:r>
      <w:r>
        <w:t xml:space="preserve"> </w:t>
      </w:r>
      <w:r>
        <w:t xml:space="preserve">stellen sie auf dem Markt bereit, ohne Anbieter oder Einführer zu sein.</w:t>
      </w:r>
      <w:r>
        <w:t xml:space="preserve"> </w:t>
      </w:r>
      <w:r>
        <w:rPr>
          <w:bCs/>
          <w:b/>
        </w:rPr>
        <w:t xml:space="preserve">Bevollmächtigte</w:t>
      </w:r>
      <w:r>
        <w:t xml:space="preserve"> </w:t>
      </w:r>
      <w:r>
        <w:t xml:space="preserve">vertreten Anbieter aus Drittstaaten in der EU.</w:t>
      </w:r>
    </w:p>
    <w:p>
      <w:pPr>
        <w:pStyle w:val="BlockText"/>
      </w:pPr>
      <w:r>
        <w:rPr>
          <w:bCs/>
          <w:b/>
        </w:rPr>
        <w:t xml:space="preserve">Fundstelle:</w:t>
      </w:r>
      <w:r>
        <w:t xml:space="preserve"> </w:t>
      </w:r>
      <w:r>
        <w:t xml:space="preserve">Art. 22 (Bevollmächtigte), Art. 23 (Einführer), Art. 24 (Händler) KI-VO.</w:t>
      </w:r>
    </w:p>
    <w:p>
      <w:r>
        <w:pict>
          <v:rect style="width:0;height:1.5pt" o:hralign="center" o:hrstd="t" o:hr="t"/>
        </w:pict>
      </w:r>
    </w:p>
    <w:bookmarkEnd w:id="37"/>
    <w:bookmarkEnd w:id="38"/>
    <w:bookmarkStart w:id="43" w:name="X8b27bcb55d7dfdf98e3cbf1a36d3e8e6f950f4c"/>
    <w:p>
      <w:pPr>
        <w:pStyle w:val="Heading1"/>
      </w:pPr>
      <w:r>
        <w:t xml:space="preserve">5. Was gilt schon jetzt: Verbote und KI-Kompetenz</w:t>
      </w:r>
    </w:p>
    <w:bookmarkStart w:id="39" w:name="Xd52ca1b33a03ecdbc7196076180d5c776dfa304"/>
    <w:p>
      <w:pPr>
        <w:pStyle w:val="Heading2"/>
      </w:pPr>
      <w:r>
        <w:t xml:space="preserve">5.1 Die verbotenen Praktiken (seit 2. Februar 2025)</w:t>
      </w:r>
    </w:p>
    <w:p>
      <w:pPr>
        <w:pStyle w:val="FirstParagraph"/>
      </w:pPr>
      <w:r>
        <w:t xml:space="preserve">Acht Praktiken sind untersagt. Sie gelten für private und öffentliche Akteure gleichermaßen, soweit nicht anders angegeben.</w:t>
      </w:r>
    </w:p>
    <w:p>
      <w:pPr>
        <w:pStyle w:val="BodyText"/>
      </w:pPr>
      <w:r>
        <w:rPr>
          <w:bCs/>
          <w:b/>
        </w:rPr>
        <w:t xml:space="preserve">a) Unterschwellige Beeinflussung und Manipulation.</w:t>
      </w:r>
      <w:r>
        <w:t xml:space="preserve"> </w:t>
      </w:r>
      <w:r>
        <w:t xml:space="preserve">Verboten sind KI-Systeme, die Techniken der unterschwelligen Beeinflussung außerhalb des Bewusstseins einer Person oder absichtlich manipulative oder täuschende Techniken einsetzen, um das Verhalten wesentlich zu verändern — und dadurch erheblichen Schaden zufügen oder mit hinreichender Wahrscheinlichkeit zufügen werden.</w:t>
      </w:r>
    </w:p>
    <w:p>
      <w:pPr>
        <w:pStyle w:val="BlockText"/>
      </w:pPr>
      <w:r>
        <w:rPr>
          <w:bCs/>
          <w:b/>
        </w:rPr>
        <w:t xml:space="preserve">Fundstelle:</w:t>
      </w:r>
      <w:r>
        <w:t xml:space="preserve"> </w:t>
      </w:r>
      <w:r>
        <w:t xml:space="preserve">Art. 5 Abs. 1 lit. a KI-VO.</w:t>
      </w:r>
    </w:p>
    <w:p>
      <w:pPr>
        <w:pStyle w:val="FirstParagraph"/>
      </w:pPr>
      <w:r>
        <w:rPr>
          <w:bCs/>
          <w:b/>
        </w:rPr>
        <w:t xml:space="preserve">b) Ausnutzung von Schutzbedürftigkeit.</w:t>
      </w:r>
      <w:r>
        <w:t xml:space="preserve"> </w:t>
      </w:r>
      <w:r>
        <w:t xml:space="preserve">Verboten ist das Ausnutzen einer Vulnerabilität aufgrund von Alter, Behinderung oder einer bestimmten sozialen oder wirtschaftlichen Situation, um das Verhalten wesentlich zu verändern und dadurch erheblichen Schaden zu verursachen.</w:t>
      </w:r>
    </w:p>
    <w:p>
      <w:pPr>
        <w:pStyle w:val="BlockText"/>
      </w:pPr>
      <w:r>
        <w:rPr>
          <w:bCs/>
          <w:b/>
        </w:rPr>
        <w:t xml:space="preserve">Fundstelle:</w:t>
      </w:r>
      <w:r>
        <w:t xml:space="preserve"> </w:t>
      </w:r>
      <w:r>
        <w:t xml:space="preserve">Art. 5 Abs. 1 lit. b KI-VO.</w:t>
      </w:r>
    </w:p>
    <w:p>
      <w:pPr>
        <w:pStyle w:val="FirstParagraph"/>
      </w:pPr>
      <w:r>
        <w:rPr>
          <w:bCs/>
          <w:b/>
        </w:rPr>
        <w:t xml:space="preserve">c) Social Scoring.</w:t>
      </w:r>
      <w:r>
        <w:t xml:space="preserve"> </w:t>
      </w:r>
      <w:r>
        <w:t xml:space="preserve">Verboten ist die Bewertung oder Einstufung von Personen über einen Zeitraum hinweg anhand ihres sozialen Verhaltens oder persönlicher Eigenschaften, wenn dies zu einer Schlechterstellung führt — entweder in einem Kontext, der mit dem Erhebungskontext nichts zu tun hat, oder in einer im Verhältnis zum Verhalten ungerechtfertigten oder unverhältnismäßigen Weise.</w:t>
      </w:r>
    </w:p>
    <w:p>
      <w:pPr>
        <w:pStyle w:val="BodyText"/>
      </w:pPr>
      <w:r>
        <w:t xml:space="preserve">Das Verbot gilt ausdrücklich auch für private Unternehmen, nicht nur für Behörden.</w:t>
      </w:r>
    </w:p>
    <w:p>
      <w:pPr>
        <w:pStyle w:val="BlockText"/>
      </w:pPr>
      <w:r>
        <w:rPr>
          <w:bCs/>
          <w:b/>
        </w:rPr>
        <w:t xml:space="preserve">Fundstelle:</w:t>
      </w:r>
      <w:r>
        <w:t xml:space="preserve"> </w:t>
      </w:r>
      <w:r>
        <w:t xml:space="preserve">Art. 5 Abs. 1 lit. c KI-VO.</w:t>
      </w:r>
    </w:p>
    <w:p>
      <w:pPr>
        <w:pStyle w:val="FirstParagraph"/>
      </w:pPr>
      <w:r>
        <w:rPr>
          <w:bCs/>
          <w:b/>
        </w:rPr>
        <w:t xml:space="preserve">d) Vorhersage von Straftaten allein aus Persönlichkeitsmerkmalen.</w:t>
      </w:r>
      <w:r>
        <w:t xml:space="preserve"> </w:t>
      </w:r>
      <w:r>
        <w:t xml:space="preserve">Verboten ist die Bewertung des Risikos, dass eine Person eine Straftat begeht, ausschließlich auf Grundlage von Profiling oder der Bewertung persönlicher Merkmale. Nicht verboten ist die Unterstützung einer menschlichen Bewertung, die sich bereits auf objektive, überprüfbare und unmittelbar straftatbezogene Tatsachen stützt.</w:t>
      </w:r>
    </w:p>
    <w:p>
      <w:pPr>
        <w:pStyle w:val="BlockText"/>
      </w:pPr>
      <w:r>
        <w:rPr>
          <w:bCs/>
          <w:b/>
        </w:rPr>
        <w:t xml:space="preserve">Fundstelle:</w:t>
      </w:r>
      <w:r>
        <w:t xml:space="preserve"> </w:t>
      </w:r>
      <w:r>
        <w:t xml:space="preserve">Art. 5 Abs. 1 lit. d KI-VO.</w:t>
      </w:r>
    </w:p>
    <w:p>
      <w:pPr>
        <w:pStyle w:val="FirstParagraph"/>
      </w:pPr>
      <w:r>
        <w:rPr>
          <w:bCs/>
          <w:b/>
        </w:rPr>
        <w:t xml:space="preserve">e) Ungezieltes Sammeln von Gesichtsbildern.</w:t>
      </w:r>
      <w:r>
        <w:t xml:space="preserve"> </w:t>
      </w:r>
      <w:r>
        <w:t xml:space="preserve">Verboten sind KI-Systeme, die Gesichtserkennungsdatenbanken durch ungezieltes Auslesen von Gesichtsbildern aus dem Internet oder aus Überwachungsaufnahmen erstellen oder erweitern. Ohne Ausnahme.</w:t>
      </w:r>
    </w:p>
    <w:p>
      <w:pPr>
        <w:pStyle w:val="BlockText"/>
      </w:pPr>
      <w:r>
        <w:rPr>
          <w:bCs/>
          <w:b/>
        </w:rPr>
        <w:t xml:space="preserve">Fundstelle:</w:t>
      </w:r>
      <w:r>
        <w:t xml:space="preserve"> </w:t>
      </w:r>
      <w:r>
        <w:t xml:space="preserve">Art. 5 Abs. 1 lit. e KI-VO.</w:t>
      </w:r>
    </w:p>
    <w:p>
      <w:pPr>
        <w:pStyle w:val="FirstParagraph"/>
      </w:pPr>
      <w:r>
        <w:rPr>
          <w:bCs/>
          <w:b/>
        </w:rPr>
        <w:t xml:space="preserve">f) Emotionserkennung am Arbeitsplatz und in Bildungseinrichtungen.</w:t>
      </w:r>
      <w:r>
        <w:t xml:space="preserve"> </w:t>
      </w:r>
      <w:r>
        <w:t xml:space="preserve">Verboten ist die Ableitung von Emotionen am Arbeitsplatz und in Bildungseinrichtungen — es sei denn, die Verwendung erfolgt aus medizinischen Gründen oder Sicherheitsgründen.</w:t>
      </w:r>
    </w:p>
    <w:p>
      <w:pPr>
        <w:pStyle w:val="BodyText"/>
      </w:pPr>
      <w:r>
        <w:t xml:space="preserve">Für Unternehmen ist das der praktisch relevanteste Verbotstatbestand. Erfasst sind Systeme, die</w:t>
      </w:r>
      <w:r>
        <w:t xml:space="preserve"> </w:t>
      </w:r>
      <w:r>
        <w:rPr>
          <w:bCs/>
          <w:b/>
        </w:rPr>
        <w:t xml:space="preserve">auf Grundlage biometrischer Daten</w:t>
      </w:r>
      <w:r>
        <w:t xml:space="preserve"> </w:t>
      </w:r>
      <w:r>
        <w:t xml:space="preserve">(Gesicht, Stimme) auf Emotionen schließen — etwa bei der Auswertung von Bewerbungsgesprächen oder Beschäftigtengesprächen. Nicht erfasst sind die bloße Erkennung von Ausdrucksformen ohne Emotionsableitung, physische Zustände wie Ermüdung sowie Verwendungen aus medizinischen oder Sicherheitsgründen. Ob Systeme, die ausschließlich Emotionen von</w:t>
      </w:r>
      <w:r>
        <w:t xml:space="preserve"> </w:t>
      </w:r>
      <w:r>
        <w:rPr>
          <w:bCs/>
          <w:b/>
        </w:rPr>
        <w:t xml:space="preserve">Kunden</w:t>
      </w:r>
      <w:r>
        <w:t xml:space="preserve"> </w:t>
      </w:r>
      <w:r>
        <w:t xml:space="preserve">auswerten, unter das Verbot fallen, ist ungeklärt. Ob ein konkretes System betroffen ist, muss im Einzelfall geprüft werden.</w:t>
      </w:r>
    </w:p>
    <w:p>
      <w:pPr>
        <w:pStyle w:val="BlockText"/>
      </w:pPr>
      <w:r>
        <w:rPr>
          <w:bCs/>
          <w:b/>
        </w:rPr>
        <w:t xml:space="preserve">Fundstelle:</w:t>
      </w:r>
      <w:r>
        <w:t xml:space="preserve"> </w:t>
      </w:r>
      <w:r>
        <w:t xml:space="preserve">Art. 5 Abs. 1 lit. f KI-VO; Begriff des Emotionserkennungssystems: Art. 3 Nr. 39 KI-VO; Erwägungsgründe 44 und 57 der KI-VO.</w:t>
      </w:r>
    </w:p>
    <w:p>
      <w:pPr>
        <w:pStyle w:val="FirstParagraph"/>
      </w:pPr>
      <w:r>
        <w:rPr>
          <w:bCs/>
          <w:b/>
        </w:rPr>
        <w:t xml:space="preserve">g) Biometrische Kategorisierung nach sensiblen Merkmalen.</w:t>
      </w:r>
      <w:r>
        <w:t xml:space="preserve"> </w:t>
      </w:r>
      <w:r>
        <w:t xml:space="preserve">Verboten ist die Kategorisierung von Personen anhand biometrischer Daten, um auf Rasse, politische Einstellungen, Gewerkschaftszugehörigkeit, religiöse oder weltanschauliche Überzeugungen, Sexualleben oder sexuelle Ausrichtung zu schließen. Ausgenommen sind die Kennzeichnung oder Filterung rechtmäßig erworbener biometrischer Datensätze sowie die Kategorisierung im Bereich der Strafverfolgung.</w:t>
      </w:r>
    </w:p>
    <w:p>
      <w:pPr>
        <w:pStyle w:val="BlockText"/>
      </w:pPr>
      <w:r>
        <w:rPr>
          <w:bCs/>
          <w:b/>
        </w:rPr>
        <w:t xml:space="preserve">Fundstelle:</w:t>
      </w:r>
      <w:r>
        <w:t xml:space="preserve"> </w:t>
      </w:r>
      <w:r>
        <w:t xml:space="preserve">Art. 5 Abs. 1 lit. g KI-VO. Der amtliche deutsche Text verwendet den Begriff</w:t>
      </w:r>
      <w:r>
        <w:t xml:space="preserve"> </w:t>
      </w:r>
      <w:r>
        <w:t xml:space="preserve">“</w:t>
      </w:r>
      <w:r>
        <w:t xml:space="preserve">Rasse</w:t>
      </w:r>
      <w:r>
        <w:t xml:space="preserve">”</w:t>
      </w:r>
      <w:r>
        <w:t xml:space="preserve">.</w:t>
      </w:r>
    </w:p>
    <w:p>
      <w:pPr>
        <w:pStyle w:val="FirstParagraph"/>
      </w:pPr>
      <w:r>
        <w:rPr>
          <w:bCs/>
          <w:b/>
        </w:rPr>
        <w:t xml:space="preserve">h) Biometrische Echtzeit-Fernidentifizierung im öffentlichen Raum zu Strafverfolgungszwecken.</w:t>
      </w:r>
      <w:r>
        <w:t xml:space="preserve"> </w:t>
      </w:r>
      <w:r>
        <w:t xml:space="preserve">Grundsätzlich verboten, mit eng begrenzten Ausnahmen (Suche nach Opfern bestimmter Straftaten und vermissten Personen, Abwendung konkreter erheblicher Gefahren oder eines Terroranschlags, Aufspüren von Verdächtigen bei bestimmten schweren Straftaten). Die Ausnahmen setzen eine vorherige Genehmigung durch eine Justiz- oder unabhängige Verwaltungsbehörde voraus.</w:t>
      </w:r>
    </w:p>
    <w:p>
      <w:pPr>
        <w:pStyle w:val="BlockText"/>
      </w:pPr>
      <w:r>
        <w:rPr>
          <w:bCs/>
          <w:b/>
        </w:rPr>
        <w:t xml:space="preserve">Fundstelle:</w:t>
      </w:r>
      <w:r>
        <w:t xml:space="preserve"> </w:t>
      </w:r>
      <w:r>
        <w:t xml:space="preserve">Art. 5 Abs. 1 lit. h, Abs. 2–7 KI-VO.</w:t>
      </w:r>
    </w:p>
    <w:bookmarkEnd w:id="39"/>
    <w:bookmarkStart w:id="40" w:name="zwei-neue-verbote-ab-2.-dezember-2026"/>
    <w:p>
      <w:pPr>
        <w:pStyle w:val="Heading2"/>
      </w:pPr>
      <w:r>
        <w:t xml:space="preserve">5.2 Zwei neue Verbote ab 2. Dezember 2026</w:t>
      </w:r>
    </w:p>
    <w:p>
      <w:pPr>
        <w:pStyle w:val="FirstParagraph"/>
      </w:pPr>
      <w:r>
        <w:t xml:space="preserve">Der Digital Omnibus hat zwei Verbotstatbestände hinzugefügt. Sie gelten ab dem</w:t>
      </w:r>
      <w:r>
        <w:t xml:space="preserve"> </w:t>
      </w:r>
      <w:r>
        <w:rPr>
          <w:bCs/>
          <w:b/>
        </w:rPr>
        <w:t xml:space="preserve">2. Dezember 2026</w:t>
      </w:r>
      <w:r>
        <w:t xml:space="preserve">.</w:t>
      </w:r>
    </w:p>
    <w:p>
      <w:pPr>
        <w:pStyle w:val="BodyText"/>
      </w:pPr>
      <w:r>
        <w:rPr>
          <w:bCs/>
          <w:b/>
        </w:rPr>
        <w:t xml:space="preserve">Nicht-einvernehmliche intime Darstellungen (NCII).</w:t>
      </w:r>
      <w:r>
        <w:t xml:space="preserve"> </w:t>
      </w:r>
      <w:r>
        <w:t xml:space="preserve">Verboten sind KI-Systeme, die realistische Bild-, Video-, Ton- oder ähnliche Inhalte erzeugen oder manipulieren, in denen intime Körperteile einer bestimmbaren Person dargestellt werden oder eine bestimmbare Person bei eindeutig sexuellen Handlungen gezeigt wird — ohne dass diese Person eine aus freien Stücken erfolgende, spezifische, aufgeklärte, eindeutige und ausdrückliche Zustimmung erteilt hat.</w:t>
      </w:r>
    </w:p>
    <w:p>
      <w:pPr>
        <w:pStyle w:val="BlockText"/>
      </w:pPr>
      <w:r>
        <w:rPr>
          <w:bCs/>
          <w:b/>
        </w:rPr>
        <w:t xml:space="preserve">Fundstelle:</w:t>
      </w:r>
      <w:r>
        <w:t xml:space="preserve"> </w:t>
      </w:r>
      <w:r>
        <w:t xml:space="preserve">Art. 5 Abs. 1 UAbs. 1 lit. ba KI-VO n. F.</w:t>
      </w:r>
    </w:p>
    <w:p>
      <w:pPr>
        <w:pStyle w:val="FirstParagraph"/>
      </w:pPr>
      <w:r>
        <w:rPr>
          <w:bCs/>
          <w:b/>
        </w:rPr>
        <w:t xml:space="preserve">Material sexuellen Kindesmissbrauchs (CSAM).</w:t>
      </w:r>
      <w:r>
        <w:t xml:space="preserve"> </w:t>
      </w:r>
      <w:r>
        <w:t xml:space="preserve">Verboten sind KI-Systeme, die Material oder Darbietungen im Sinne von Art. 2 lit. c und e der Richtlinie 2011/93/EU erzeugen oder manipulieren — es sei denn, das Verhalten gilt nach nationalem Recht als gerechtfertigt.</w:t>
      </w:r>
    </w:p>
    <w:p>
      <w:pPr>
        <w:pStyle w:val="BlockText"/>
      </w:pPr>
      <w:r>
        <w:rPr>
          <w:bCs/>
          <w:b/>
        </w:rPr>
        <w:t xml:space="preserve">Fundstelle:</w:t>
      </w:r>
      <w:r>
        <w:t xml:space="preserve"> </w:t>
      </w:r>
      <w:r>
        <w:t xml:space="preserve">Art. 5 Abs. 1 UAbs. 1 lit. bb KI-VO n. F.</w:t>
      </w:r>
    </w:p>
    <w:p>
      <w:pPr>
        <w:pStyle w:val="FirstParagraph"/>
      </w:pPr>
      <w:r>
        <w:rPr>
          <w:bCs/>
          <w:b/>
        </w:rPr>
        <w:t xml:space="preserve">Wichtig — wen genau trifft das Verbot?</w:t>
      </w:r>
      <w:r>
        <w:t xml:space="preserve"> </w:t>
      </w:r>
      <w:r>
        <w:t xml:space="preserve">Die Verordnung differenziert:</w:t>
      </w:r>
    </w:p>
    <w:p>
      <w:pPr>
        <w:numPr>
          <w:ilvl w:val="0"/>
          <w:numId w:val="1003"/>
        </w:numPr>
        <w:pStyle w:val="Compact"/>
      </w:pPr>
      <w:r>
        <w:rPr>
          <w:bCs/>
          <w:b/>
        </w:rPr>
        <w:t xml:space="preserve">Anbieter</w:t>
      </w:r>
      <w:r>
        <w:t xml:space="preserve"> </w:t>
      </w:r>
      <w:r>
        <w:t xml:space="preserve">trifft das Verbot, wenn die Erzeugung solcher Inhalte die</w:t>
      </w:r>
      <w:r>
        <w:t xml:space="preserve"> </w:t>
      </w:r>
      <w:r>
        <w:rPr>
          <w:bCs/>
          <w:b/>
        </w:rPr>
        <w:t xml:space="preserve">Zweckbestimmung</w:t>
      </w:r>
      <w:r>
        <w:t xml:space="preserve"> </w:t>
      </w:r>
      <w:r>
        <w:t xml:space="preserve">des Systems ist —</w:t>
      </w:r>
      <w:r>
        <w:t xml:space="preserve"> </w:t>
      </w:r>
      <w:r>
        <w:rPr>
          <w:bCs/>
          <w:b/>
        </w:rPr>
        <w:t xml:space="preserve">oder</w:t>
      </w:r>
      <w:r>
        <w:t xml:space="preserve"> </w:t>
      </w:r>
      <w:r>
        <w:t xml:space="preserve">wenn sie aufgrund von Gestaltung, Training, Architektur, Fähigkeiten oder nutzerseitigen Funktionen ein nach vernünftigem Ermessen absehbares und reproduzierbares Ergebnis ist, ohne dass erhebliche technische Änderungen nötig wären,</w:t>
      </w:r>
      <w:r>
        <w:t xml:space="preserve"> </w:t>
      </w:r>
      <w:r>
        <w:rPr>
          <w:bCs/>
          <w:b/>
        </w:rPr>
        <w:t xml:space="preserve">und</w:t>
      </w:r>
      <w:r>
        <w:t xml:space="preserve"> </w:t>
      </w:r>
      <w:r>
        <w:t xml:space="preserve">das System keine zumutbaren und angemessenen technischen Sicherheitsmaßnahmen dagegen hat.</w:t>
      </w:r>
    </w:p>
    <w:p>
      <w:pPr>
        <w:numPr>
          <w:ilvl w:val="0"/>
          <w:numId w:val="1003"/>
        </w:numPr>
        <w:pStyle w:val="Compact"/>
      </w:pPr>
      <w:r>
        <w:rPr>
          <w:bCs/>
          <w:b/>
        </w:rPr>
        <w:t xml:space="preserve">Betreiber</w:t>
      </w:r>
      <w:r>
        <w:t xml:space="preserve"> </w:t>
      </w:r>
      <w:r>
        <w:t xml:space="preserve">trifft das Verbot, wenn sie das System</w:t>
      </w:r>
      <w:r>
        <w:t xml:space="preserve"> </w:t>
      </w:r>
      <w:r>
        <w:rPr>
          <w:bCs/>
          <w:b/>
        </w:rPr>
        <w:t xml:space="preserve">zum Zweck</w:t>
      </w:r>
      <w:r>
        <w:t xml:space="preserve"> </w:t>
      </w:r>
      <w:r>
        <w:t xml:space="preserve">der Erzeugung solchen Materials verwenden.</w:t>
      </w:r>
    </w:p>
    <w:p>
      <w:pPr>
        <w:pStyle w:val="FirstParagraph"/>
      </w:pPr>
      <w:r>
        <w:t xml:space="preserve">Für Anbieter generativer Systeme heißt das konkret: Es genügt nicht, den Missbrauch nicht zu beabsichtigen. Wenn er ohne erheblichen Aufwand reproduzierbar ist, müssen wirksame technische Schutzmaßnahmen vorhanden sein.</w:t>
      </w:r>
    </w:p>
    <w:p>
      <w:pPr>
        <w:pStyle w:val="BlockText"/>
      </w:pPr>
      <w:r>
        <w:rPr>
          <w:bCs/>
          <w:b/>
        </w:rPr>
        <w:t xml:space="preserve">Fundstelle:</w:t>
      </w:r>
      <w:r>
        <w:t xml:space="preserve"> </w:t>
      </w:r>
      <w:r>
        <w:t xml:space="preserve">Art. 5 Abs. 1a KI-VO n. F.</w:t>
      </w:r>
    </w:p>
    <w:p>
      <w:pPr>
        <w:pStyle w:val="FirstParagraph"/>
      </w:pPr>
      <w:r>
        <w:rPr>
          <w:bCs/>
          <w:b/>
        </w:rPr>
        <w:t xml:space="preserve">Bagatellklausel — nur für NCII, nicht für CSAM.</w:t>
      </w:r>
      <w:r>
        <w:t xml:space="preserve"> </w:t>
      </w:r>
      <w:r>
        <w:t xml:space="preserve">Eine Manipulation, die die Sichtbarkeit der dargestellten intimen Körperteile weder erhöht noch die Art der dargestellten eindeutig sexuellen Handlungen verändert, gilt nicht als Manipulation. Diese Einschränkung gilt ausdrücklich</w:t>
      </w:r>
      <w:r>
        <w:t xml:space="preserve"> </w:t>
      </w:r>
      <w:r>
        <w:rPr>
          <w:bCs/>
          <w:b/>
        </w:rPr>
        <w:t xml:space="preserve">nur für lit. ba (NCII)</w:t>
      </w:r>
      <w:r>
        <w:t xml:space="preserve"> </w:t>
      </w:r>
      <w:r>
        <w:t xml:space="preserve">— auf lit. bb (CSAM) ist sie nicht anwendbar.</w:t>
      </w:r>
    </w:p>
    <w:p>
      <w:pPr>
        <w:pStyle w:val="BlockText"/>
      </w:pPr>
      <w:r>
        <w:rPr>
          <w:bCs/>
          <w:b/>
        </w:rPr>
        <w:t xml:space="preserve">Fundstelle:</w:t>
      </w:r>
      <w:r>
        <w:t xml:space="preserve"> </w:t>
      </w:r>
      <w:r>
        <w:t xml:space="preserve">Art. 5 Abs. 1b KI-VO n. F. (</w:t>
      </w:r>
      <w:r>
        <w:t xml:space="preserve">“</w:t>
      </w:r>
      <w:r>
        <w:t xml:space="preserve">Für die Zwecke von Absatz 1 Unterabsatz 1 Buchstabe ba …</w:t>
      </w:r>
      <w:r>
        <w:t xml:space="preserve">”</w:t>
      </w:r>
      <w:r>
        <w:t xml:space="preserve">).</w:t>
      </w:r>
    </w:p>
    <w:p>
      <w:pPr>
        <w:pStyle w:val="FirstParagraph"/>
      </w:pPr>
      <w:r>
        <w:rPr>
          <w:bCs/>
          <w:b/>
        </w:rPr>
        <w:t xml:space="preserve">Kein Bestandsschutz.</w:t>
      </w:r>
      <w:r>
        <w:t xml:space="preserve"> </w:t>
      </w:r>
      <w:r>
        <w:t xml:space="preserve">Die Übergangsregelung für Altsysteme steht ausdrücklich unter dem Vorbehalt des Art. 5. Die Zeit bis zum 2. Dezember 2026 ist die einzige Vorlaufzeit.</w:t>
      </w:r>
    </w:p>
    <w:p>
      <w:pPr>
        <w:pStyle w:val="BlockText"/>
      </w:pPr>
      <w:r>
        <w:rPr>
          <w:bCs/>
          <w:b/>
        </w:rPr>
        <w:t xml:space="preserve">Fundstelle:</w:t>
      </w:r>
      <w:r>
        <w:t xml:space="preserve"> </w:t>
      </w:r>
      <w:r>
        <w:t xml:space="preserve">Art. 111 Abs. 2 KI-VO n. F.; Geltungsbeginn: Art. 113 Abs. 3 lit. a KI-VO n. F.</w:t>
      </w:r>
    </w:p>
    <w:bookmarkEnd w:id="40"/>
    <w:bookmarkStart w:id="41" w:name="X80f4901e7b439c6c23f123c64076ca5a34272ba"/>
    <w:p>
      <w:pPr>
        <w:pStyle w:val="Heading2"/>
      </w:pPr>
      <w:r>
        <w:t xml:space="preserve">5.3 KI-Kompetenz (seit 2. Februar 2025, geändert im Juli 2026)</w:t>
      </w:r>
    </w:p>
    <w:p>
      <w:pPr>
        <w:pStyle w:val="FirstParagraph"/>
      </w:pPr>
      <w:r>
        <w:t xml:space="preserve">Anbieter</w:t>
      </w:r>
      <w:r>
        <w:t xml:space="preserve"> </w:t>
      </w:r>
      <w:r>
        <w:rPr>
          <w:bCs/>
          <w:b/>
        </w:rPr>
        <w:t xml:space="preserve">und</w:t>
      </w:r>
      <w:r>
        <w:t xml:space="preserve"> </w:t>
      </w:r>
      <w:r>
        <w:t xml:space="preserve">Betreiber müssen Maßnahmen ergreifen, um die Entwicklung der KI-Kompetenz ihres Personals zu unterstützen. Erfasst ist nicht nur das eigene Personal, sondern auch andere Personen, die im Auftrag mit dem Betrieb und der Nutzung befasst sind — also auch Dienstleister, Leiharbeitskräfte und Freelancer.</w:t>
      </w:r>
    </w:p>
    <w:p>
      <w:pPr>
        <w:pStyle w:val="BodyText"/>
      </w:pPr>
      <w:r>
        <w:t xml:space="preserve">Der Maßstab richtet sich nach technischen Kenntnissen, Erfahrung, Aus- und Fortbildung, dem Einsatzkontext und den Personengruppen, bei denen die Systeme eingesetzt werden.</w:t>
      </w:r>
    </w:p>
    <w:p>
      <w:pPr>
        <w:pStyle w:val="BodyText"/>
      </w:pPr>
      <w:r>
        <w:rPr>
          <w:bCs/>
          <w:b/>
        </w:rPr>
        <w:t xml:space="preserve">Was der Digital Omnibus geändert hat:</w:t>
      </w:r>
      <w:r>
        <w:t xml:space="preserve"> </w:t>
      </w:r>
      <w:r>
        <w:t xml:space="preserve">Die Pflicht wurde abgeschwächt, aber</w:t>
      </w:r>
      <w:r>
        <w:t xml:space="preserve"> </w:t>
      </w:r>
      <w:r>
        <w:rPr>
          <w:bCs/>
          <w:b/>
        </w:rPr>
        <w:t xml:space="preserve">nicht abgeschafft</w:t>
      </w:r>
      <w:r>
        <w:t xml:space="preserve">. Bisher musste</w:t>
      </w:r>
      <w:r>
        <w:t xml:space="preserve"> </w:t>
      </w:r>
      <w:r>
        <w:t xml:space="preserve">“</w:t>
      </w:r>
      <w:r>
        <w:t xml:space="preserve">nach besten Kräften sichergestellt</w:t>
      </w:r>
      <w:r>
        <w:t xml:space="preserve">”</w:t>
      </w:r>
      <w:r>
        <w:t xml:space="preserve"> </w:t>
      </w:r>
      <w:r>
        <w:t xml:space="preserve">werden, dass ein</w:t>
      </w:r>
      <w:r>
        <w:t xml:space="preserve"> </w:t>
      </w:r>
      <w:r>
        <w:t xml:space="preserve">“</w:t>
      </w:r>
      <w:r>
        <w:t xml:space="preserve">ausreichendes Maß</w:t>
      </w:r>
      <w:r>
        <w:t xml:space="preserve">”</w:t>
      </w:r>
      <w:r>
        <w:t xml:space="preserve"> </w:t>
      </w:r>
      <w:r>
        <w:t xml:space="preserve">an KI-Kompetenz vorliegt. Jetzt muss die</w:t>
      </w:r>
      <w:r>
        <w:t xml:space="preserve"> </w:t>
      </w:r>
      <w:r>
        <w:rPr>
          <w:bCs/>
          <w:b/>
        </w:rPr>
        <w:t xml:space="preserve">Entwicklung</w:t>
      </w:r>
      <w:r>
        <w:t xml:space="preserve"> </w:t>
      </w:r>
      <w:r>
        <w:t xml:space="preserve">der Kompetenz</w:t>
      </w:r>
      <w:r>
        <w:t xml:space="preserve"> </w:t>
      </w:r>
      <w:r>
        <w:rPr>
          <w:bCs/>
          <w:b/>
        </w:rPr>
        <w:t xml:space="preserve">unterstützt</w:t>
      </w:r>
      <w:r>
        <w:t xml:space="preserve"> </w:t>
      </w:r>
      <w:r>
        <w:t xml:space="preserve">werden. Ausdrücklich klargestellt ist: Es besteht keine Pflicht, für irgendeine Person ein bestimmtes Kompetenzniveau zu garantieren.</w:t>
      </w:r>
    </w:p>
    <w:p>
      <w:pPr>
        <w:pStyle w:val="BodyText"/>
      </w:pPr>
      <w:r>
        <w:t xml:space="preserve">Die Pflicht verlagert sich damit vom Ergebnis auf den Prozess. Praktisch heißt das: Schulungsangebote, Leitlinien und interne Regeln nachweisbar bereitstellen — nicht: Kompetenztests bestehen lassen.</w:t>
      </w:r>
    </w:p>
    <w:p>
      <w:pPr>
        <w:pStyle w:val="BodyText"/>
      </w:pPr>
      <w:r>
        <w:t xml:space="preserve">Der Kommissionsvorschlag wollte die Unternehmenspflicht ganz streichen und nur noch Kommission und Mitgliedstaaten adressieren. Das hat der Gesetzgeber</w:t>
      </w:r>
      <w:r>
        <w:t xml:space="preserve"> </w:t>
      </w:r>
      <w:r>
        <w:rPr>
          <w:bCs/>
          <w:b/>
        </w:rPr>
        <w:t xml:space="preserve">nicht</w:t>
      </w:r>
      <w:r>
        <w:t xml:space="preserve"> </w:t>
      </w:r>
      <w:r>
        <w:t xml:space="preserve">übernommen. Art. 4 bleibt eine Pflicht von Anbietern und Betreibern.</w:t>
      </w:r>
    </w:p>
    <w:p>
      <w:pPr>
        <w:pStyle w:val="BlockText"/>
      </w:pPr>
      <w:r>
        <w:rPr>
          <w:bCs/>
          <w:b/>
        </w:rPr>
        <w:t xml:space="preserve">Fundstelle:</w:t>
      </w:r>
      <w:r>
        <w:t xml:space="preserve"> </w:t>
      </w:r>
      <w:r>
        <w:t xml:space="preserve">Art. 4 Abs. 1 KI-VO n. F. (geändert durch VO (EU) 2026/1744, Art. 1 Nr. 5). Unterstützung durch Kommission und Mitgliedstaaten: Art. 4 Abs. 2 KI-VO n. F. Empfehlungen des KI-Gremiums: Art. 4 Abs. 3 KI-VO n. F.</w:t>
      </w:r>
    </w:p>
    <w:p>
      <w:pPr>
        <w:pStyle w:val="FirstParagraph"/>
      </w:pPr>
      <w:r>
        <w:rPr>
          <w:bCs/>
          <w:b/>
        </w:rPr>
        <w:t xml:space="preserve">Achtung — nicht verwechseln:</w:t>
      </w:r>
      <w:r>
        <w:t xml:space="preserve"> </w:t>
      </w:r>
      <w:r>
        <w:t xml:space="preserve">Für Betreiber von Hochrisiko-Systemen gilt zusätzlich eine strengere Regel. Die menschliche Aufsicht muss natürlichen Personen übertragen werden, die über die erforderliche Kompetenz, Ausbildung</w:t>
      </w:r>
      <w:r>
        <w:t xml:space="preserve"> </w:t>
      </w:r>
      <w:r>
        <w:rPr>
          <w:bCs/>
          <w:b/>
        </w:rPr>
        <w:t xml:space="preserve">und Befugnis</w:t>
      </w:r>
      <w:r>
        <w:t xml:space="preserve"> </w:t>
      </w:r>
      <w:r>
        <w:t xml:space="preserve">verfügen. Diese Vorschrift wurde</w:t>
      </w:r>
      <w:r>
        <w:t xml:space="preserve"> </w:t>
      </w:r>
      <w:r>
        <w:rPr>
          <w:bCs/>
          <w:b/>
        </w:rPr>
        <w:t xml:space="preserve">nicht</w:t>
      </w:r>
      <w:r>
        <w:t xml:space="preserve"> </w:t>
      </w:r>
      <w:r>
        <w:t xml:space="preserve">geändert.</w:t>
      </w:r>
    </w:p>
    <w:p>
      <w:pPr>
        <w:pStyle w:val="BlockText"/>
      </w:pPr>
      <w:r>
        <w:rPr>
          <w:bCs/>
          <w:b/>
        </w:rPr>
        <w:t xml:space="preserve">Fundstelle:</w:t>
      </w:r>
      <w:r>
        <w:t xml:space="preserve"> </w:t>
      </w:r>
      <w:r>
        <w:t xml:space="preserve">Art. 26 Abs. 2 KI-VO.</w:t>
      </w:r>
    </w:p>
    <w:bookmarkEnd w:id="41"/>
    <w:bookmarkStart w:id="42" w:name="Xedf764bc5b12dee88188c1cb45fe6665ffe3c98"/>
    <w:p>
      <w:pPr>
        <w:pStyle w:val="Heading2"/>
      </w:pPr>
      <w:r>
        <w:t xml:space="preserve">5.4 Was passiert bei Verstößen — die Bußgeldrahmen</w:t>
      </w:r>
    </w:p>
    <w:tbl>
      <w:tblPr>
        <w:tblStyle w:val="Table"/>
        <w:tblW w:w="9638" w:type="dxa"/>
        <w:tblLayout w:type="fixed"/>
        <w:tblLook w:firstRow="1" w:lastRow="0" w:firstColumn="0" w:lastColumn="0" w:noHBand="0" w:noVBand="0" w:val="0020"/>
        <w:jc w:val="start"/>
      </w:tblPr>
      <w:tblGrid>
        <w:gridCol w:w="4094"/>
        <w:gridCol w:w="2649"/>
        <w:gridCol w:w="2895"/>
      </w:tblGrid>
      <w:tr>
        <w:trPr>
          <w:tblHeader/>
          <w:cantSplit/>
          <w:tblHeader w:val="true"/>
        </w:trPr>
        <w:tc>
          <w:tcPr>
            <w:shd w:val="clear" w:color="auto" w:fill="DCE4F2"/>
            <w:tcW w:w="4094" w:type="dxa"/>
          </w:tcPr>
          <w:tcPr/>
          <w:p>
            <w:pPr>
              <w:pStyle w:val="Compact"/>
              <w:jc w:val="left"/>
            </w:pPr>
            <w:r>
              <w:t xml:space="preserve">Verstoß gegen</w:t>
            </w:r>
          </w:p>
        </w:tc>
        <w:tc>
          <w:tcPr>
            <w:shd w:val="clear" w:color="auto" w:fill="DCE4F2"/>
            <w:tcW w:w="2649" w:type="dxa"/>
          </w:tcPr>
          <w:tcPr/>
          <w:p>
            <w:pPr>
              <w:pStyle w:val="Compact"/>
              <w:jc w:val="left"/>
            </w:pPr>
            <w:r>
              <w:t xml:space="preserve">Höchstbetrag</w:t>
            </w:r>
          </w:p>
        </w:tc>
        <w:tc>
          <w:tcPr>
            <w:shd w:val="clear" w:color="auto" w:fill="DCE4F2"/>
            <w:tcW w:w="2895" w:type="dxa"/>
          </w:tcPr>
          <w:tcPr/>
          <w:p>
            <w:pPr>
              <w:pStyle w:val="Compact"/>
              <w:jc w:val="left"/>
            </w:pPr>
            <w:r>
              <w:t xml:space="preserve">oder Prozentsatz</w:t>
            </w:r>
          </w:p>
        </w:tc>
      </w:tr>
      <w:tr>
        <w:tc>
          <w:tcPr>
            <w:tcW w:w="4094" w:type="dxa"/>
          </w:tcPr>
          <w:tcPr/>
          <w:p>
            <w:pPr>
              <w:pStyle w:val="Compact"/>
              <w:jc w:val="left"/>
            </w:pPr>
            <w:r>
              <w:rPr>
                <w:bCs/>
                <w:b/>
              </w:rPr>
              <w:t xml:space="preserve">Art. 5 (verbotene Praktiken)</w:t>
            </w:r>
          </w:p>
        </w:tc>
        <w:tc>
          <w:tcPr>
            <w:tcW w:w="2649" w:type="dxa"/>
          </w:tcPr>
          <w:tcPr/>
          <w:p>
            <w:pPr>
              <w:pStyle w:val="Compact"/>
              <w:jc w:val="left"/>
            </w:pPr>
            <w:r>
              <w:t xml:space="preserve">35.000.000 EUR</w:t>
            </w:r>
          </w:p>
        </w:tc>
        <w:tc>
          <w:tcPr>
            <w:tcW w:w="2895" w:type="dxa"/>
          </w:tcPr>
          <w:tcPr/>
          <w:p>
            <w:pPr>
              <w:pStyle w:val="Compact"/>
              <w:jc w:val="left"/>
            </w:pPr>
            <w:r>
              <w:t xml:space="preserve">7 % des weltweiten Jahresumsatzes</w:t>
            </w:r>
          </w:p>
        </w:tc>
      </w:tr>
      <w:tr>
        <w:tc>
          <w:tcPr>
            <w:tcW w:w="4094" w:type="dxa"/>
          </w:tcPr>
          <w:tcPr/>
          <w:p>
            <w:pPr>
              <w:pStyle w:val="Compact"/>
              <w:jc w:val="left"/>
            </w:pPr>
            <w:r>
              <w:t xml:space="preserve">Pflichten von Anbietern (Art. 16), Bevollmächtigten (Art. 22), Einführern (Art. 23), Händlern (Art. 24),</w:t>
            </w:r>
            <w:r>
              <w:t xml:space="preserve"> </w:t>
            </w:r>
            <w:r>
              <w:rPr>
                <w:bCs/>
                <w:b/>
              </w:rPr>
              <w:t xml:space="preserve">Betreibern (Art. 26)</w:t>
            </w:r>
            <w:r>
              <w:t xml:space="preserve">, Art. 25 Abs. 2 und 4, notifizierten Stellen,</w:t>
            </w:r>
            <w:r>
              <w:t xml:space="preserve"> </w:t>
            </w:r>
            <w:r>
              <w:rPr>
                <w:bCs/>
                <w:b/>
              </w:rPr>
              <w:t xml:space="preserve">Transparenzpflichten (Art. 50)</w:t>
            </w:r>
          </w:p>
        </w:tc>
        <w:tc>
          <w:tcPr>
            <w:tcW w:w="2649" w:type="dxa"/>
          </w:tcPr>
          <w:tcPr/>
          <w:p>
            <w:pPr>
              <w:pStyle w:val="Compact"/>
              <w:jc w:val="left"/>
            </w:pPr>
            <w:r>
              <w:t xml:space="preserve">15.000.000 EUR</w:t>
            </w:r>
          </w:p>
        </w:tc>
        <w:tc>
          <w:tcPr>
            <w:tcW w:w="2895" w:type="dxa"/>
          </w:tcPr>
          <w:tcPr/>
          <w:p>
            <w:pPr>
              <w:pStyle w:val="Compact"/>
              <w:jc w:val="left"/>
            </w:pPr>
            <w:r>
              <w:t xml:space="preserve">3 % des weltweiten Jahresumsatzes</w:t>
            </w:r>
          </w:p>
        </w:tc>
      </w:tr>
      <w:tr>
        <w:tc>
          <w:tcPr>
            <w:tcW w:w="4094" w:type="dxa"/>
          </w:tcPr>
          <w:tcPr/>
          <w:p>
            <w:pPr>
              <w:pStyle w:val="Compact"/>
              <w:jc w:val="left"/>
            </w:pPr>
            <w:r>
              <w:t xml:space="preserve">Falsche, unvollständige oder irreführende Auskünfte an Behörden oder notifizierte Stellen</w:t>
            </w:r>
          </w:p>
        </w:tc>
        <w:tc>
          <w:tcPr>
            <w:tcW w:w="2649" w:type="dxa"/>
          </w:tcPr>
          <w:tcPr/>
          <w:p>
            <w:pPr>
              <w:pStyle w:val="Compact"/>
              <w:jc w:val="left"/>
            </w:pPr>
            <w:r>
              <w:t xml:space="preserve">7.500.000 EUR</w:t>
            </w:r>
          </w:p>
        </w:tc>
        <w:tc>
          <w:tcPr>
            <w:tcW w:w="2895" w:type="dxa"/>
          </w:tcPr>
          <w:tcPr/>
          <w:p>
            <w:pPr>
              <w:pStyle w:val="Compact"/>
              <w:jc w:val="left"/>
            </w:pPr>
            <w:r>
              <w:t xml:space="preserve">1 % des weltweiten Jahresumsatzes</w:t>
            </w:r>
          </w:p>
        </w:tc>
      </w:tr>
    </w:tbl>
    <w:p>
      <w:pPr>
        <w:pStyle w:val="BodyText"/>
      </w:pPr>
      <w:r>
        <w:t xml:space="preserve">Es gilt jeweils der</w:t>
      </w:r>
      <w:r>
        <w:t xml:space="preserve"> </w:t>
      </w:r>
      <w:r>
        <w:rPr>
          <w:bCs/>
          <w:b/>
        </w:rPr>
        <w:t xml:space="preserve">höhere</w:t>
      </w:r>
      <w:r>
        <w:t xml:space="preserve"> </w:t>
      </w:r>
      <w:r>
        <w:t xml:space="preserve">Betrag.</w:t>
      </w:r>
    </w:p>
    <w:p>
      <w:pPr>
        <w:pStyle w:val="BlockText"/>
      </w:pPr>
      <w:r>
        <w:rPr>
          <w:bCs/>
          <w:b/>
        </w:rPr>
        <w:t xml:space="preserve">Fundstelle:</w:t>
      </w:r>
      <w:r>
        <w:t xml:space="preserve"> </w:t>
      </w:r>
      <w:r>
        <w:t xml:space="preserve">Art. 99 Abs. 3, 4 und 5 KI-VO. Der Katalog des Abs. 4 wurde durch VO (EU) 2026/1744 um lit. da (Art. 25 Abs. 2 und 4) ergänzt.</w:t>
      </w:r>
    </w:p>
    <w:p>
      <w:pPr>
        <w:pStyle w:val="FirstParagraph"/>
      </w:pPr>
      <w:r>
        <w:rPr>
          <w:bCs/>
          <w:b/>
        </w:rPr>
        <w:t xml:space="preserve">Sonderregel für kleinere Unternehmen:</w:t>
      </w:r>
    </w:p>
    <w:p>
      <w:pPr>
        <w:numPr>
          <w:ilvl w:val="0"/>
          <w:numId w:val="1004"/>
        </w:numPr>
        <w:pStyle w:val="Compact"/>
      </w:pPr>
      <w:r>
        <w:t xml:space="preserve">Für</w:t>
      </w:r>
      <w:r>
        <w:t xml:space="preserve"> </w:t>
      </w:r>
      <w:r>
        <w:rPr>
          <w:bCs/>
          <w:b/>
        </w:rPr>
        <w:t xml:space="preserve">KMU einschließlich Start-ups</w:t>
      </w:r>
      <w:r>
        <w:t xml:space="preserve"> </w:t>
      </w:r>
      <w:r>
        <w:t xml:space="preserve">gilt der jeweils</w:t>
      </w:r>
      <w:r>
        <w:t xml:space="preserve"> </w:t>
      </w:r>
      <w:r>
        <w:rPr>
          <w:bCs/>
          <w:b/>
        </w:rPr>
        <w:t xml:space="preserve">niedrigere</w:t>
      </w:r>
      <w:r>
        <w:t xml:space="preserve"> </w:t>
      </w:r>
      <w:r>
        <w:t xml:space="preserve">Betrag — und zwar bei allen drei Stufen.</w:t>
      </w:r>
    </w:p>
    <w:p>
      <w:pPr>
        <w:numPr>
          <w:ilvl w:val="0"/>
          <w:numId w:val="1004"/>
        </w:numPr>
        <w:pStyle w:val="Compact"/>
      </w:pPr>
      <w:r>
        <w:t xml:space="preserve">Für</w:t>
      </w:r>
      <w:r>
        <w:t xml:space="preserve"> </w:t>
      </w:r>
      <w:r>
        <w:rPr>
          <w:bCs/>
          <w:b/>
        </w:rPr>
        <w:t xml:space="preserve">kleine Midcap-Unternehmen</w:t>
      </w:r>
      <w:r>
        <w:t xml:space="preserve"> </w:t>
      </w:r>
      <w:r>
        <w:t xml:space="preserve">gilt der niedrigere Betrag nur bei den Stufen 2 und 3. Bei Verstößen gegen Art. 5 (verbotene Praktiken) gilt für Midcaps die Deckelung</w:t>
      </w:r>
      <w:r>
        <w:t xml:space="preserve"> </w:t>
      </w:r>
      <w:r>
        <w:rPr>
          <w:bCs/>
          <w:b/>
        </w:rPr>
        <w:t xml:space="preserve">nicht</w:t>
      </w:r>
      <w:r>
        <w:t xml:space="preserve">.</w:t>
      </w:r>
    </w:p>
    <w:p>
      <w:pPr>
        <w:pStyle w:val="BlockText"/>
      </w:pPr>
      <w:r>
        <w:rPr>
          <w:bCs/>
          <w:b/>
        </w:rPr>
        <w:t xml:space="preserve">Fundstelle:</w:t>
      </w:r>
      <w:r>
        <w:t xml:space="preserve"> </w:t>
      </w:r>
      <w:r>
        <w:t xml:space="preserve">Art. 99 Abs. 6 KI-VO (KMU, Absätze 3, 4 und 5) und Art. 99 Abs. 6a KI-VO n. F. (kleine Midcaps, nur Absätze 4 und 5).</w:t>
      </w:r>
    </w:p>
    <w:p>
      <w:pPr>
        <w:pStyle w:val="FirstParagraph"/>
      </w:pPr>
      <w:r>
        <w:rPr>
          <w:bCs/>
          <w:b/>
        </w:rPr>
        <w:t xml:space="preserve">Was ist ein</w:t>
      </w:r>
      <w:r>
        <w:rPr>
          <w:bCs/>
          <w:b/>
        </w:rPr>
        <w:t xml:space="preserve"> </w:t>
      </w:r>
      <w:r>
        <w:rPr>
          <w:bCs/>
          <w:b/>
        </w:rPr>
        <w:t xml:space="preserve">“</w:t>
      </w:r>
      <w:r>
        <w:rPr>
          <w:bCs/>
          <w:b/>
        </w:rPr>
        <w:t xml:space="preserve">kleines Midcap-Unternehmen</w:t>
      </w:r>
      <w:r>
        <w:rPr>
          <w:bCs/>
          <w:b/>
        </w:rPr>
        <w:t xml:space="preserve">”</w:t>
      </w:r>
      <w:r>
        <w:rPr>
          <w:bCs/>
          <w:b/>
        </w:rPr>
        <w:t xml:space="preserve">?</w:t>
      </w:r>
      <w:r>
        <w:t xml:space="preserve"> </w:t>
      </w:r>
      <w:r>
        <w:t xml:space="preserve">Ein Unternehmen, das kein KMU ist, weniger als 750 Personen beschäftigt und einen Jahresumsatz von höchstens 150 Mio. EUR erzielt oder dessen Jahresbilanzsumme höchstens 129 Mio. EUR beträgt.</w:t>
      </w:r>
    </w:p>
    <w:p>
      <w:pPr>
        <w:pStyle w:val="BlockText"/>
      </w:pPr>
      <w:r>
        <w:rPr>
          <w:bCs/>
          <w:b/>
        </w:rPr>
        <w:t xml:space="preserve">Fundstelle:</w:t>
      </w:r>
      <w:r>
        <w:t xml:space="preserve"> </w:t>
      </w:r>
      <w:r>
        <w:t xml:space="preserve">Art. 3 Nr. 14b KI-VO n. F. i. V. m. Nr. 2 des Anhangs der Empfehlung (EU) 2025/1099. KMU-Definition: Art. 3 Nr. 14a KI-VO n. F. i. V. m. Art. 2 des Anhangs der Empfehlung 2003/361/EG.</w:t>
      </w:r>
    </w:p>
    <w:p>
      <w:pPr>
        <w:pStyle w:val="FirstParagraph"/>
      </w:pPr>
      <w:r>
        <w:rPr>
          <w:bCs/>
          <w:b/>
        </w:rPr>
        <w:t xml:space="preserve">Für Anbieter von KI-Modellen mit allgemeinem Verwendungszweck</w:t>
      </w:r>
      <w:r>
        <w:t xml:space="preserve"> </w:t>
      </w:r>
      <w:r>
        <w:t xml:space="preserve">gilt ein eigener Rahmen: bis zu 15.000.000 EUR oder 3 % des weltweiten Jahresumsatzes, verhängt durch die Europäische Kommission.</w:t>
      </w:r>
    </w:p>
    <w:p>
      <w:pPr>
        <w:pStyle w:val="BlockText"/>
      </w:pPr>
      <w:r>
        <w:rPr>
          <w:bCs/>
          <w:b/>
        </w:rPr>
        <w:t xml:space="preserve">Fundstelle:</w:t>
      </w:r>
      <w:r>
        <w:t xml:space="preserve"> </w:t>
      </w:r>
      <w:r>
        <w:t xml:space="preserve">Art. 101 KI-VO. Geltungsbeginn: 2. August 2026 (Art. 113 Abs. 3 lit. b KI-VO nimmt Art. 101 aus).</w:t>
      </w:r>
    </w:p>
    <w:p>
      <w:r>
        <w:pict>
          <v:rect style="width:0;height:1.5pt" o:hralign="center" o:hrstd="t" o:hr="t"/>
        </w:pict>
      </w:r>
    </w:p>
    <w:bookmarkEnd w:id="42"/>
    <w:bookmarkEnd w:id="43"/>
    <w:bookmarkStart w:id="50" w:name="Xf23d1866ad5547bb77b8a4a4bdef632866af030"/>
    <w:p>
      <w:pPr>
        <w:pStyle w:val="Heading1"/>
      </w:pPr>
      <w:r>
        <w:t xml:space="preserve">6. Hochrisiko-KI: Wann ist ein System hochriskant?</w:t>
      </w:r>
    </w:p>
    <w:bookmarkStart w:id="45" w:name="weg-a-über-das-produkt-anhang-i"/>
    <w:p>
      <w:pPr>
        <w:pStyle w:val="Heading2"/>
      </w:pPr>
      <w:r>
        <w:t xml:space="preserve">6.1 Weg A — über das Produkt (Anhang I)</w:t>
      </w:r>
    </w:p>
    <w:p>
      <w:pPr>
        <w:pStyle w:val="FirstParagraph"/>
      </w:pPr>
      <w:r>
        <w:t xml:space="preserve">Ein KI-System ist hochriskant, wenn</w:t>
      </w:r>
      <w:r>
        <w:t xml:space="preserve"> </w:t>
      </w:r>
      <w:r>
        <w:rPr>
          <w:bCs/>
          <w:b/>
        </w:rPr>
        <w:t xml:space="preserve">beide</w:t>
      </w:r>
      <w:r>
        <w:t xml:space="preserve"> </w:t>
      </w:r>
      <w:r>
        <w:t xml:space="preserve">Bedingungen erfüllt sind:</w:t>
      </w:r>
    </w:p>
    <w:p>
      <w:pPr>
        <w:numPr>
          <w:ilvl w:val="0"/>
          <w:numId w:val="1005"/>
        </w:numPr>
        <w:pStyle w:val="Compact"/>
      </w:pPr>
      <w:r>
        <w:t xml:space="preserve">Es soll als</w:t>
      </w:r>
      <w:r>
        <w:t xml:space="preserve"> </w:t>
      </w:r>
      <w:r>
        <w:rPr>
          <w:bCs/>
          <w:b/>
        </w:rPr>
        <w:t xml:space="preserve">Sicherheitsbauteil</w:t>
      </w:r>
      <w:r>
        <w:t xml:space="preserve"> </w:t>
      </w:r>
      <w:r>
        <w:t xml:space="preserve">eines Produkts verwendet werden, das unter eine der in Anhang I gelisteten EU-Vorschriften fällt — oder es ist selbst ein solches Produkt.</w:t>
      </w:r>
    </w:p>
    <w:p>
      <w:pPr>
        <w:numPr>
          <w:ilvl w:val="0"/>
          <w:numId w:val="1005"/>
        </w:numPr>
        <w:pStyle w:val="Compact"/>
      </w:pPr>
      <w:r>
        <w:t xml:space="preserve">Das Produkt muss nach diesen Vorschriften einer</w:t>
      </w:r>
      <w:r>
        <w:t xml:space="preserve"> </w:t>
      </w:r>
      <w:r>
        <w:rPr>
          <w:bCs/>
          <w:b/>
        </w:rPr>
        <w:t xml:space="preserve">Konformitätsbewertung durch Dritte</w:t>
      </w:r>
      <w:r>
        <w:t xml:space="preserve"> </w:t>
      </w:r>
      <w:r>
        <w:t xml:space="preserve">unterzogen werden.</w:t>
      </w:r>
    </w:p>
    <w:p>
      <w:pPr>
        <w:pStyle w:val="FirstParagraph"/>
      </w:pPr>
      <w:r>
        <w:rPr>
          <w:bCs/>
          <w:b/>
        </w:rPr>
        <w:t xml:space="preserve">Anhang I Abschnitt A</w:t>
      </w:r>
      <w:r>
        <w:t xml:space="preserve"> </w:t>
      </w:r>
      <w:r>
        <w:t xml:space="preserve">umfasst unter anderem: Spielzeug, Aufzüge, Geräte in explosionsgefährdeten Bereichen, Funkanlagen, Druckgeräte, Seilbahnen, persönliche Schutzausrüstung, Gasverbrennungsgeräte, Medizinprodukte, In-vitro-Diagnostika.</w:t>
      </w:r>
    </w:p>
    <w:p>
      <w:pPr>
        <w:pStyle w:val="BodyText"/>
      </w:pPr>
      <w:r>
        <w:rPr>
          <w:bCs/>
          <w:b/>
        </w:rPr>
        <w:t xml:space="preserve">Anhang I Abschnitt B</w:t>
      </w:r>
      <w:r>
        <w:t xml:space="preserve"> </w:t>
      </w:r>
      <w:r>
        <w:t xml:space="preserve">umfasst unter anderem: Zivilluftfahrt, Kraftfahrzeuge, Schiffsausrüstung, Eisenbahn —</w:t>
      </w:r>
      <w:r>
        <w:t xml:space="preserve"> </w:t>
      </w:r>
      <w:r>
        <w:rPr>
          <w:bCs/>
          <w:b/>
        </w:rPr>
        <w:t xml:space="preserve">und seit Juli 2026 auch die Maschinenverordnung (EU) 2023/1230</w:t>
      </w:r>
      <w:r>
        <w:t xml:space="preserve">, die zuvor in Abschnitt A stand.</w:t>
      </w:r>
    </w:p>
    <w:p>
      <w:pPr>
        <w:pStyle w:val="BlockText"/>
      </w:pPr>
      <w:r>
        <w:rPr>
          <w:bCs/>
          <w:b/>
        </w:rPr>
        <w:t xml:space="preserve">Fundstelle:</w:t>
      </w:r>
      <w:r>
        <w:t xml:space="preserve"> </w:t>
      </w:r>
      <w:r>
        <w:t xml:space="preserve">Art. 6 Abs. 1 lit. a und b KI-VO i. V. m. Anhang I. Verschiebung der Maschinenverordnung: VO (EU) 2026/1744, Art. 1 Nr. 41.</w:t>
      </w:r>
    </w:p>
    <w:bookmarkStart w:id="44" w:name="X1bbc90a19d6841bf10145085aef9445343f28f7"/>
    <w:p>
      <w:pPr>
        <w:pStyle w:val="Heading3"/>
      </w:pPr>
      <w:r>
        <w:t xml:space="preserve">Der wichtigste Unterschied: Abschnitt A oder Abschnitt B?</w:t>
      </w:r>
    </w:p>
    <w:p>
      <w:pPr>
        <w:pStyle w:val="FirstParagraph"/>
      </w:pPr>
      <w:r>
        <w:t xml:space="preserve">Diese Unterscheidung entscheidet darüber,</w:t>
      </w:r>
      <w:r>
        <w:t xml:space="preserve"> </w:t>
      </w:r>
      <w:r>
        <w:rPr>
          <w:bCs/>
          <w:b/>
        </w:rPr>
        <w:t xml:space="preserve">welche Pflichten der KI-Verordnung überhaupt gelten</w:t>
      </w:r>
      <w:r>
        <w:t xml:space="preserve">. Bestimmen Sie deshalb immer zuerst, unter welchen konkreten Rechtsakt aus Anhang I Ihr Produkt fällt — und in welchem Abschnitt dieser Rechtsakt gelistet ist.</w:t>
      </w:r>
    </w:p>
    <w:p>
      <w:pPr>
        <w:numPr>
          <w:ilvl w:val="0"/>
          <w:numId w:val="1006"/>
        </w:numPr>
        <w:pStyle w:val="Compact"/>
      </w:pPr>
      <w:r>
        <w:t xml:space="preserve">Fällt das Produkt unter</w:t>
      </w:r>
      <w:r>
        <w:t xml:space="preserve"> </w:t>
      </w:r>
      <w:r>
        <w:rPr>
          <w:bCs/>
          <w:b/>
        </w:rPr>
        <w:t xml:space="preserve">Anhang I Abschnitt A</w:t>
      </w:r>
      <w:r>
        <w:t xml:space="preserve"> </w:t>
      </w:r>
      <w:r>
        <w:t xml:space="preserve">(u. a. Spielzeug, Aufzüge, ATEX-Geräte, Funkanlagen, Druckgeräte, Seilbahnen, persönliche Schutzausrüstung, Gasverbrennungsgeräte, Medizinprodukte, In-vitro-Diagnostika), gilt das volle Kapitel III der KI-Verordnung — ab dem 02.08.2028. Vorbehalt: Die Kommission kann nach Art. 2 Abs. 13 KI-VO n. F. bis zum 02.08.2027 delegierte Rechtsakte erlassen, die die Anwendung der Art. 9–15 und 17–25 für Anhang-I-Systeme beschränken, wenn das Sektorrecht gleichwertigen Schutz bietet.</w:t>
      </w:r>
    </w:p>
    <w:p>
      <w:pPr>
        <w:numPr>
          <w:ilvl w:val="0"/>
          <w:numId w:val="1006"/>
        </w:numPr>
        <w:pStyle w:val="Compact"/>
      </w:pPr>
      <w:r>
        <w:t xml:space="preserve">Fällt das Produkt unter</w:t>
      </w:r>
      <w:r>
        <w:t xml:space="preserve"> </w:t>
      </w:r>
      <w:r>
        <w:rPr>
          <w:bCs/>
          <w:b/>
        </w:rPr>
        <w:t xml:space="preserve">Anhang I Abschnitt B</w:t>
      </w:r>
      <w:r>
        <w:t xml:space="preserve"> </w:t>
      </w:r>
      <w:r>
        <w:t xml:space="preserve">(Zivilluftfahrt, Kraftfahrzeuge, Schiffsausrüstung, Eisenbahn und</w:t>
      </w:r>
      <w:r>
        <w:t xml:space="preserve"> </w:t>
      </w:r>
      <w:r>
        <w:rPr>
          <w:bCs/>
          <w:b/>
        </w:rPr>
        <w:t xml:space="preserve">seit Juli 2026 auch Maschinen</w:t>
      </w:r>
      <w:r>
        <w:t xml:space="preserve">), gelten von der gesamten KI-Verordnung</w:t>
      </w:r>
      <w:r>
        <w:t xml:space="preserve"> </w:t>
      </w:r>
      <w:r>
        <w:rPr>
          <w:bCs/>
          <w:b/>
        </w:rPr>
        <w:t xml:space="preserve">nur Art. 6 Abs. 1, Art. 60a und Art. 102 bis 112</w:t>
      </w:r>
      <w:r>
        <w:t xml:space="preserve">. Art. 57, 58 und 59 gelten zusätzlich, soweit die Anforderungen an Hochrisiko-KI-Systeme im jeweiligen Sektorrecht übernommen wurden.</w:t>
      </w:r>
    </w:p>
    <w:p>
      <w:pPr>
        <w:pStyle w:val="BlockText"/>
      </w:pPr>
      <w:r>
        <w:rPr>
          <w:bCs/>
          <w:b/>
        </w:rPr>
        <w:t xml:space="preserve">Häufige Vereinfachung, die zu weit geht:</w:t>
      </w:r>
      <w:r>
        <w:t xml:space="preserve"> </w:t>
      </w:r>
      <w:r>
        <w:t xml:space="preserve">Man liest oft, für Abschnitt B</w:t>
      </w:r>
      <w:r>
        <w:t xml:space="preserve"> </w:t>
      </w:r>
      <w:r>
        <w:t xml:space="preserve">“</w:t>
      </w:r>
      <w:r>
        <w:t xml:space="preserve">gelte Kapitel III nicht</w:t>
      </w:r>
      <w:r>
        <w:t xml:space="preserve">”</w:t>
      </w:r>
      <w:r>
        <w:t xml:space="preserve">. Das ist zu grob.</w:t>
      </w:r>
      <w:r>
        <w:t xml:space="preserve"> </w:t>
      </w:r>
      <w:r>
        <w:rPr>
          <w:bCs/>
          <w:b/>
        </w:rPr>
        <w:t xml:space="preserve">Art. 6 Abs. 1 gilt ausdrücklich weiter</w:t>
      </w:r>
      <w:r>
        <w:t xml:space="preserve"> </w:t>
      </w:r>
      <w:r>
        <w:t xml:space="preserve">— er steht in Kapitel III Abschnitt 1 und ist die Einstufungsnorm selbst. Ein System nach Anhang I Abschnitt B ist also weiterhin ein Hochrisiko-KI-System im Sinne der Verordnung; es unterliegt nur nicht den Anforderungs- und Pflichtenkapiteln. Ebenfalls nicht anwendbar sind Art. 50 (Transparenz), Art. 72 und 73 (Beobachtung, Vorfallmeldung) sowie Art. 99 (Sanktionen) — sie stehen nicht in der abschließenden Aufzählung des Art. 2 Abs. 2.</w:t>
      </w:r>
    </w:p>
    <w:p>
      <w:pPr>
        <w:pStyle w:val="FirstParagraph"/>
      </w:pPr>
      <w:r>
        <w:t xml:space="preserve">Die Anforderungen an solche Systeme werden stattdessen über das jeweilige Sektorrecht umgesetzt — bei Maschinen über Anhang III der Maschinenverordnung (EU) 2023/1230, den die Kommission per delegiertem Rechtsakt mit Geltung ab dem 02.08.2028 zu füllen hat.</w:t>
      </w:r>
    </w:p>
    <w:p>
      <w:pPr>
        <w:pStyle w:val="BodyText"/>
      </w:pPr>
      <w:r>
        <w:t xml:space="preserve">Für den Maschinen- und Anlagenbau ist das die zentrale Änderung des Digital Omnibus: Die KI-Verordnung selbst legt diesen Unternehmen keine Anforderungen und Pflichten aus Kapitel III mehr auf; maßgeblich wird das Maschinenrecht. Welche Pflichten daraus konkret folgen, steht erst mit dem delegierten Rechtsakt fest.</w:t>
      </w:r>
    </w:p>
    <w:p>
      <w:pPr>
        <w:pStyle w:val="BlockText"/>
      </w:pPr>
      <w:r>
        <w:rPr>
          <w:bCs/>
          <w:b/>
        </w:rPr>
        <w:t xml:space="preserve">Fundstelle:</w:t>
      </w:r>
      <w:r>
        <w:t xml:space="preserve"> </w:t>
      </w:r>
      <w:r>
        <w:t xml:space="preserve">Art. 2 Abs. 2 KI-VO n. F. (neu gefasst durch VO (EU) 2026/1744, Art. 1 Nr. 2 lit. a):</w:t>
      </w:r>
      <w:r>
        <w:t xml:space="preserve"> </w:t>
      </w:r>
      <w:r>
        <w:t xml:space="preserve">“</w:t>
      </w:r>
      <w:r>
        <w:t xml:space="preserve">Für KI-Systeme, die als Hochrisiko-KI-Systeme gemäß Artikel 6 Absatz 1 eingestuft sind und im Zusammenhang mit Produkten stehen, die unter die in Anhang I Abschnitt B aufgeführten Harmonisierungsrechtsvorschriften der Union fallen, gelten nur Artikel 6 Absatz 1, Artikel 60a und Artikel 102 bis 112.</w:t>
      </w:r>
      <w:r>
        <w:t xml:space="preserve">”</w:t>
      </w:r>
      <w:r>
        <w:t xml:space="preserve"> </w:t>
      </w:r>
      <w:r>
        <w:t xml:space="preserve">Verschiebung der Maschinenverordnung nach Abschnitt B: VO (EU) 2026/1744, Art. 1 Nr. 41 und Art. 3; Erwägungsgrund 42.</w:t>
      </w:r>
    </w:p>
    <w:p>
      <w:pPr>
        <w:pStyle w:val="FirstParagraph"/>
      </w:pPr>
      <w:r>
        <w:rPr>
          <w:bCs/>
          <w:b/>
        </w:rPr>
        <w:t xml:space="preserve">Was der Digital Omnibus hier geändert hat:</w:t>
      </w:r>
      <w:r>
        <w:t xml:space="preserve"> </w:t>
      </w:r>
      <w:r>
        <w:t xml:space="preserve">Der Begriff</w:t>
      </w:r>
      <w:r>
        <w:t xml:space="preserve"> </w:t>
      </w:r>
      <w:r>
        <w:t xml:space="preserve">“</w:t>
      </w:r>
      <w:r>
        <w:t xml:space="preserve">Sicherheitsbauteil</w:t>
      </w:r>
      <w:r>
        <w:t xml:space="preserve">”</w:t>
      </w:r>
      <w:r>
        <w:t xml:space="preserve"> </w:t>
      </w:r>
      <w:r>
        <w:t xml:space="preserve">wurde neu definiert und eingegrenzt.</w:t>
      </w:r>
    </w:p>
    <w:p>
      <w:pPr>
        <w:numPr>
          <w:ilvl w:val="0"/>
          <w:numId w:val="1007"/>
        </w:numPr>
        <w:pStyle w:val="Compact"/>
      </w:pPr>
      <w:r>
        <w:t xml:space="preserve">Ein Bauteil erfüllt eine Sicherheitsfunktion, wenn seine</w:t>
      </w:r>
      <w:r>
        <w:t xml:space="preserve"> </w:t>
      </w:r>
      <w:r>
        <w:rPr>
          <w:bCs/>
          <w:b/>
        </w:rPr>
        <w:t xml:space="preserve">Zweckbestimmung</w:t>
      </w:r>
      <w:r>
        <w:t xml:space="preserve"> </w:t>
      </w:r>
      <w:r>
        <w:t xml:space="preserve">darin besteht, Risiken für Gesundheit und Sicherheit abzuwenden oder zu mindern.</w:t>
      </w:r>
    </w:p>
    <w:p>
      <w:pPr>
        <w:numPr>
          <w:ilvl w:val="0"/>
          <w:numId w:val="1007"/>
        </w:numPr>
        <w:pStyle w:val="Compact"/>
      </w:pPr>
      <w:r>
        <w:t xml:space="preserve">KI-Systeme, die</w:t>
      </w:r>
      <w:r>
        <w:t xml:space="preserve"> </w:t>
      </w:r>
      <w:r>
        <w:rPr>
          <w:bCs/>
          <w:b/>
        </w:rPr>
        <w:t xml:space="preserve">ausschließlich</w:t>
      </w:r>
      <w:r>
        <w:t xml:space="preserve"> </w:t>
      </w:r>
      <w:r>
        <w:t xml:space="preserve">für nicht sicherheitsrelevante Aspekte verwendet werden — Nutzerunterstützung, Leistungsoptimierung, Leistungseffizienz, Automatisierung, Benutzerfreundlichkeit, Qualitätskontrolle — gelten</w:t>
      </w:r>
      <w:r>
        <w:t xml:space="preserve"> </w:t>
      </w:r>
      <w:r>
        <w:rPr>
          <w:bCs/>
          <w:b/>
        </w:rPr>
        <w:t xml:space="preserve">nicht</w:t>
      </w:r>
      <w:r>
        <w:t xml:space="preserve"> </w:t>
      </w:r>
      <w:r>
        <w:t xml:space="preserve">als Sicherheitsbauteile.</w:t>
      </w:r>
    </w:p>
    <w:p>
      <w:pPr>
        <w:numPr>
          <w:ilvl w:val="0"/>
          <w:numId w:val="1007"/>
        </w:numPr>
        <w:pStyle w:val="Compact"/>
      </w:pPr>
      <w:r>
        <w:t xml:space="preserve">Umgekehrt gilt: KI-Systeme, deren Ausfall oder Fehlfunktion Gesundheit und Sicherheit gefährden würde, gelten</w:t>
      </w:r>
      <w:r>
        <w:t xml:space="preserve"> </w:t>
      </w:r>
      <w:r>
        <w:rPr>
          <w:bCs/>
          <w:b/>
        </w:rPr>
        <w:t xml:space="preserve">als</w:t>
      </w:r>
      <w:r>
        <w:t xml:space="preserve"> </w:t>
      </w:r>
      <w:r>
        <w:t xml:space="preserve">Sicherheitsbauteile.</w:t>
      </w:r>
    </w:p>
    <w:p>
      <w:pPr>
        <w:numPr>
          <w:ilvl w:val="0"/>
          <w:numId w:val="1007"/>
        </w:numPr>
        <w:pStyle w:val="Compact"/>
      </w:pPr>
      <w:r>
        <w:t xml:space="preserve">Ein Produkt, das nur wegen anderer Risiken als Gesundheits- und Sicherheitsrisiken drittgeprüft werden muss — etwa wegen Funkfrequenzen oder elektromagnetischer Interferenzen —, erfüllt die zweite Bedingung nicht.</w:t>
      </w:r>
    </w:p>
    <w:p>
      <w:pPr>
        <w:pStyle w:val="FirstParagraph"/>
      </w:pPr>
      <w:r>
        <w:t xml:space="preserve">Für Maschinenbau und Industrieautomatisierung ist das eine spürbare Entlastung: Eine KI, die eine Fertigungslinie effizienter macht, ist damit in der Regel kein Sicherheitsbauteil. Eine KI, die eine Schutzabschaltung auslöst, sehr wohl.</w:t>
      </w:r>
    </w:p>
    <w:p>
      <w:pPr>
        <w:pStyle w:val="BlockText"/>
      </w:pPr>
      <w:r>
        <w:rPr>
          <w:bCs/>
          <w:b/>
        </w:rPr>
        <w:t xml:space="preserve">Fundstelle:</w:t>
      </w:r>
      <w:r>
        <w:t xml:space="preserve"> </w:t>
      </w:r>
      <w:r>
        <w:t xml:space="preserve">Art. 3 Nr. 14 KI-VO n. F.; Art. 6 Abs. 1a, 1b und 1c KI-VO n. F. (eingefügt durch VO (EU) 2026/1744, Art. 1 Nrn. 4 lit. a und 8).</w:t>
      </w:r>
    </w:p>
    <w:bookmarkEnd w:id="44"/>
    <w:bookmarkEnd w:id="45"/>
    <w:bookmarkStart w:id="46" w:name="X7f6cd145066f9ef5bf810c558a4ee36caf60604"/>
    <w:p>
      <w:pPr>
        <w:pStyle w:val="Heading2"/>
      </w:pPr>
      <w:r>
        <w:t xml:space="preserve">6.2 Weg B — über den Anwendungsbereich (Anhang III)</w:t>
      </w:r>
    </w:p>
    <w:p>
      <w:pPr>
        <w:pStyle w:val="FirstParagraph"/>
      </w:pPr>
      <w:r>
        <w:t xml:space="preserve">Anhang III listet acht Bereiche:</w:t>
      </w:r>
    </w:p>
    <w:p>
      <w:pPr>
        <w:pStyle w:val="BodyText"/>
      </w:pPr>
      <w:r>
        <w:rPr>
          <w:bCs/>
          <w:b/>
        </w:rPr>
        <w:t xml:space="preserve">1. Biometrie</w:t>
      </w:r>
      <w:r>
        <w:t xml:space="preserve"> </w:t>
      </w:r>
      <w:r>
        <w:t xml:space="preserve">— biometrische Fernidentifizierung (nicht: reine 1:1-Verifizierung, etwa das Entsperren des eigenen Telefons); biometrische Kategorisierung nach sensiblen Merkmalen; Emotionserkennung.</w:t>
      </w:r>
    </w:p>
    <w:p>
      <w:pPr>
        <w:pStyle w:val="BodyText"/>
      </w:pPr>
      <w:r>
        <w:rPr>
          <w:bCs/>
          <w:b/>
        </w:rPr>
        <w:t xml:space="preserve">2. Kritische Infrastruktur</w:t>
      </w:r>
      <w:r>
        <w:t xml:space="preserve"> </w:t>
      </w:r>
      <w:r>
        <w:t xml:space="preserve">— KI als Sicherheitsbauteil bei kritischer digitaler Infrastruktur, Straßenverkehr, Wasser-, Gas-, Wärme- und Stromversorgung.</w:t>
      </w:r>
    </w:p>
    <w:p>
      <w:pPr>
        <w:pStyle w:val="BodyText"/>
      </w:pPr>
      <w:r>
        <w:rPr>
          <w:bCs/>
          <w:b/>
        </w:rPr>
        <w:t xml:space="preserve">3. Bildung</w:t>
      </w:r>
      <w:r>
        <w:t xml:space="preserve"> </w:t>
      </w:r>
      <w:r>
        <w:t xml:space="preserve">— Zugang und Zulassung, Bewertung von Lernergebnissen, Bewertung des angemessenen Bildungsniveaus, Überwachung von Prüfungen (Proctoring).</w:t>
      </w:r>
    </w:p>
    <w:p>
      <w:pPr>
        <w:pStyle w:val="BodyText"/>
      </w:pPr>
      <w:r>
        <w:rPr>
          <w:bCs/>
          <w:b/>
        </w:rPr>
        <w:t xml:space="preserve">4. Beschäftigung</w:t>
      </w:r>
      <w:r>
        <w:t xml:space="preserve"> </w:t>
      </w:r>
      <w:r>
        <w:t xml:space="preserve">— Einstellung und Auswahl (gezielte Stellenanzeigen, Sichten und Filtern von Bewerbungen, Bewerten von Bewerbern); Entscheidungen über Arbeitsbedingungen, Beförderungen und Kündigungen; Aufgabenzuweisung nach Verhalten oder persönlichen Merkmalen; Leistungs- und Verhaltensüberwachung.</w:t>
      </w:r>
    </w:p>
    <w:p>
      <w:pPr>
        <w:pStyle w:val="BodyText"/>
      </w:pPr>
      <w:r>
        <w:rPr>
          <w:bCs/>
          <w:b/>
        </w:rPr>
        <w:t xml:space="preserve">5. Grundlegende Dienste</w:t>
      </w:r>
      <w:r>
        <w:t xml:space="preserve"> </w:t>
      </w:r>
      <w:r>
        <w:t xml:space="preserve">— Anspruch auf öffentliche Unterstützungsleistungen einschließlich Gesundheitsdiensten; Kreditwürdigkeitsprüfung und Bonitätsbewertung (</w:t>
      </w:r>
      <w:r>
        <w:rPr>
          <w:bCs/>
          <w:b/>
        </w:rPr>
        <w:t xml:space="preserve">ausgenommen sind nur Systeme zur Aufdeckung von Finanzbetrug</w:t>
      </w:r>
      <w:r>
        <w:t xml:space="preserve"> </w:t>
      </w:r>
      <w:r>
        <w:t xml:space="preserve">— nicht jede Form der Betrugserkennung); Risikobewertung und Preisbildung bei Lebens- und Krankenversicherungen; Notruf-Klassifizierung und Triage.</w:t>
      </w:r>
    </w:p>
    <w:p>
      <w:pPr>
        <w:pStyle w:val="BodyText"/>
      </w:pPr>
      <w:r>
        <w:rPr>
          <w:bCs/>
          <w:b/>
        </w:rPr>
        <w:t xml:space="preserve">6. Strafverfolgung</w:t>
      </w:r>
      <w:r>
        <w:t xml:space="preserve"> </w:t>
      </w:r>
      <w:r>
        <w:t xml:space="preserve">— Opferrisiko-Bewertung, Lügendetektoren, Beweismittelbewertung, Rückfallprognosen, Profiling.</w:t>
      </w:r>
    </w:p>
    <w:p>
      <w:pPr>
        <w:pStyle w:val="BodyText"/>
      </w:pPr>
      <w:r>
        <w:rPr>
          <w:bCs/>
          <w:b/>
        </w:rPr>
        <w:t xml:space="preserve">7. Migration, Asyl, Grenzkontrolle</w:t>
      </w:r>
      <w:r>
        <w:t xml:space="preserve"> </w:t>
      </w:r>
      <w:r>
        <w:t xml:space="preserve">— Lügendetektoren, Risikobewertung, Unterstützung bei der Prüfung von Anträgen, Identifizierung (nicht: Überprüfung von Reisedokumenten).</w:t>
      </w:r>
    </w:p>
    <w:p>
      <w:pPr>
        <w:pStyle w:val="BodyText"/>
      </w:pPr>
      <w:r>
        <w:rPr>
          <w:bCs/>
          <w:b/>
        </w:rPr>
        <w:t xml:space="preserve">8. Rechtspflege und Demokratie</w:t>
      </w:r>
      <w:r>
        <w:t xml:space="preserve"> </w:t>
      </w:r>
      <w:r>
        <w:t xml:space="preserve">— Unterstützung von Justizbehörden bei Sachverhaltsermittlung und Rechtsanwendung; Beeinflussung von Wahlergebnissen oder Wahlverhalten (nicht: rein administrative oder logistische Kampagnenwerkzeuge).</w:t>
      </w:r>
    </w:p>
    <w:p>
      <w:pPr>
        <w:pStyle w:val="BlockText"/>
      </w:pPr>
      <w:r>
        <w:rPr>
          <w:bCs/>
          <w:b/>
        </w:rPr>
        <w:t xml:space="preserve">Fundstelle:</w:t>
      </w:r>
      <w:r>
        <w:t xml:space="preserve"> </w:t>
      </w:r>
      <w:r>
        <w:t xml:space="preserve">Anhang III Nrn. 1–8 KI-VO.</w:t>
      </w:r>
    </w:p>
    <w:p>
      <w:pPr>
        <w:pStyle w:val="FirstParagraph"/>
      </w:pPr>
      <w:r>
        <w:t xml:space="preserve">Für Unternehmen außerhalb des öffentlichen Sektors sind vor allem</w:t>
      </w:r>
      <w:r>
        <w:t xml:space="preserve"> </w:t>
      </w:r>
      <w:r>
        <w:rPr>
          <w:bCs/>
          <w:b/>
        </w:rPr>
        <w:t xml:space="preserve">Nr. 4 (Beschäftigung)</w:t>
      </w:r>
      <w:r>
        <w:t xml:space="preserve"> </w:t>
      </w:r>
      <w:r>
        <w:t xml:space="preserve">und</w:t>
      </w:r>
      <w:r>
        <w:t xml:space="preserve"> </w:t>
      </w:r>
      <w:r>
        <w:rPr>
          <w:bCs/>
          <w:b/>
        </w:rPr>
        <w:t xml:space="preserve">Nr. 5 (Kreditwürdigkeit, Versicherung)</w:t>
      </w:r>
      <w:r>
        <w:t xml:space="preserve"> </w:t>
      </w:r>
      <w:r>
        <w:t xml:space="preserve">relevant.</w:t>
      </w:r>
    </w:p>
    <w:bookmarkEnd w:id="46"/>
    <w:bookmarkStart w:id="47" w:name="X0bd645aad6f95fc118bc4e75bba752c24a6e836"/>
    <w:p>
      <w:pPr>
        <w:pStyle w:val="Heading2"/>
      </w:pPr>
      <w:r>
        <w:t xml:space="preserve">6.3 Der Ausnahmefilter — wann ein Anhang-III-System doch nicht hochriskant ist</w:t>
      </w:r>
    </w:p>
    <w:p>
      <w:pPr>
        <w:pStyle w:val="FirstParagraph"/>
      </w:pPr>
      <w:r>
        <w:t xml:space="preserve">Ein in Anhang III genanntes System gilt nur dann</w:t>
      </w:r>
      <w:r>
        <w:t xml:space="preserve"> </w:t>
      </w:r>
      <w:r>
        <w:rPr>
          <w:bCs/>
          <w:b/>
        </w:rPr>
        <w:t xml:space="preserve">nicht</w:t>
      </w:r>
      <w:r>
        <w:t xml:space="preserve"> </w:t>
      </w:r>
      <w:r>
        <w:t xml:space="preserve">als hochriskant, wenn</w:t>
      </w:r>
      <w:r>
        <w:t xml:space="preserve"> </w:t>
      </w:r>
      <w:r>
        <w:rPr>
          <w:bCs/>
          <w:b/>
        </w:rPr>
        <w:t xml:space="preserve">beides</w:t>
      </w:r>
      <w:r>
        <w:t xml:space="preserve"> </w:t>
      </w:r>
      <w:r>
        <w:t xml:space="preserve">zutrifft:</w:t>
      </w:r>
    </w:p>
    <w:p>
      <w:pPr>
        <w:numPr>
          <w:ilvl w:val="0"/>
          <w:numId w:val="1008"/>
        </w:numPr>
        <w:pStyle w:val="Compact"/>
      </w:pPr>
      <w:r>
        <w:t xml:space="preserve">Es birgt</w:t>
      </w:r>
      <w:r>
        <w:t xml:space="preserve"> </w:t>
      </w:r>
      <w:r>
        <w:rPr>
          <w:bCs/>
          <w:b/>
        </w:rPr>
        <w:t xml:space="preserve">kein erhebliches Risiko</w:t>
      </w:r>
      <w:r>
        <w:t xml:space="preserve"> </w:t>
      </w:r>
      <w:r>
        <w:t xml:space="preserve">für Gesundheit, Sicherheit oder Grundrechte natürlicher Personen — insbesondere, weil es das Ergebnis der Entscheidungsfindung nicht wesentlich beeinflusst;</w:t>
      </w:r>
      <w:r>
        <w:t xml:space="preserve"> </w:t>
      </w:r>
      <w:r>
        <w:rPr>
          <w:bCs/>
          <w:b/>
        </w:rPr>
        <w:t xml:space="preserve">und</w:t>
      </w:r>
    </w:p>
    <w:p>
      <w:pPr>
        <w:numPr>
          <w:ilvl w:val="0"/>
          <w:numId w:val="1008"/>
        </w:numPr>
        <w:pStyle w:val="Compact"/>
      </w:pPr>
      <w:r>
        <w:t xml:space="preserve">mindestens</w:t>
      </w:r>
      <w:r>
        <w:t xml:space="preserve"> </w:t>
      </w:r>
      <w:r>
        <w:rPr>
          <w:bCs/>
          <w:b/>
        </w:rPr>
        <w:t xml:space="preserve">eine</w:t>
      </w:r>
      <w:r>
        <w:t xml:space="preserve"> </w:t>
      </w:r>
      <w:r>
        <w:t xml:space="preserve">der folgenden vier Bedingungen liegt vor:</w:t>
      </w:r>
    </w:p>
    <w:p>
      <w:pPr>
        <w:numPr>
          <w:ilvl w:val="0"/>
          <w:numId w:val="1009"/>
        </w:numPr>
        <w:pStyle w:val="Compact"/>
      </w:pPr>
      <w:r>
        <w:rPr>
          <w:bCs/>
          <w:b/>
        </w:rPr>
        <w:t xml:space="preserve">a)</w:t>
      </w:r>
      <w:r>
        <w:t xml:space="preserve"> </w:t>
      </w:r>
      <w:r>
        <w:t xml:space="preserve">Das System führt eine</w:t>
      </w:r>
      <w:r>
        <w:t xml:space="preserve"> </w:t>
      </w:r>
      <w:r>
        <w:rPr>
          <w:bCs/>
          <w:b/>
        </w:rPr>
        <w:t xml:space="preserve">eng gefasste Verfahrensaufgabe</w:t>
      </w:r>
      <w:r>
        <w:t xml:space="preserve"> </w:t>
      </w:r>
      <w:r>
        <w:t xml:space="preserve">durch.</w:t>
      </w:r>
    </w:p>
    <w:p>
      <w:pPr>
        <w:numPr>
          <w:ilvl w:val="0"/>
          <w:numId w:val="1009"/>
        </w:numPr>
        <w:pStyle w:val="Compact"/>
      </w:pPr>
      <w:r>
        <w:rPr>
          <w:bCs/>
          <w:b/>
        </w:rPr>
        <w:t xml:space="preserve">b)</w:t>
      </w:r>
      <w:r>
        <w:t xml:space="preserve"> </w:t>
      </w:r>
      <w:r>
        <w:t xml:space="preserve">Das System</w:t>
      </w:r>
      <w:r>
        <w:t xml:space="preserve"> </w:t>
      </w:r>
      <w:r>
        <w:rPr>
          <w:bCs/>
          <w:b/>
        </w:rPr>
        <w:t xml:space="preserve">verbessert das Ergebnis einer zuvor abgeschlossenen menschlichen Tätigkeit</w:t>
      </w:r>
      <w:r>
        <w:t xml:space="preserve">.</w:t>
      </w:r>
    </w:p>
    <w:p>
      <w:pPr>
        <w:numPr>
          <w:ilvl w:val="0"/>
          <w:numId w:val="1009"/>
        </w:numPr>
        <w:pStyle w:val="Compact"/>
      </w:pPr>
      <w:r>
        <w:rPr>
          <w:bCs/>
          <w:b/>
        </w:rPr>
        <w:t xml:space="preserve">c)</w:t>
      </w:r>
      <w:r>
        <w:t xml:space="preserve"> </w:t>
      </w:r>
      <w:r>
        <w:t xml:space="preserve">Das System</w:t>
      </w:r>
      <w:r>
        <w:t xml:space="preserve"> </w:t>
      </w:r>
      <w:r>
        <w:rPr>
          <w:bCs/>
          <w:b/>
        </w:rPr>
        <w:t xml:space="preserve">erkennt Entscheidungsmuster oder Abweichungen</w:t>
      </w:r>
      <w:r>
        <w:t xml:space="preserve"> </w:t>
      </w:r>
      <w:r>
        <w:t xml:space="preserve">davon und soll die zuvor abgeschlossene menschliche Bewertung nicht ohne angemessene menschliche Überprüfung ersetzen oder beeinflussen.</w:t>
      </w:r>
    </w:p>
    <w:p>
      <w:pPr>
        <w:numPr>
          <w:ilvl w:val="0"/>
          <w:numId w:val="1009"/>
        </w:numPr>
        <w:pStyle w:val="Compact"/>
      </w:pPr>
      <w:r>
        <w:rPr>
          <w:bCs/>
          <w:b/>
        </w:rPr>
        <w:t xml:space="preserve">d)</w:t>
      </w:r>
      <w:r>
        <w:t xml:space="preserve"> </w:t>
      </w:r>
      <w:r>
        <w:t xml:space="preserve">Das System führt eine</w:t>
      </w:r>
      <w:r>
        <w:t xml:space="preserve"> </w:t>
      </w:r>
      <w:r>
        <w:rPr>
          <w:bCs/>
          <w:b/>
        </w:rPr>
        <w:t xml:space="preserve">vorbereitende Aufgabe</w:t>
      </w:r>
      <w:r>
        <w:t xml:space="preserve"> </w:t>
      </w:r>
      <w:r>
        <w:t xml:space="preserve">für eine Bewertung durch.</w:t>
      </w:r>
    </w:p>
    <w:p>
      <w:pPr>
        <w:pStyle w:val="FirstParagraph"/>
      </w:pPr>
      <w:r>
        <w:rPr>
          <w:bCs/>
          <w:b/>
        </w:rPr>
        <w:t xml:space="preserve">Häufiger Fehler:</w:t>
      </w:r>
      <w:r>
        <w:t xml:space="preserve"> </w:t>
      </w:r>
      <w:r>
        <w:t xml:space="preserve">Das Vorliegen einer der vier Bedingungen allein genügt</w:t>
      </w:r>
      <w:r>
        <w:t xml:space="preserve"> </w:t>
      </w:r>
      <w:r>
        <w:rPr>
          <w:bCs/>
          <w:b/>
        </w:rPr>
        <w:t xml:space="preserve">nicht</w:t>
      </w:r>
      <w:r>
        <w:t xml:space="preserve">. Die Bedingungen a bis d eröffnen die Ausnahme überhaupt erst; sie greift nur, wenn zusätzlich kein erhebliches Risiko besteht. Wer nur die Bedingungsliste abhakt, stuft zu niedrig ein.</w:t>
      </w:r>
    </w:p>
    <w:p>
      <w:pPr>
        <w:pStyle w:val="BodyText"/>
      </w:pPr>
      <w:r>
        <w:rPr>
          <w:bCs/>
          <w:b/>
        </w:rPr>
        <w:t xml:space="preserve">Die harte Grenze:</w:t>
      </w:r>
      <w:r>
        <w:t xml:space="preserve"> </w:t>
      </w:r>
      <w:r>
        <w:t xml:space="preserve">Ein System, das</w:t>
      </w:r>
      <w:r>
        <w:t xml:space="preserve"> </w:t>
      </w:r>
      <w:r>
        <w:rPr>
          <w:bCs/>
          <w:b/>
        </w:rPr>
        <w:t xml:space="preserve">Profiling natürlicher Personen</w:t>
      </w:r>
      <w:r>
        <w:t xml:space="preserve"> </w:t>
      </w:r>
      <w:r>
        <w:t xml:space="preserve">vornimmt, gilt</w:t>
      </w:r>
      <w:r>
        <w:t xml:space="preserve"> </w:t>
      </w:r>
      <w:r>
        <w:rPr>
          <w:bCs/>
          <w:b/>
        </w:rPr>
        <w:t xml:space="preserve">immer</w:t>
      </w:r>
      <w:r>
        <w:t xml:space="preserve"> </w:t>
      </w:r>
      <w:r>
        <w:t xml:space="preserve">als hochriskant. Der Ausnahmefilter ist dann ausgeschlossen.</w:t>
      </w:r>
    </w:p>
    <w:p>
      <w:pPr>
        <w:pStyle w:val="BodyText"/>
      </w:pPr>
      <w:r>
        <w:rPr>
          <w:bCs/>
          <w:b/>
        </w:rPr>
        <w:t xml:space="preserve">Wichtig:</w:t>
      </w:r>
      <w:r>
        <w:t xml:space="preserve"> </w:t>
      </w:r>
      <w:r>
        <w:t xml:space="preserve">Diese Vorschrift wurde durch den Digital Omnibus</w:t>
      </w:r>
      <w:r>
        <w:t xml:space="preserve"> </w:t>
      </w:r>
      <w:r>
        <w:rPr>
          <w:bCs/>
          <w:b/>
        </w:rPr>
        <w:t xml:space="preserve">nicht</w:t>
      </w:r>
      <w:r>
        <w:t xml:space="preserve"> </w:t>
      </w:r>
      <w:r>
        <w:t xml:space="preserve">geändert. Sie war auch im Kommissionsvorschlag nicht Gegenstand einer Änderung und gilt unverändert fort.</w:t>
      </w:r>
    </w:p>
    <w:p>
      <w:pPr>
        <w:pStyle w:val="BlockText"/>
      </w:pPr>
      <w:r>
        <w:rPr>
          <w:bCs/>
          <w:b/>
        </w:rPr>
        <w:t xml:space="preserve">Fundstelle:</w:t>
      </w:r>
      <w:r>
        <w:t xml:space="preserve"> </w:t>
      </w:r>
      <w:r>
        <w:t xml:space="preserve">Art. 6 Abs. 3 UAbs. 1 KI-VO (materieller Maßstab), UAbs. 2 lit. a–d (</w:t>
      </w:r>
      <w:r>
        <w:t xml:space="preserve">“</w:t>
      </w:r>
      <w:r>
        <w:t xml:space="preserve">Unterabsatz 1 gilt, wenn eine der folgenden Bedingungen erfüllt ist</w:t>
      </w:r>
      <w:r>
        <w:t xml:space="preserve">”</w:t>
      </w:r>
      <w:r>
        <w:t xml:space="preserve">), UAbs. 3 (Profiling). Unverändert.</w:t>
      </w:r>
    </w:p>
    <w:p>
      <w:pPr>
        <w:pStyle w:val="FirstParagraph"/>
      </w:pPr>
      <w:r>
        <w:rPr>
          <w:bCs/>
          <w:b/>
        </w:rPr>
        <w:t xml:space="preserve">Wer sich auf die Ausnahme beruft, muss zweierlei tun:</w:t>
      </w:r>
    </w:p>
    <w:p>
      <w:pPr>
        <w:numPr>
          <w:ilvl w:val="0"/>
          <w:numId w:val="1010"/>
        </w:numPr>
        <w:pStyle w:val="Compact"/>
      </w:pPr>
      <w:r>
        <w:t xml:space="preserve">Die Bewertung</w:t>
      </w:r>
      <w:r>
        <w:t xml:space="preserve"> </w:t>
      </w:r>
      <w:r>
        <w:rPr>
          <w:bCs/>
          <w:b/>
        </w:rPr>
        <w:t xml:space="preserve">dokumentieren, bevor</w:t>
      </w:r>
      <w:r>
        <w:t xml:space="preserve"> </w:t>
      </w:r>
      <w:r>
        <w:t xml:space="preserve">das System in Verkehr gebracht oder in Betrieb genommen wird.</w:t>
      </w:r>
    </w:p>
    <w:p>
      <w:pPr>
        <w:numPr>
          <w:ilvl w:val="0"/>
          <w:numId w:val="1010"/>
        </w:numPr>
        <w:pStyle w:val="Compact"/>
      </w:pPr>
      <w:r>
        <w:t xml:space="preserve">Das System</w:t>
      </w:r>
      <w:r>
        <w:t xml:space="preserve"> </w:t>
      </w:r>
      <w:r>
        <w:rPr>
          <w:bCs/>
          <w:b/>
        </w:rPr>
        <w:t xml:space="preserve">dennoch in der EU-Datenbank registrieren</w:t>
      </w:r>
      <w:r>
        <w:t xml:space="preserve"> </w:t>
      </w:r>
      <w:r>
        <w:t xml:space="preserve">(Art. 49 Abs. 2) und die Dokumentation auf Verlangen der Behörden vorlegen.</w:t>
      </w:r>
    </w:p>
    <w:p>
      <w:pPr>
        <w:pStyle w:val="FirstParagraph"/>
      </w:pPr>
      <w:r>
        <w:t xml:space="preserve">Auch diese Vorschrift wurde</w:t>
      </w:r>
      <w:r>
        <w:t xml:space="preserve"> </w:t>
      </w:r>
      <w:r>
        <w:rPr>
          <w:bCs/>
          <w:b/>
        </w:rPr>
        <w:t xml:space="preserve">nicht</w:t>
      </w:r>
      <w:r>
        <w:t xml:space="preserve"> </w:t>
      </w:r>
      <w:r>
        <w:t xml:space="preserve">geändert. Der Kommissionsvorschlag sah vor, den Verweis auf die Registrierungspflicht in Art. 6 Abs. 4 zu streichen und Art. 49 Abs. 2 ganz aufzuheben. Der Gesetzgeber hat das</w:t>
      </w:r>
      <w:r>
        <w:t xml:space="preserve"> </w:t>
      </w:r>
      <w:r>
        <w:rPr>
          <w:bCs/>
          <w:b/>
        </w:rPr>
        <w:t xml:space="preserve">nicht übernommen</w:t>
      </w:r>
      <w:r>
        <w:t xml:space="preserve"> </w:t>
      </w:r>
      <w:r>
        <w:t xml:space="preserve">— lediglich der Umfang der einzutragenden Angaben wurde gestrafft.</w:t>
      </w:r>
    </w:p>
    <w:p>
      <w:pPr>
        <w:pStyle w:val="BlockText"/>
      </w:pPr>
      <w:r>
        <w:rPr>
          <w:bCs/>
          <w:b/>
        </w:rPr>
        <w:t xml:space="preserve">Fundstelle:</w:t>
      </w:r>
      <w:r>
        <w:t xml:space="preserve"> </w:t>
      </w:r>
      <w:r>
        <w:t xml:space="preserve">Art. 6 Abs. 4 S. 1–3 KI-VO (unverändert). Nicht übernommene Vorschläge: COM(2025) 836 final, Art. 1 Nrn. 6, 14 und 32. Straffung: Anhang VIII Abschnitt B Nrn. 7 und 9 gestrichen durch VO (EU) 2026/1744, Art. 1 Nr. 42.</w:t>
      </w:r>
    </w:p>
    <w:bookmarkEnd w:id="47"/>
    <w:bookmarkStart w:id="48" w:name="X679b3ff468ac98869e6db6b8c0376903b11846f"/>
    <w:p>
      <w:pPr>
        <w:pStyle w:val="Heading2"/>
      </w:pPr>
      <w:r>
        <w:t xml:space="preserve">6.4 Was für Hochrisiko-Systeme gilt — Überblick</w:t>
      </w:r>
    </w:p>
    <w:p>
      <w:pPr>
        <w:pStyle w:val="FirstParagraph"/>
      </w:pPr>
      <w:r>
        <w:rPr>
          <w:bCs/>
          <w:b/>
        </w:rPr>
        <w:t xml:space="preserve">Anbieter</w:t>
      </w:r>
      <w:r>
        <w:t xml:space="preserve"> </w:t>
      </w:r>
      <w:r>
        <w:t xml:space="preserve">müssen unter anderem: ein Risikomanagementsystem einrichten (Art. 9), Anforderungen an Daten und Daten-Governance erfüllen (Art. 10), eine technische Dokumentation erstellen (Art. 11 mit Anhang IV), Protokollierung ermöglichen (Art. 12), Betreiber transparent informieren (Art. 13), menschliche Aufsicht ermöglichen (Art. 14), Genauigkeit, Robustheit und Cybersicherheit sicherstellen (Art. 15), ein Qualitätsmanagementsystem betreiben (Art. 17), eine Konformitätsbewertung durchführen (Art. 43), eine EU-Konformitätserklärung ausstellen (Art. 47), die CE-Kennzeichnung anbringen (Art. 48), das System registrieren (Art. 49), den Markt beobachten (Art. 72) und schwerwiegende Vorfälle melden (Art. 73).</w:t>
      </w:r>
    </w:p>
    <w:p>
      <w:pPr>
        <w:pStyle w:val="BodyText"/>
      </w:pPr>
      <w:r>
        <w:rPr>
          <w:bCs/>
          <w:b/>
        </w:rPr>
        <w:t xml:space="preserve">Betreiber</w:t>
      </w:r>
      <w:r>
        <w:t xml:space="preserve"> </w:t>
      </w:r>
      <w:r>
        <w:t xml:space="preserve">müssen unter anderem: das System gemäß Betriebsanleitung verwenden und dies durch technische und organisatorische Maßnahmen absichern (Art. 26 Abs. 1), die menschliche Aufsicht kompetenten und befugten Personen übertragen (Abs. 2), auf geeignete Eingabedaten achten (Abs. 4), den Betrieb überwachen und bei Risiken die Verwendung aussetzen und melden (Abs. 5), Protokolle mindestens sechs Monate aufbewahren (Abs. 6), Beschäftigte und ihre Vertretungen vorab informieren (Abs. 7), betroffene Personen informieren (Abs. 11) und mit Behörden zusammenarbeiten (Abs. 12).</w:t>
      </w:r>
    </w:p>
    <w:p>
      <w:pPr>
        <w:pStyle w:val="BodyText"/>
      </w:pPr>
      <w:r>
        <w:t xml:space="preserve">Die vollständigen Pflichtenlisten mit Fundstellen finden Sie im Begleitdokument</w:t>
      </w:r>
      <w:r>
        <w:t xml:space="preserve"> </w:t>
      </w:r>
      <w:r>
        <w:t xml:space="preserve">“</w:t>
      </w:r>
      <w:r>
        <w:t xml:space="preserve">Checklisten Anbieter und Betreiber</w:t>
      </w:r>
      <w:r>
        <w:t xml:space="preserve">”</w:t>
      </w:r>
      <w:r>
        <w:t xml:space="preserve">.</w:t>
      </w:r>
    </w:p>
    <w:p>
      <w:pPr>
        <w:pStyle w:val="BlockText"/>
      </w:pPr>
      <w:r>
        <w:rPr>
          <w:bCs/>
          <w:b/>
        </w:rPr>
        <w:t xml:space="preserve">Fundstelle:</w:t>
      </w:r>
      <w:r>
        <w:t xml:space="preserve"> </w:t>
      </w:r>
      <w:r>
        <w:t xml:space="preserve">Art. 8–22 KI-VO (Anbieter), Art. 26 KI-VO (Betreiber). Art. 26 wurde durch den Digital Omnibus</w:t>
      </w:r>
      <w:r>
        <w:t xml:space="preserve"> </w:t>
      </w:r>
      <w:r>
        <w:rPr>
          <w:bCs/>
          <w:b/>
        </w:rPr>
        <w:t xml:space="preserve">nicht</w:t>
      </w:r>
      <w:r>
        <w:t xml:space="preserve"> </w:t>
      </w:r>
      <w:r>
        <w:t xml:space="preserve">geändert. Bei den Anbieterpflichten wurden Art. 10 (Streichung des Abs. 5, Neufassung der Abs. 1 und 6), Art. 11 Abs. 1 UAbs. 2 und Art. 17 Abs. 2 geändert; Art. 8, 9, 12–16 und 18–24 blieben unverändert. Verschoben wurde der Anwendungsbeginn.</w:t>
      </w:r>
    </w:p>
    <w:p>
      <w:pPr>
        <w:pStyle w:val="FirstParagraph"/>
      </w:pPr>
      <w:r>
        <w:rPr>
          <w:bCs/>
          <w:b/>
        </w:rPr>
        <w:t xml:space="preserve">Neu: Art. 4a — Bias-Erkennung mit besonderen Datenkategorien.</w:t>
      </w:r>
      <w:r>
        <w:t xml:space="preserve"> </w:t>
      </w:r>
      <w:r>
        <w:t xml:space="preserve">Der bisherige Art. 10 Abs. 5 wurde gestrichen und durch einen eigenständigen</w:t>
      </w:r>
      <w:r>
        <w:t xml:space="preserve"> </w:t>
      </w:r>
      <w:r>
        <w:rPr>
          <w:bCs/>
          <w:b/>
        </w:rPr>
        <w:t xml:space="preserve">Art. 4a</w:t>
      </w:r>
      <w:r>
        <w:t xml:space="preserve"> </w:t>
      </w:r>
      <w:r>
        <w:t xml:space="preserve">ersetzt. Er erlaubt die ausnahmsweise Verarbeitung besonderer Kategorien personenbezogener Daten (Art. 9 DSGVO) zur Erkennung und Korrektur von Verzerrungen. Die Norm hat</w:t>
      </w:r>
      <w:r>
        <w:t xml:space="preserve"> </w:t>
      </w:r>
      <w:r>
        <w:rPr>
          <w:bCs/>
          <w:b/>
        </w:rPr>
        <w:t xml:space="preserve">zwei Absätze mit unterschiedlichem Adressatenkreis</w:t>
      </w:r>
      <w:r>
        <w:t xml:space="preserve">:</w:t>
      </w:r>
    </w:p>
    <w:p>
      <w:pPr>
        <w:numPr>
          <w:ilvl w:val="0"/>
          <w:numId w:val="1011"/>
        </w:numPr>
        <w:pStyle w:val="Compact"/>
      </w:pPr>
      <w:r>
        <w:rPr>
          <w:bCs/>
          <w:b/>
        </w:rPr>
        <w:t xml:space="preserve">Abs. 1 — Anbieter von Hochrisiko-KI-Systemen.</w:t>
      </w:r>
      <w:r>
        <w:t xml:space="preserve"> </w:t>
      </w:r>
      <w:r>
        <w:t xml:space="preserve">Sie dürfen solche Daten verarbeiten, soweit das zur Bias-Erkennung und -Korrektur im Einklang mit Art. 10 Abs. 2 lit. f und g unbedingt erforderlich ist. Sämtliche sechs Bedingungen des Abs. 1 lit. a bis f müssen</w:t>
      </w:r>
      <w:r>
        <w:t xml:space="preserve"> </w:t>
      </w:r>
      <w:r>
        <w:rPr>
          <w:bCs/>
          <w:b/>
        </w:rPr>
        <w:t xml:space="preserve">kumulativ</w:t>
      </w:r>
      <w:r>
        <w:t xml:space="preserve"> </w:t>
      </w:r>
      <w:r>
        <w:t xml:space="preserve">erfüllt sein.</w:t>
      </w:r>
    </w:p>
    <w:p>
      <w:pPr>
        <w:numPr>
          <w:ilvl w:val="0"/>
          <w:numId w:val="1011"/>
        </w:numPr>
        <w:pStyle w:val="Compact"/>
      </w:pPr>
      <w:r>
        <w:rPr>
          <w:bCs/>
          <w:b/>
        </w:rPr>
        <w:t xml:space="preserve">Abs. 2 — alle Übrigen.</w:t>
      </w:r>
      <w:r>
        <w:t xml:space="preserve"> </w:t>
      </w:r>
      <w:r>
        <w:t xml:space="preserve">Erfasst sind</w:t>
      </w:r>
      <w:r>
        <w:t xml:space="preserve"> </w:t>
      </w:r>
      <w:r>
        <w:rPr>
          <w:bCs/>
          <w:b/>
        </w:rPr>
        <w:t xml:space="preserve">Anbieter und Betreiber anderer KI-Systeme und KI-Modelle</w:t>
      </w:r>
      <w:r>
        <w:t xml:space="preserve"> </w:t>
      </w:r>
      <w:r>
        <w:t xml:space="preserve">sowie</w:t>
      </w:r>
      <w:r>
        <w:t xml:space="preserve"> </w:t>
      </w:r>
      <w:r>
        <w:rPr>
          <w:bCs/>
          <w:b/>
        </w:rPr>
        <w:t xml:space="preserve">Betreiber von Hochrisiko-KI-Systemen</w:t>
      </w:r>
      <w:r>
        <w:t xml:space="preserve">. Für sie gilt eine zusätzliche Hürde: Die Verarbeitung muss sich auf Verzerrungen beziehen, die die Gesundheit und Sicherheit von Personen beeinträchtigen, negative Auswirkungen auf Grundrechte haben oder zu einer unionsrechtlich verbotenen Diskriminierung führen können. Sämtliche Bedingungen und Schutzvorkehrungen des Abs. 1 gelten zusätzlich.</w:t>
      </w:r>
    </w:p>
    <w:p>
      <w:pPr>
        <w:pStyle w:val="FirstParagraph"/>
      </w:pPr>
      <w:r>
        <w:t xml:space="preserve">Das ist die praktisch bedeutsame Erweiterung: Die Rechtsgrundlage steht nicht mehr nur Anbietern von Hochrisiko-Systemen offen. Aus der Erlaubnis folgt jedoch ausdrücklich</w:t>
      </w:r>
      <w:r>
        <w:t xml:space="preserve"> </w:t>
      </w:r>
      <w:r>
        <w:rPr>
          <w:bCs/>
          <w:b/>
        </w:rPr>
        <w:t xml:space="preserve">keine Pflicht</w:t>
      </w:r>
      <w:r>
        <w:t xml:space="preserve">, eine Bias-Prüfung durchzuführen.</w:t>
      </w:r>
    </w:p>
    <w:p>
      <w:pPr>
        <w:pStyle w:val="BodyText"/>
      </w:pPr>
      <w:r>
        <w:rPr>
          <w:bCs/>
          <w:b/>
        </w:rPr>
        <w:t xml:space="preserve">Drei Missverständnisse, die hier häufig auftreten:</w:t>
      </w:r>
    </w:p>
    <w:p>
      <w:pPr>
        <w:numPr>
          <w:ilvl w:val="0"/>
          <w:numId w:val="1012"/>
        </w:numPr>
        <w:pStyle w:val="Compact"/>
      </w:pPr>
      <w:r>
        <w:t xml:space="preserve">Art. 4a ist</w:t>
      </w:r>
      <w:r>
        <w:t xml:space="preserve"> </w:t>
      </w:r>
      <w:r>
        <w:rPr>
          <w:bCs/>
          <w:b/>
        </w:rPr>
        <w:t xml:space="preserve">keine allgemeine Rechtsgrundlage</w:t>
      </w:r>
      <w:r>
        <w:t xml:space="preserve"> </w:t>
      </w:r>
      <w:r>
        <w:t xml:space="preserve">für die Verarbeitung sensibler Daten. Er erlaubt genau einen Zweck — Erkennung und Korrektur von Verzerrungen — unter engen Bedingungen.</w:t>
      </w:r>
    </w:p>
    <w:p>
      <w:pPr>
        <w:numPr>
          <w:ilvl w:val="0"/>
          <w:numId w:val="1012"/>
        </w:numPr>
        <w:pStyle w:val="Compact"/>
      </w:pPr>
      <w:r>
        <w:t xml:space="preserve">Art. 4a</w:t>
      </w:r>
      <w:r>
        <w:t xml:space="preserve"> </w:t>
      </w:r>
      <w:r>
        <w:rPr>
          <w:bCs/>
          <w:b/>
        </w:rPr>
        <w:t xml:space="preserve">ersetzt keine datenschutzrechtliche Prüfung.</w:t>
      </w:r>
      <w:r>
        <w:t xml:space="preserve"> </w:t>
      </w:r>
      <w:r>
        <w:t xml:space="preserve">Die Verordnung stellt ausdrücklich klar, dass die Bedingungen</w:t>
      </w:r>
      <w:r>
        <w:t xml:space="preserve"> </w:t>
      </w:r>
      <w:r>
        <w:t xml:space="preserve">“</w:t>
      </w:r>
      <w:r>
        <w:t xml:space="preserve">zusätzlich zu den Bestimmungen der Verordnungen (EU) 2016/679 und (EU) 2018/1725 und der Richtlinie (EU) 2016/680</w:t>
      </w:r>
      <w:r>
        <w:t xml:space="preserve">”</w:t>
      </w:r>
      <w:r>
        <w:t xml:space="preserve"> </w:t>
      </w:r>
      <w:r>
        <w:t xml:space="preserve">gelten. Verantwortlichkeit, Zweckbindung, Informationspflichten und gegebenenfalls die Datenschutz-Folgenabschätzung bleiben zu prüfen.</w:t>
      </w:r>
    </w:p>
    <w:p>
      <w:pPr>
        <w:numPr>
          <w:ilvl w:val="0"/>
          <w:numId w:val="1012"/>
        </w:numPr>
        <w:pStyle w:val="Compact"/>
      </w:pPr>
      <w:r>
        <w:t xml:space="preserve">Der Anwendungsbeginn ist</w:t>
      </w:r>
      <w:r>
        <w:t xml:space="preserve"> </w:t>
      </w:r>
      <w:r>
        <w:rPr>
          <w:bCs/>
          <w:b/>
        </w:rPr>
        <w:t xml:space="preserve">nicht</w:t>
      </w:r>
      <w:r>
        <w:t xml:space="preserve"> </w:t>
      </w:r>
      <w:r>
        <w:t xml:space="preserve">der 02.08.2026, sondern der</w:t>
      </w:r>
      <w:r>
        <w:t xml:space="preserve"> </w:t>
      </w:r>
      <w:r>
        <w:rPr>
          <w:bCs/>
          <w:b/>
        </w:rPr>
        <w:t xml:space="preserve">27.07.2026</w:t>
      </w:r>
      <w:r>
        <w:t xml:space="preserve"> </w:t>
      </w:r>
      <w:r>
        <w:t xml:space="preserve">— der Tag, an dem die Änderungsverordnung in Kraft trat und damit galt.</w:t>
      </w:r>
    </w:p>
    <w:p>
      <w:pPr>
        <w:pStyle w:val="BlockText"/>
      </w:pPr>
      <w:r>
        <w:rPr>
          <w:bCs/>
          <w:b/>
        </w:rPr>
        <w:t xml:space="preserve">Fundstelle:</w:t>
      </w:r>
      <w:r>
        <w:t xml:space="preserve"> </w:t>
      </w:r>
      <w:r>
        <w:t xml:space="preserve">Art. 4a KI-VO (neu eingefügt durch VO (EU) 2026/1744, Art. 1 Nr. 6). Wortlaut des Abs. 2 UAbs. 1:</w:t>
      </w:r>
      <w:r>
        <w:t xml:space="preserve"> </w:t>
      </w:r>
      <w:r>
        <w:t xml:space="preserve">“</w:t>
      </w:r>
      <w:r>
        <w:t xml:space="preserve">Anbieter und Betreiber anderer KI-Systeme und KI-Modelle und Betreiber von Hochrisiko-KI-Systemen dürfen ausnahmsweise besondere Kategorien personenbezogener Daten verarbeiten, sofern …</w:t>
      </w:r>
      <w:r>
        <w:t xml:space="preserve">”</w:t>
      </w:r>
      <w:r>
        <w:t xml:space="preserve">. Anwendungsbeginn: Erwägungsgrund 9 der VO (EU) 2026/1744 (</w:t>
      </w:r>
      <w:r>
        <w:t xml:space="preserve">“</w:t>
      </w:r>
      <w:r>
        <w:t xml:space="preserve">ab dem Geltungsbeginn dieser Verordnung</w:t>
      </w:r>
      <w:r>
        <w:t xml:space="preserve">”</w:t>
      </w:r>
      <w:r>
        <w:t xml:space="preserve">) i. V. m. Art. 4 der VO (EU) 2026/1744 — die Verordnung enthält keinen abweichenden Geltungsbeginn, sie gilt ab Inkrafttreten am 27.07.2026. Streichung des Art. 10 Abs. 5 und Neufassung der Art. 10 Abs. 1 und 6: ebenda, Art. 1 Nr. 9; Folgeänderung in Art. 2 Abs. 7: ebenda, Art. 1 Nr. 2 lit. b.</w:t>
      </w:r>
    </w:p>
    <w:bookmarkEnd w:id="48"/>
    <w:bookmarkStart w:id="49" w:name="die-grundrechte-folgenabschätzung"/>
    <w:p>
      <w:pPr>
        <w:pStyle w:val="Heading2"/>
      </w:pPr>
      <w:r>
        <w:t xml:space="preserve">6.5 Die Grundrechte-Folgenabschätzung</w:t>
      </w:r>
    </w:p>
    <w:p>
      <w:pPr>
        <w:pStyle w:val="FirstParagraph"/>
      </w:pPr>
      <w:r>
        <w:t xml:space="preserve">Nicht jeder Betreiber eines Hochrisiko-Systems muss eine Grundrechte-Folgenabschätzung durchführen. Verpflichtet sind nur:</w:t>
      </w:r>
    </w:p>
    <w:p>
      <w:pPr>
        <w:numPr>
          <w:ilvl w:val="0"/>
          <w:numId w:val="1013"/>
        </w:numPr>
        <w:pStyle w:val="Compact"/>
      </w:pPr>
      <w:r>
        <w:t xml:space="preserve">Betreiber, die</w:t>
      </w:r>
      <w:r>
        <w:t xml:space="preserve"> </w:t>
      </w:r>
      <w:r>
        <w:rPr>
          <w:bCs/>
          <w:b/>
        </w:rPr>
        <w:t xml:space="preserve">Einrichtungen des öffentlichen Rechts</w:t>
      </w:r>
      <w:r>
        <w:t xml:space="preserve"> </w:t>
      </w:r>
      <w:r>
        <w:t xml:space="preserve">sind,</w:t>
      </w:r>
    </w:p>
    <w:p>
      <w:pPr>
        <w:numPr>
          <w:ilvl w:val="0"/>
          <w:numId w:val="1013"/>
        </w:numPr>
        <w:pStyle w:val="Compact"/>
      </w:pPr>
      <w:r>
        <w:rPr>
          <w:bCs/>
          <w:b/>
        </w:rPr>
        <w:t xml:space="preserve">private Einrichtungen, die öffentliche Dienste erbringen</w:t>
      </w:r>
      <w:r>
        <w:t xml:space="preserve">,</w:t>
      </w:r>
    </w:p>
    <w:p>
      <w:pPr>
        <w:numPr>
          <w:ilvl w:val="0"/>
          <w:numId w:val="1013"/>
        </w:numPr>
        <w:pStyle w:val="Compact"/>
      </w:pPr>
      <w:r>
        <w:t xml:space="preserve">Betreiber von Systemen zur</w:t>
      </w:r>
      <w:r>
        <w:t xml:space="preserve"> </w:t>
      </w:r>
      <w:r>
        <w:rPr>
          <w:bCs/>
          <w:b/>
        </w:rPr>
        <w:t xml:space="preserve">Kreditwürdigkeitsprüfung</w:t>
      </w:r>
      <w:r>
        <w:t xml:space="preserve"> </w:t>
      </w:r>
      <w:r>
        <w:t xml:space="preserve">sowie zur</w:t>
      </w:r>
      <w:r>
        <w:t xml:space="preserve"> </w:t>
      </w:r>
      <w:r>
        <w:rPr>
          <w:bCs/>
          <w:b/>
        </w:rPr>
        <w:t xml:space="preserve">Risikobewertung und Preisbildung bei Lebens- und Krankenversicherungen</w:t>
      </w:r>
      <w:r>
        <w:t xml:space="preserve"> </w:t>
      </w:r>
      <w:r>
        <w:t xml:space="preserve">— unabhängig davon, ob öffentlich oder privat.</w:t>
      </w:r>
    </w:p>
    <w:p>
      <w:pPr>
        <w:pStyle w:val="FirstParagraph"/>
      </w:pPr>
      <w:r>
        <w:t xml:space="preserve">Systeme aus dem Bereich kritische Infrastruktur (Anhang III Nr. 2) sind ausgenommen.</w:t>
      </w:r>
    </w:p>
    <w:p>
      <w:pPr>
        <w:pStyle w:val="BlockText"/>
      </w:pPr>
      <w:r>
        <w:rPr>
          <w:bCs/>
          <w:b/>
        </w:rPr>
        <w:t xml:space="preserve">Fundstelle:</w:t>
      </w:r>
      <w:r>
        <w:t xml:space="preserve"> </w:t>
      </w:r>
      <w:r>
        <w:t xml:space="preserve">Art. 27 Abs. 1 KI-VO i. V. m. Anhang III Nr. 5 lit. b und c.</w:t>
      </w:r>
    </w:p>
    <w:p>
      <w:pPr>
        <w:pStyle w:val="FirstParagraph"/>
      </w:pPr>
      <w:r>
        <w:rPr>
          <w:bCs/>
          <w:b/>
        </w:rPr>
        <w:t xml:space="preserve">Was der Digital Omnibus geändert hat:</w:t>
      </w:r>
      <w:r>
        <w:t xml:space="preserve"> </w:t>
      </w:r>
      <w:r>
        <w:t xml:space="preserve">Wird eine Pflicht bereits durch eine Datenschutz-Folgenabschätzung nach Art. 35 DSGVO erfüllt, kann der Betreiber jetzt</w:t>
      </w:r>
      <w:r>
        <w:t xml:space="preserve"> </w:t>
      </w:r>
      <w:r>
        <w:rPr>
          <w:bCs/>
          <w:b/>
        </w:rPr>
        <w:t xml:space="preserve">Verweise</w:t>
      </w:r>
      <w:r>
        <w:t xml:space="preserve"> </w:t>
      </w:r>
      <w:r>
        <w:t xml:space="preserve">auf die einschlägigen Abschnitte oder die einschlägigen</w:t>
      </w:r>
      <w:r>
        <w:t xml:space="preserve"> </w:t>
      </w:r>
      <w:r>
        <w:rPr>
          <w:bCs/>
          <w:b/>
        </w:rPr>
        <w:t xml:space="preserve">Teile</w:t>
      </w:r>
      <w:r>
        <w:t xml:space="preserve"> </w:t>
      </w:r>
      <w:r>
        <w:t xml:space="preserve">der DSFA in die Grundrechte-Folgenabschätzung aufnehmen. Bisher hieß es nur, die Grundrechte-Folgenabschätzung</w:t>
      </w:r>
      <w:r>
        <w:t xml:space="preserve"> </w:t>
      </w:r>
      <w:r>
        <w:t xml:space="preserve">“</w:t>
      </w:r>
      <w:r>
        <w:t xml:space="preserve">ergänze</w:t>
      </w:r>
      <w:r>
        <w:t xml:space="preserve">”</w:t>
      </w:r>
      <w:r>
        <w:t xml:space="preserve"> </w:t>
      </w:r>
      <w:r>
        <w:t xml:space="preserve">die DSFA. Zudem erarbeitet nun das Büro für Künstliche Intelligenz das Muster für den Fragebogen, auch mithilfe eines automatisierten Instruments.</w:t>
      </w:r>
    </w:p>
    <w:p>
      <w:pPr>
        <w:pStyle w:val="BlockText"/>
      </w:pPr>
      <w:r>
        <w:rPr>
          <w:bCs/>
          <w:b/>
        </w:rPr>
        <w:t xml:space="preserve">Fundstelle:</w:t>
      </w:r>
      <w:r>
        <w:t xml:space="preserve"> </w:t>
      </w:r>
      <w:r>
        <w:t xml:space="preserve">Art. 27 Abs. 4 und 5 KI-VO n. F. (geändert durch VO (EU) 2026/1744, Art. 1 Nr. 13).</w:t>
      </w:r>
    </w:p>
    <w:p>
      <w:r>
        <w:pict>
          <v:rect style="width:0;height:1.5pt" o:hralign="center" o:hrstd="t" o:hr="t"/>
        </w:pict>
      </w:r>
    </w:p>
    <w:bookmarkEnd w:id="49"/>
    <w:bookmarkEnd w:id="50"/>
    <w:bookmarkStart w:id="54" w:name="der-zeitplan-was-gilt-wann"/>
    <w:p>
      <w:pPr>
        <w:pStyle w:val="Heading1"/>
      </w:pPr>
      <w:r>
        <w:t xml:space="preserve">7. Der Zeitplan — was gilt wann</w:t>
      </w:r>
    </w:p>
    <w:bookmarkStart w:id="51" w:name="was-bereits-gilt"/>
    <w:p>
      <w:pPr>
        <w:pStyle w:val="Heading2"/>
      </w:pPr>
      <w:r>
        <w:t xml:space="preserve">7.1 Was bereits gilt</w:t>
      </w:r>
    </w:p>
    <w:tbl>
      <w:tblPr>
        <w:tblStyle w:val="Table"/>
        <w:tblW w:w="9638" w:type="dxa"/>
        <w:tblLayout w:type="fixed"/>
        <w:tblLook w:firstRow="1" w:lastRow="0" w:firstColumn="0" w:lastColumn="0" w:noHBand="0" w:noVBand="0" w:val="0020"/>
        <w:jc w:val="start"/>
      </w:tblPr>
      <w:tblGrid>
        <w:gridCol w:w="4801"/>
        <w:gridCol w:w="4837"/>
      </w:tblGrid>
      <w:tr>
        <w:trPr>
          <w:tblHeader/>
          <w:cantSplit/>
          <w:tblHeader w:val="true"/>
        </w:trPr>
        <w:tc>
          <w:tcPr>
            <w:shd w:val="clear" w:color="auto" w:fill="DCE4F2"/>
            <w:tcW w:w="4801" w:type="dxa"/>
          </w:tcPr>
          <w:tcPr/>
          <w:p>
            <w:pPr>
              <w:pStyle w:val="Compact"/>
              <w:jc w:val="left"/>
            </w:pPr>
            <w:r>
              <w:t xml:space="preserve">Seit</w:t>
            </w:r>
          </w:p>
        </w:tc>
        <w:tc>
          <w:tcPr>
            <w:shd w:val="clear" w:color="auto" w:fill="DCE4F2"/>
            <w:tcW w:w="4837" w:type="dxa"/>
          </w:tcPr>
          <w:tcPr/>
          <w:p>
            <w:pPr>
              <w:pStyle w:val="Compact"/>
              <w:jc w:val="left"/>
            </w:pPr>
            <w:r>
              <w:t xml:space="preserve">Was</w:t>
            </w:r>
          </w:p>
        </w:tc>
      </w:tr>
      <w:tr>
        <w:tc>
          <w:tcPr>
            <w:tcW w:w="4801" w:type="dxa"/>
          </w:tcPr>
          <w:tcPr/>
          <w:p>
            <w:pPr>
              <w:pStyle w:val="Compact"/>
              <w:jc w:val="left"/>
            </w:pPr>
            <w:r>
              <w:rPr>
                <w:bCs/>
                <w:b/>
              </w:rPr>
              <w:t xml:space="preserve">01.08.2024</w:t>
            </w:r>
          </w:p>
        </w:tc>
        <w:tc>
          <w:tcPr>
            <w:tcW w:w="4837" w:type="dxa"/>
          </w:tcPr>
          <w:tcPr/>
          <w:p>
            <w:pPr>
              <w:pStyle w:val="Compact"/>
              <w:jc w:val="left"/>
            </w:pPr>
            <w:r>
              <w:t xml:space="preserve">Die Verordnung ist in Kraft.</w:t>
            </w:r>
          </w:p>
        </w:tc>
      </w:tr>
      <w:tr>
        <w:tc>
          <w:tcPr>
            <w:tcW w:w="4801" w:type="dxa"/>
          </w:tcPr>
          <w:tcPr/>
          <w:p>
            <w:pPr>
              <w:pStyle w:val="Compact"/>
              <w:jc w:val="left"/>
            </w:pPr>
            <w:r>
              <w:rPr>
                <w:bCs/>
                <w:b/>
              </w:rPr>
              <w:t xml:space="preserve">02.02.2025</w:t>
            </w:r>
          </w:p>
        </w:tc>
        <w:tc>
          <w:tcPr>
            <w:tcW w:w="4837" w:type="dxa"/>
          </w:tcPr>
          <w:tcPr/>
          <w:p>
            <w:pPr>
              <w:pStyle w:val="Compact"/>
              <w:jc w:val="left"/>
            </w:pPr>
            <w:r>
              <w:t xml:space="preserve">Begriffsbestimmungen,</w:t>
            </w:r>
            <w:r>
              <w:t xml:space="preserve"> </w:t>
            </w:r>
            <w:r>
              <w:rPr>
                <w:bCs/>
                <w:b/>
              </w:rPr>
              <w:t xml:space="preserve">KI-Kompetenz (Art. 4)</w:t>
            </w:r>
            <w:r>
              <w:t xml:space="preserve">,</w:t>
            </w:r>
            <w:r>
              <w:t xml:space="preserve"> </w:t>
            </w:r>
            <w:r>
              <w:rPr>
                <w:bCs/>
                <w:b/>
              </w:rPr>
              <w:t xml:space="preserve">verbotene Praktiken (Art. 5)</w:t>
            </w:r>
            <w:r>
              <w:t xml:space="preserve">.</w:t>
            </w:r>
          </w:p>
        </w:tc>
      </w:tr>
      <w:tr>
        <w:tc>
          <w:tcPr>
            <w:tcW w:w="4801" w:type="dxa"/>
          </w:tcPr>
          <w:tcPr/>
          <w:p>
            <w:pPr>
              <w:pStyle w:val="Compact"/>
              <w:jc w:val="left"/>
            </w:pPr>
            <w:r>
              <w:rPr>
                <w:bCs/>
                <w:b/>
              </w:rPr>
              <w:t xml:space="preserve">02.08.2025</w:t>
            </w:r>
          </w:p>
        </w:tc>
        <w:tc>
          <w:tcPr>
            <w:tcW w:w="4837" w:type="dxa"/>
          </w:tcPr>
          <w:tcPr/>
          <w:p>
            <w:pPr>
              <w:pStyle w:val="Compact"/>
              <w:jc w:val="left"/>
            </w:pPr>
            <w:r>
              <w:t xml:space="preserve">Pflichten für</w:t>
            </w:r>
            <w:r>
              <w:t xml:space="preserve"> </w:t>
            </w:r>
            <w:r>
              <w:rPr>
                <w:bCs/>
                <w:b/>
              </w:rPr>
              <w:t xml:space="preserve">KI-Modelle mit allgemeinem Verwendungszweck</w:t>
            </w:r>
            <w:r>
              <w:t xml:space="preserve"> </w:t>
            </w:r>
            <w:r>
              <w:t xml:space="preserve">(Art. 51–56), Governance-Strukturen,</w:t>
            </w:r>
            <w:r>
              <w:t xml:space="preserve"> </w:t>
            </w:r>
            <w:r>
              <w:rPr>
                <w:bCs/>
                <w:b/>
              </w:rPr>
              <w:t xml:space="preserve">Sanktionsvorschriften</w:t>
            </w:r>
            <w:r>
              <w:t xml:space="preserve"> </w:t>
            </w:r>
            <w:r>
              <w:t xml:space="preserve">(Art. 99, 100).</w:t>
            </w:r>
          </w:p>
        </w:tc>
      </w:tr>
      <w:tr>
        <w:tc>
          <w:tcPr>
            <w:tcW w:w="4801" w:type="dxa"/>
          </w:tcPr>
          <w:tcPr/>
          <w:p>
            <w:pPr>
              <w:pStyle w:val="Compact"/>
              <w:jc w:val="left"/>
            </w:pPr>
            <w:r>
              <w:rPr>
                <w:bCs/>
                <w:b/>
              </w:rPr>
              <w:t xml:space="preserve">27.07.2026</w:t>
            </w:r>
          </w:p>
        </w:tc>
        <w:tc>
          <w:tcPr>
            <w:tcW w:w="4837" w:type="dxa"/>
          </w:tcPr>
          <w:tcPr/>
          <w:p>
            <w:pPr>
              <w:pStyle w:val="Compact"/>
              <w:jc w:val="left"/>
            </w:pPr>
            <w:r>
              <w:t xml:space="preserve">Die Digital-Omnibus-Verordnung (EU) 2026/1744 tritt in Kraft. Art. 102–110 KI-VO gelten ab diesem Tag. Ebenfalls ab diesem Tag gilt die neue Rechtsgrundlage des</w:t>
            </w:r>
            <w:r>
              <w:t xml:space="preserve"> </w:t>
            </w:r>
            <w:r>
              <w:rPr>
                <w:bCs/>
                <w:b/>
              </w:rPr>
              <w:t xml:space="preserve">Art. 4a</w:t>
            </w:r>
            <w:r>
              <w:t xml:space="preserve"> </w:t>
            </w:r>
            <w:r>
              <w:t xml:space="preserve">(Bias-Erkennung).</w:t>
            </w:r>
          </w:p>
        </w:tc>
      </w:tr>
    </w:tbl>
    <w:p>
      <w:pPr>
        <w:pStyle w:val="BlockText"/>
      </w:pPr>
      <w:r>
        <w:rPr>
          <w:bCs/>
          <w:b/>
        </w:rPr>
        <w:t xml:space="preserve">Fundstelle:</w:t>
      </w:r>
      <w:r>
        <w:t xml:space="preserve"> </w:t>
      </w:r>
      <w:r>
        <w:t xml:space="preserve">Art. 113 Abs. 3 lit. a und b KI-VO; lit. d neu eingefügt durch VO (EU) 2026/1744, Art. 1 Nr. 40. Zu Art. 4a: ErwG 9 der VO (EU) 2026/1744 i. V. m. deren Art. 4.</w:t>
      </w:r>
    </w:p>
    <w:bookmarkEnd w:id="51"/>
    <w:bookmarkStart w:id="52" w:name="was-als-nächstes-kommt"/>
    <w:p>
      <w:pPr>
        <w:pStyle w:val="Heading2"/>
      </w:pPr>
      <w:r>
        <w:t xml:space="preserve">7.2 Was als Nächstes kommt</w:t>
      </w:r>
    </w:p>
    <w:tbl>
      <w:tblPr>
        <w:tblStyle w:val="Table"/>
        <w:tblW w:w="9638" w:type="dxa"/>
        <w:tblLayout w:type="fixed"/>
        <w:tblLook w:firstRow="1" w:lastRow="0" w:firstColumn="0" w:lastColumn="0" w:noHBand="0" w:noVBand="0" w:val="0020"/>
        <w:jc w:val="start"/>
      </w:tblPr>
      <w:tblGrid>
        <w:gridCol w:w="4404"/>
        <w:gridCol w:w="5234"/>
      </w:tblGrid>
      <w:tr>
        <w:trPr>
          <w:tblHeader/>
          <w:cantSplit/>
          <w:tblHeader w:val="true"/>
        </w:trPr>
        <w:tc>
          <w:tcPr>
            <w:shd w:val="clear" w:color="auto" w:fill="DCE4F2"/>
            <w:tcW w:w="4404" w:type="dxa"/>
          </w:tcPr>
          <w:tcPr/>
          <w:p>
            <w:pPr>
              <w:pStyle w:val="Compact"/>
              <w:jc w:val="left"/>
            </w:pPr>
            <w:r>
              <w:t xml:space="preserve">Ab</w:t>
            </w:r>
          </w:p>
        </w:tc>
        <w:tc>
          <w:tcPr>
            <w:shd w:val="clear" w:color="auto" w:fill="DCE4F2"/>
            <w:tcW w:w="5234" w:type="dxa"/>
          </w:tcPr>
          <w:tcPr/>
          <w:p>
            <w:pPr>
              <w:pStyle w:val="Compact"/>
              <w:jc w:val="left"/>
            </w:pPr>
            <w:r>
              <w:t xml:space="preserve">Was</w:t>
            </w:r>
          </w:p>
        </w:tc>
      </w:tr>
      <w:tr>
        <w:tc>
          <w:tcPr>
            <w:tcW w:w="4404" w:type="dxa"/>
          </w:tcPr>
          <w:tcPr/>
          <w:p>
            <w:pPr>
              <w:pStyle w:val="Compact"/>
              <w:jc w:val="left"/>
            </w:pPr>
            <w:r>
              <w:rPr>
                <w:bCs/>
                <w:b/>
              </w:rPr>
              <w:t xml:space="preserve">02.08.2026</w:t>
            </w:r>
          </w:p>
        </w:tc>
        <w:tc>
          <w:tcPr>
            <w:tcW w:w="5234" w:type="dxa"/>
          </w:tcPr>
          <w:tcPr/>
          <w:p>
            <w:pPr>
              <w:pStyle w:val="Compact"/>
              <w:jc w:val="left"/>
            </w:pPr>
            <w:r>
              <w:rPr>
                <w:bCs/>
                <w:b/>
              </w:rPr>
              <w:t xml:space="preserve">Allgemeiner Geltungsbeginn</w:t>
            </w:r>
            <w:r>
              <w:t xml:space="preserve"> </w:t>
            </w:r>
            <w:r>
              <w:t xml:space="preserve">der Verordnung. Insbesondere:</w:t>
            </w:r>
            <w:r>
              <w:t xml:space="preserve"> </w:t>
            </w:r>
            <w:r>
              <w:rPr>
                <w:bCs/>
                <w:b/>
              </w:rPr>
              <w:t xml:space="preserve">Transparenzpflichten nach Art. 50</w:t>
            </w:r>
            <w:r>
              <w:t xml:space="preserve">; Leitlinien der Kommission nach Art. 6 Abs. 5; Bußgelder gegen GPAI-Anbieter nach Art. 101.</w:t>
            </w:r>
          </w:p>
        </w:tc>
      </w:tr>
      <w:tr>
        <w:tc>
          <w:tcPr>
            <w:tcW w:w="4404" w:type="dxa"/>
          </w:tcPr>
          <w:tcPr/>
          <w:p>
            <w:pPr>
              <w:pStyle w:val="Compact"/>
              <w:jc w:val="left"/>
            </w:pPr>
            <w:r>
              <w:rPr>
                <w:bCs/>
                <w:b/>
              </w:rPr>
              <w:t xml:space="preserve">02.12.2026</w:t>
            </w:r>
          </w:p>
        </w:tc>
        <w:tc>
          <w:tcPr>
            <w:tcW w:w="5234" w:type="dxa"/>
          </w:tcPr>
          <w:tcPr/>
          <w:p>
            <w:pPr>
              <w:pStyle w:val="Compact"/>
              <w:jc w:val="left"/>
            </w:pPr>
            <w:r>
              <w:rPr>
                <w:bCs/>
                <w:b/>
              </w:rPr>
              <w:t xml:space="preserve">Neue Verbote</w:t>
            </w:r>
            <w:r>
              <w:t xml:space="preserve"> </w:t>
            </w:r>
            <w:r>
              <w:t xml:space="preserve">für nicht-einvernehmliche intime Darstellungen und CSAM (Art. 5 Abs. 1 lit. ba und bb).</w:t>
            </w:r>
          </w:p>
        </w:tc>
      </w:tr>
      <w:tr>
        <w:tc>
          <w:tcPr>
            <w:tcW w:w="4404" w:type="dxa"/>
          </w:tcPr>
          <w:tcPr/>
          <w:p>
            <w:pPr>
              <w:pStyle w:val="Compact"/>
              <w:jc w:val="left"/>
            </w:pPr>
            <w:r>
              <w:rPr>
                <w:bCs/>
                <w:b/>
              </w:rPr>
              <w:t xml:space="preserve">02.12.2026</w:t>
            </w:r>
          </w:p>
        </w:tc>
        <w:tc>
          <w:tcPr>
            <w:tcW w:w="5234" w:type="dxa"/>
          </w:tcPr>
          <w:tcPr/>
          <w:p>
            <w:pPr>
              <w:pStyle w:val="Compact"/>
              <w:jc w:val="left"/>
            </w:pPr>
            <w:r>
              <w:t xml:space="preserve">Ende der Übergangsfrist für Anbieter</w:t>
            </w:r>
            <w:r>
              <w:t xml:space="preserve"> </w:t>
            </w:r>
            <w:r>
              <w:rPr>
                <w:bCs/>
                <w:b/>
              </w:rPr>
              <w:t xml:space="preserve">generativer Bestandssysteme</w:t>
            </w:r>
            <w:r>
              <w:t xml:space="preserve">: Systeme, die vor dem 02.08.2026 in Verkehr gebracht wurden, müssen die</w:t>
            </w:r>
            <w:r>
              <w:t xml:space="preserve"> </w:t>
            </w:r>
            <w:r>
              <w:rPr>
                <w:bCs/>
                <w:b/>
              </w:rPr>
              <w:t xml:space="preserve">maschinenlesbare Kennzeichnung nach Art. 50 Abs. 2</w:t>
            </w:r>
            <w:r>
              <w:t xml:space="preserve"> </w:t>
            </w:r>
            <w:r>
              <w:t xml:space="preserve">erfüllen.</w:t>
            </w:r>
          </w:p>
        </w:tc>
      </w:tr>
      <w:tr>
        <w:tc>
          <w:tcPr>
            <w:tcW w:w="4404" w:type="dxa"/>
          </w:tcPr>
          <w:tcPr/>
          <w:p>
            <w:pPr>
              <w:pStyle w:val="Compact"/>
              <w:jc w:val="left"/>
            </w:pPr>
            <w:r>
              <w:rPr>
                <w:bCs/>
                <w:b/>
              </w:rPr>
              <w:t xml:space="preserve">02.08.2027</w:t>
            </w:r>
          </w:p>
        </w:tc>
        <w:tc>
          <w:tcPr>
            <w:tcW w:w="5234" w:type="dxa"/>
          </w:tcPr>
          <w:tcPr/>
          <w:p>
            <w:pPr>
              <w:pStyle w:val="Compact"/>
              <w:jc w:val="left"/>
            </w:pPr>
            <w:r>
              <w:t xml:space="preserve">KI-Reallabore müssen in allen Mitgliedstaaten einsatzbereit sein. GPAI-Modelle, die vor dem 02.08.2025 in Verkehr gebracht wurden, müssen konform sein.</w:t>
            </w:r>
          </w:p>
        </w:tc>
      </w:tr>
      <w:tr>
        <w:tc>
          <w:tcPr>
            <w:tcW w:w="4404" w:type="dxa"/>
          </w:tcPr>
          <w:tcPr/>
          <w:p>
            <w:pPr>
              <w:pStyle w:val="Compact"/>
              <w:jc w:val="left"/>
            </w:pPr>
            <w:r>
              <w:rPr>
                <w:bCs/>
                <w:b/>
              </w:rPr>
              <w:t xml:space="preserve">02.12.2027</w:t>
            </w:r>
          </w:p>
        </w:tc>
        <w:tc>
          <w:tcPr>
            <w:tcW w:w="5234" w:type="dxa"/>
          </w:tcPr>
          <w:tcPr/>
          <w:p>
            <w:pPr>
              <w:pStyle w:val="Compact"/>
              <w:jc w:val="left"/>
            </w:pPr>
            <w:r>
              <w:rPr>
                <w:bCs/>
                <w:b/>
              </w:rPr>
              <w:t xml:space="preserve">Pflichten für Hochrisiko-KI nach Anhang III</w:t>
            </w:r>
            <w:r>
              <w:t xml:space="preserve"> </w:t>
            </w:r>
            <w:r>
              <w:t xml:space="preserve">(eigenständige Systeme) — Kapitel III Abschnitte 1, 2 und 3.</w:t>
            </w:r>
          </w:p>
        </w:tc>
      </w:tr>
      <w:tr>
        <w:tc>
          <w:tcPr>
            <w:tcW w:w="4404" w:type="dxa"/>
          </w:tcPr>
          <w:tcPr/>
          <w:p>
            <w:pPr>
              <w:pStyle w:val="Compact"/>
              <w:jc w:val="left"/>
            </w:pPr>
            <w:r>
              <w:rPr>
                <w:bCs/>
                <w:b/>
              </w:rPr>
              <w:t xml:space="preserve">02.08.2028</w:t>
            </w:r>
          </w:p>
        </w:tc>
        <w:tc>
          <w:tcPr>
            <w:tcW w:w="5234" w:type="dxa"/>
          </w:tcPr>
          <w:tcPr/>
          <w:p>
            <w:pPr>
              <w:pStyle w:val="Compact"/>
              <w:jc w:val="left"/>
            </w:pPr>
            <w:r>
              <w:rPr>
                <w:bCs/>
                <w:b/>
              </w:rPr>
              <w:t xml:space="preserve">Pflichten für Hochrisiko-KI nach Anhang I Abschnitt A</w:t>
            </w:r>
            <w:r>
              <w:t xml:space="preserve"> </w:t>
            </w:r>
            <w:r>
              <w:t xml:space="preserve">(in Produkte eingebettet) — Kapitel III Abschnitte 1, 2 und 3. Für Anhang I</w:t>
            </w:r>
            <w:r>
              <w:t xml:space="preserve"> </w:t>
            </w:r>
            <w:r>
              <w:rPr>
                <w:bCs/>
                <w:b/>
              </w:rPr>
              <w:t xml:space="preserve">Abschnitt B</w:t>
            </w:r>
            <w:r>
              <w:t xml:space="preserve"> </w:t>
            </w:r>
            <w:r>
              <w:t xml:space="preserve">(u. a. Maschinen, Kraftfahrzeuge, Eisenbahn) gelten von der KI-VO nur Art. 6 Abs. 1, Art. 60a und Art. 102–112; im Übrigen greift das Sektorrecht (Art. 2 Abs. 2 n. F.).</w:t>
            </w:r>
          </w:p>
        </w:tc>
      </w:tr>
      <w:tr>
        <w:tc>
          <w:tcPr>
            <w:tcW w:w="4404" w:type="dxa"/>
          </w:tcPr>
          <w:tcPr/>
          <w:p>
            <w:pPr>
              <w:pStyle w:val="Compact"/>
              <w:jc w:val="left"/>
            </w:pPr>
            <w:r>
              <w:rPr>
                <w:bCs/>
                <w:b/>
              </w:rPr>
              <w:t xml:space="preserve">02.08.2030</w:t>
            </w:r>
          </w:p>
        </w:tc>
        <w:tc>
          <w:tcPr>
            <w:tcW w:w="5234" w:type="dxa"/>
          </w:tcPr>
          <w:tcPr/>
          <w:p>
            <w:pPr>
              <w:pStyle w:val="Compact"/>
              <w:jc w:val="left"/>
            </w:pPr>
            <w:r>
              <w:t xml:space="preserve">Hochrisiko-Bestandssysteme, die bestimmungsgemäß von Behörden verwendet werden.</w:t>
            </w:r>
          </w:p>
        </w:tc>
      </w:tr>
      <w:tr>
        <w:tc>
          <w:tcPr>
            <w:tcW w:w="4404" w:type="dxa"/>
          </w:tcPr>
          <w:tcPr/>
          <w:p>
            <w:pPr>
              <w:pStyle w:val="Compact"/>
              <w:jc w:val="left"/>
            </w:pPr>
            <w:r>
              <w:rPr>
                <w:bCs/>
                <w:b/>
              </w:rPr>
              <w:t xml:space="preserve">31.12.2030</w:t>
            </w:r>
          </w:p>
        </w:tc>
        <w:tc>
          <w:tcPr>
            <w:tcW w:w="5234" w:type="dxa"/>
          </w:tcPr>
          <w:tcPr/>
          <w:p>
            <w:pPr>
              <w:pStyle w:val="Compact"/>
              <w:jc w:val="left"/>
            </w:pPr>
            <w:r>
              <w:t xml:space="preserve">KI als Komponente großer EU-IT-Systeme nach Anhang X.</w:t>
            </w:r>
          </w:p>
        </w:tc>
      </w:tr>
    </w:tbl>
    <w:p>
      <w:pPr>
        <w:pStyle w:val="BlockText"/>
      </w:pPr>
      <w:r>
        <w:rPr>
          <w:bCs/>
          <w:b/>
        </w:rPr>
        <w:t xml:space="preserve">Fundstelle:</w:t>
      </w:r>
      <w:r>
        <w:t xml:space="preserve"> </w:t>
      </w:r>
      <w:r>
        <w:t xml:space="preserve">Art. 113 Abs. 1 und Abs. 3 lit. a und c KI-VO n. F.; Art. 111 Abs. 1, 2, 3 und 4 KI-VO n. F.; Art. 57 Abs. 1 KI-VO n. F.</w:t>
      </w:r>
    </w:p>
    <w:bookmarkEnd w:id="52"/>
    <w:bookmarkStart w:id="53" w:name="Xf88cb2e285a43fc5aee8f206fb68fccf9859bf2"/>
    <w:p>
      <w:pPr>
        <w:pStyle w:val="Heading2"/>
      </w:pPr>
      <w:r>
        <w:t xml:space="preserve">7.3 Was die Verschiebung bedeutet — und was nicht</w:t>
      </w:r>
    </w:p>
    <w:p>
      <w:pPr>
        <w:pStyle w:val="FirstParagraph"/>
      </w:pPr>
      <w:r>
        <w:t xml:space="preserve">Der Digital Omnibus hat die Hochrisiko-Pflichten verschoben: Systeme nach Anhang III von August 2026 auf</w:t>
      </w:r>
      <w:r>
        <w:t xml:space="preserve"> </w:t>
      </w:r>
      <w:r>
        <w:rPr>
          <w:bCs/>
          <w:b/>
        </w:rPr>
        <w:t xml:space="preserve">Dezember 2027</w:t>
      </w:r>
      <w:r>
        <w:t xml:space="preserve">, Systeme nach Anhang I auf</w:t>
      </w:r>
      <w:r>
        <w:t xml:space="preserve"> </w:t>
      </w:r>
      <w:r>
        <w:rPr>
          <w:bCs/>
          <w:b/>
        </w:rPr>
        <w:t xml:space="preserve">August 2028</w:t>
      </w:r>
      <w:r>
        <w:t xml:space="preserve">. Die Verordnung nennt als Grund die verzögerte Verfügbarkeit von Normen, gemeinsamen Spezifikationen und Leitlinien sowie die verzögerte Einrichtung der zuständigen nationalen Behörden.</w:t>
      </w:r>
    </w:p>
    <w:p>
      <w:pPr>
        <w:pStyle w:val="BodyText"/>
      </w:pPr>
      <w:r>
        <w:rPr>
          <w:bCs/>
          <w:b/>
        </w:rPr>
        <w:t xml:space="preserve">Was sich dadurch nicht ändert:</w:t>
      </w:r>
    </w:p>
    <w:p>
      <w:pPr>
        <w:numPr>
          <w:ilvl w:val="0"/>
          <w:numId w:val="1014"/>
        </w:numPr>
        <w:pStyle w:val="Compact"/>
      </w:pPr>
      <w:r>
        <w:t xml:space="preserve">Die</w:t>
      </w:r>
      <w:r>
        <w:t xml:space="preserve"> </w:t>
      </w:r>
      <w:r>
        <w:rPr>
          <w:bCs/>
          <w:b/>
        </w:rPr>
        <w:t xml:space="preserve">Verbote</w:t>
      </w:r>
      <w:r>
        <w:t xml:space="preserve"> </w:t>
      </w:r>
      <w:r>
        <w:t xml:space="preserve">gelten weiter — und zwei neue kommen im Dezember 2026 hinzu.</w:t>
      </w:r>
    </w:p>
    <w:p>
      <w:pPr>
        <w:numPr>
          <w:ilvl w:val="0"/>
          <w:numId w:val="1014"/>
        </w:numPr>
        <w:pStyle w:val="Compact"/>
      </w:pPr>
      <w:r>
        <w:t xml:space="preserve">Die</w:t>
      </w:r>
      <w:r>
        <w:t xml:space="preserve"> </w:t>
      </w:r>
      <w:r>
        <w:rPr>
          <w:bCs/>
          <w:b/>
        </w:rPr>
        <w:t xml:space="preserve">KI-Kompetenz</w:t>
      </w:r>
      <w:r>
        <w:t xml:space="preserve"> </w:t>
      </w:r>
      <w:r>
        <w:t xml:space="preserve">bleibt Pflicht.</w:t>
      </w:r>
    </w:p>
    <w:p>
      <w:pPr>
        <w:numPr>
          <w:ilvl w:val="0"/>
          <w:numId w:val="1014"/>
        </w:numPr>
        <w:pStyle w:val="Compact"/>
      </w:pPr>
      <w:r>
        <w:t xml:space="preserve">Die</w:t>
      </w:r>
      <w:r>
        <w:t xml:space="preserve"> </w:t>
      </w:r>
      <w:r>
        <w:rPr>
          <w:bCs/>
          <w:b/>
        </w:rPr>
        <w:t xml:space="preserve">Transparenzpflichten</w:t>
      </w:r>
      <w:r>
        <w:t xml:space="preserve"> </w:t>
      </w:r>
      <w:r>
        <w:t xml:space="preserve">starten planmäßig am 2. August 2026.</w:t>
      </w:r>
    </w:p>
    <w:p>
      <w:pPr>
        <w:numPr>
          <w:ilvl w:val="0"/>
          <w:numId w:val="1014"/>
        </w:numPr>
        <w:pStyle w:val="Compact"/>
      </w:pPr>
      <w:r>
        <w:t xml:space="preserve">Die</w:t>
      </w:r>
      <w:r>
        <w:t xml:space="preserve"> </w:t>
      </w:r>
      <w:r>
        <w:rPr>
          <w:bCs/>
          <w:b/>
        </w:rPr>
        <w:t xml:space="preserve">GPAI-Pflichten</w:t>
      </w:r>
      <w:r>
        <w:t xml:space="preserve"> </w:t>
      </w:r>
      <w:r>
        <w:t xml:space="preserve">gelten seit August 2025 unverändert.</w:t>
      </w:r>
    </w:p>
    <w:p>
      <w:pPr>
        <w:numPr>
          <w:ilvl w:val="0"/>
          <w:numId w:val="1014"/>
        </w:numPr>
        <w:pStyle w:val="Compact"/>
      </w:pPr>
      <w:r>
        <w:t xml:space="preserve">Die</w:t>
      </w:r>
      <w:r>
        <w:t xml:space="preserve"> </w:t>
      </w:r>
      <w:r>
        <w:rPr>
          <w:bCs/>
          <w:b/>
        </w:rPr>
        <w:t xml:space="preserve">Sanktionsvorschriften</w:t>
      </w:r>
      <w:r>
        <w:t xml:space="preserve"> </w:t>
      </w:r>
      <w:r>
        <w:t xml:space="preserve">gelten seit August 2025; ihr Anwendungsbeginn wurde nicht mitverschoben.</w:t>
      </w:r>
    </w:p>
    <w:p>
      <w:pPr>
        <w:pStyle w:val="FirstParagraph"/>
      </w:pPr>
      <w:r>
        <w:rPr>
          <w:bCs/>
          <w:b/>
        </w:rPr>
        <w:t xml:space="preserve">Wie weit reicht die Verschiebung?</w:t>
      </w:r>
      <w:r>
        <w:t xml:space="preserve"> </w:t>
      </w:r>
      <w:r>
        <w:t xml:space="preserve">Der Wortlaut ist enger, als es zunächst wirkt. Verschoben wurden ausschließlich</w:t>
      </w:r>
      <w:r>
        <w:t xml:space="preserve"> </w:t>
      </w:r>
      <w:r>
        <w:rPr>
          <w:bCs/>
          <w:b/>
        </w:rPr>
        <w:t xml:space="preserve">Kapitel III Abschnitte 1, 2 und 3</w:t>
      </w:r>
      <w:r>
        <w:t xml:space="preserve"> </w:t>
      </w:r>
      <w:r>
        <w:t xml:space="preserve">(Art. 6 bis 27, ohne Art. 6 Abs. 5).</w:t>
      </w:r>
      <w:r>
        <w:t xml:space="preserve"> </w:t>
      </w:r>
      <w:r>
        <w:rPr>
          <w:bCs/>
          <w:b/>
        </w:rPr>
        <w:t xml:space="preserve">Nicht</w:t>
      </w:r>
      <w:r>
        <w:t xml:space="preserve"> </w:t>
      </w:r>
      <w:r>
        <w:t xml:space="preserve">vom Wortlaut erfasst sind:</w:t>
      </w:r>
    </w:p>
    <w:p>
      <w:pPr>
        <w:numPr>
          <w:ilvl w:val="0"/>
          <w:numId w:val="1015"/>
        </w:numPr>
        <w:pStyle w:val="Compact"/>
      </w:pPr>
      <w:r>
        <w:rPr>
          <w:bCs/>
          <w:b/>
        </w:rPr>
        <w:t xml:space="preserve">Kapitel III Abschnitt 5</w:t>
      </w:r>
      <w:r>
        <w:t xml:space="preserve"> </w:t>
      </w:r>
      <w:r>
        <w:t xml:space="preserve">— Normen, Konformitätsbewertung (Art. 43), EU-Konformitätserklärung (Art. 47), CE-Kennzeichnung (Art. 48), Registrierung (Art. 49);</w:t>
      </w:r>
    </w:p>
    <w:p>
      <w:pPr>
        <w:numPr>
          <w:ilvl w:val="0"/>
          <w:numId w:val="1015"/>
        </w:numPr>
        <w:pStyle w:val="Compact"/>
      </w:pPr>
      <w:r>
        <w:rPr>
          <w:bCs/>
          <w:b/>
        </w:rPr>
        <w:t xml:space="preserve">Kapitel IX</w:t>
      </w:r>
      <w:r>
        <w:t xml:space="preserve"> </w:t>
      </w:r>
      <w:r>
        <w:t xml:space="preserve">— Beobachtung nach dem Inverkehrbringen (Art. 72), Meldung schwerwiegender Vorfälle (Art. 73), Recht auf Erläuterung (Art. 86);</w:t>
      </w:r>
    </w:p>
    <w:p>
      <w:pPr>
        <w:numPr>
          <w:ilvl w:val="0"/>
          <w:numId w:val="1015"/>
        </w:numPr>
        <w:pStyle w:val="Compact"/>
      </w:pPr>
      <w:r>
        <w:rPr>
          <w:bCs/>
          <w:b/>
        </w:rPr>
        <w:t xml:space="preserve">Kapitel IV</w:t>
      </w:r>
      <w:r>
        <w:t xml:space="preserve"> </w:t>
      </w:r>
      <w:r>
        <w:t xml:space="preserve">— Transparenzpflichten (Art. 50).</w:t>
      </w:r>
    </w:p>
    <w:p>
      <w:pPr>
        <w:pStyle w:val="FirstParagraph"/>
      </w:pPr>
      <w:r>
        <w:t xml:space="preserve">Diese Vorschriften gelten seit dem allgemeinen Geltungsbeginn am 02.08.2026. In der Praxis greifen die Konformitäts- und Registrierungspflichten erst, sobald ein System nach dem verschobenen Art. 6 überhaupt als hochriskant einzustufen ist — das ist eine vertretbare, aber nicht zwingende Auslegung.</w:t>
      </w:r>
    </w:p>
    <w:p>
      <w:pPr>
        <w:pStyle w:val="BlockText"/>
      </w:pPr>
      <w:r>
        <w:rPr>
          <w:bCs/>
          <w:b/>
        </w:rPr>
        <w:t xml:space="preserve">Bitte trennen Sie drei Dinge — in Ihrer Dokumentation ebenso wie in der Arbeitshilfe:</w:t>
      </w:r>
    </w:p>
    <w:tbl>
      <w:tblPr>
        <w:tblStyle w:val="Table"/>
        <w:tblW w:w="9638" w:type="dxa"/>
        <w:tblLayout w:type="fixed"/>
        <w:tblLook w:firstRow="0" w:lastRow="0" w:firstColumn="0" w:lastColumn="0" w:noHBand="0" w:noVBand="0" w:val="0000"/>
        <w:jc w:val="start"/>
      </w:tblPr>
      <w:tblGrid>
        <w:gridCol w:w="4740"/>
        <w:gridCol w:w="4898"/>
      </w:tblGrid>
      <w:tr>
        <w:trPr>
          <w:tblHeader/>
          <w:cantSplit/>
        </w:trPr>
        <w:tc>
          <w:tcPr>
            <w:shd w:val="clear" w:color="auto" w:fill="DCE4F2"/>
            <w:tcW w:w="4740" w:type="dxa"/>
          </w:tcPr>
          <w:tcPr/>
          <w:p>
            <w:pPr>
              <w:pStyle w:val="Compact"/>
              <w:jc w:val="left"/>
            </w:pPr>
            <w:r>
              <w:rPr>
                <w:bCs/>
                <w:b/>
              </w:rPr>
              <w:t xml:space="preserve">Gesetzlicher Wortlaut</w:t>
            </w:r>
          </w:p>
        </w:tc>
        <w:tc>
          <w:tcPr>
            <w:shd w:val="clear" w:color="auto" w:fill="DCE4F2"/>
            <w:tcW w:w="4898" w:type="dxa"/>
          </w:tcPr>
          <w:tcPr/>
          <w:p>
            <w:pPr>
              <w:pStyle w:val="Compact"/>
              <w:jc w:val="left"/>
            </w:pPr>
            <w:r>
              <w:t xml:space="preserve">Verschoben werden ausdrücklich nur Kapitel III Abschnitte 1, 2 und 3 (ohne Art. 6 Abs. 5).</w:t>
            </w:r>
          </w:p>
        </w:tc>
      </w:tr>
      <w:tr>
        <w:tc>
          <w:tcPr>
            <w:tcW w:w="4740" w:type="dxa"/>
          </w:tcPr>
          <w:tcPr/>
          <w:p>
            <w:pPr>
              <w:pStyle w:val="Compact"/>
              <w:jc w:val="left"/>
            </w:pPr>
            <w:r>
              <w:rPr>
                <w:bCs/>
                <w:b/>
              </w:rPr>
              <w:t xml:space="preserve">Arbeitsannahme</w:t>
            </w:r>
          </w:p>
        </w:tc>
        <w:tc>
          <w:tcPr>
            <w:tcW w:w="4898" w:type="dxa"/>
          </w:tcPr>
          <w:tcPr/>
          <w:p>
            <w:pPr>
              <w:pStyle w:val="Compact"/>
              <w:jc w:val="left"/>
            </w:pPr>
            <w:r>
              <w:t xml:space="preserve">Dieses Dokumentenpaket plant die Pflichten aus Abschnitt 5, Kapitel IV und Kapitel IX einheitlich zum jeweiligen Hochrisiko-Termin (02.12.2027 bzw. 02.08.2028), weil sie ohne anwendbaren Art. 6 praktisch leerlaufen.</w:t>
            </w:r>
          </w:p>
        </w:tc>
      </w:tr>
      <w:tr>
        <w:tc>
          <w:tcPr>
            <w:tcW w:w="4740" w:type="dxa"/>
          </w:tcPr>
          <w:tcPr/>
          <w:p>
            <w:pPr>
              <w:pStyle w:val="Compact"/>
              <w:jc w:val="left"/>
            </w:pPr>
            <w:r>
              <w:rPr>
                <w:bCs/>
                <w:b/>
              </w:rPr>
              <w:t xml:space="preserve">Bestätigung</w:t>
            </w:r>
          </w:p>
        </w:tc>
        <w:tc>
          <w:tcPr>
            <w:tcW w:w="4898" w:type="dxa"/>
          </w:tcPr>
          <w:tcPr/>
          <w:p>
            <w:pPr>
              <w:pStyle w:val="Compact"/>
              <w:jc w:val="left"/>
            </w:pPr>
            <w:r>
              <w:t xml:space="preserve">Diese Auslegung ist</w:t>
            </w:r>
            <w:r>
              <w:t xml:space="preserve"> </w:t>
            </w:r>
            <w:r>
              <w:rPr>
                <w:bCs/>
                <w:b/>
              </w:rPr>
              <w:t xml:space="preserve">nicht</w:t>
            </w:r>
            <w:r>
              <w:t xml:space="preserve"> </w:t>
            </w:r>
            <w:r>
              <w:t xml:space="preserve">anwaltlich bestätigt. Vor Markteinführung oder Inbetriebnahme eines konkreten Systems ist sie zu prüfen und die Prüfung mit Datum und Prüfer zu dokumentieren.</w:t>
            </w:r>
          </w:p>
        </w:tc>
      </w:tr>
    </w:tbl>
    <w:p>
      <w:pPr>
        <w:pStyle w:val="BlockText"/>
      </w:pPr>
      <w:r>
        <w:t xml:space="preserve">Überall dort, wo in den Checklisten und in der Arbeitshilfe</w:t>
      </w:r>
      <w:r>
        <w:t xml:space="preserve"> </w:t>
      </w:r>
      <w:r>
        <w:t xml:space="preserve">“</w:t>
      </w:r>
      <w:r>
        <w:t xml:space="preserve">HR-Frist</w:t>
      </w:r>
      <w:r>
        <w:t xml:space="preserve">”</w:t>
      </w:r>
      <w:r>
        <w:t xml:space="preserve"> </w:t>
      </w:r>
      <w:r>
        <w:t xml:space="preserve">oder ein Hochrisiko-Datum steht, handelt es sich um diese</w:t>
      </w:r>
      <w:r>
        <w:t xml:space="preserve"> </w:t>
      </w:r>
      <w:r>
        <w:rPr>
          <w:bCs/>
          <w:b/>
        </w:rPr>
        <w:t xml:space="preserve">Planungsannahme</w:t>
      </w:r>
      <w:r>
        <w:t xml:space="preserve">, nicht um eine gesicherte gesetzliche Frist.</w:t>
      </w:r>
    </w:p>
    <w:p>
      <w:pPr>
        <w:pStyle w:val="BlockText"/>
      </w:pPr>
      <w:r>
        <w:rPr>
          <w:bCs/>
          <w:b/>
        </w:rPr>
        <w:t xml:space="preserve">Fundstelle:</w:t>
      </w:r>
      <w:r>
        <w:t xml:space="preserve"> </w:t>
      </w:r>
      <w:r>
        <w:t xml:space="preserve">Art. 113 Abs. 3 lit. c KI-VO n. F.:</w:t>
      </w:r>
      <w:r>
        <w:t xml:space="preserve"> </w:t>
      </w:r>
      <w:r>
        <w:t xml:space="preserve">“</w:t>
      </w:r>
      <w:r>
        <w:t xml:space="preserve">Kapitel III Abschnitte 1, 2 und 3, mit Ausnahme von Artikel 6 Absatz 5, gelten ab dem: i) 2. Dezember 2027 … ii) 2. August 2028.</w:t>
      </w:r>
      <w:r>
        <w:t xml:space="preserve">”</w:t>
      </w:r>
      <w:r>
        <w:t xml:space="preserve"> </w:t>
      </w:r>
      <w:r>
        <w:t xml:space="preserve">Gliederung der KI-VO: Kapitel III Abschnitt 5 = Art. 40–49; Kapitel IX = Art. 72 ff.</w:t>
      </w:r>
    </w:p>
    <w:p>
      <w:pPr>
        <w:pStyle w:val="FirstParagraph"/>
      </w:pPr>
      <w:r>
        <w:rPr>
          <w:bCs/>
          <w:b/>
        </w:rPr>
        <w:t xml:space="preserve">Ein wichtiger Punkt zum Bestandsschutz:</w:t>
      </w:r>
      <w:r>
        <w:t xml:space="preserve"> </w:t>
      </w:r>
      <w:r>
        <w:t xml:space="preserve">Hochrisiko-Systeme, die vor dem jeweiligen Geltungsbeginn in Verkehr gebracht wurden, unterliegen der Verordnung nur, wenn sie danach in ihrer Konzeption erheblich verändert werden. Zwei Änderungen des Digital Omnibus sind hier zu beachten:</w:t>
      </w:r>
    </w:p>
    <w:p>
      <w:pPr>
        <w:numPr>
          <w:ilvl w:val="0"/>
          <w:numId w:val="1016"/>
        </w:numPr>
        <w:pStyle w:val="Compact"/>
      </w:pPr>
      <w:r>
        <w:t xml:space="preserve">Der Bestandsschutz gilt jetzt für</w:t>
      </w:r>
      <w:r>
        <w:t xml:space="preserve"> </w:t>
      </w:r>
      <w:r>
        <w:rPr>
          <w:bCs/>
          <w:b/>
        </w:rPr>
        <w:t xml:space="preserve">alle Akteure</w:t>
      </w:r>
      <w:r>
        <w:t xml:space="preserve"> </w:t>
      </w:r>
      <w:r>
        <w:t xml:space="preserve">— also Anbieter, Betreiber, Einführer, Händler, Bevollmächtigte und Produkthersteller —, nicht mehr nur für Betreiber.</w:t>
      </w:r>
    </w:p>
    <w:p>
      <w:pPr>
        <w:numPr>
          <w:ilvl w:val="0"/>
          <w:numId w:val="1016"/>
        </w:numPr>
        <w:pStyle w:val="Compact"/>
      </w:pPr>
      <w:r>
        <w:t xml:space="preserve">Der Stichtag ist dynamisch an den Geltungsbeginn des Kapitels III gekoppelt und verschiebt sich automatisch mit, auf den 02.12.2027 bzw. 02.08.2028.</w:t>
      </w:r>
    </w:p>
    <w:p>
      <w:pPr>
        <w:pStyle w:val="FirstParagraph"/>
      </w:pPr>
      <w:r>
        <w:t xml:space="preserve">Für Systeme, die bestimmungsgemäß von Behörden verwendet werden, gilt unabhängig davon der 02.08.2030.</w:t>
      </w:r>
    </w:p>
    <w:p>
      <w:pPr>
        <w:pStyle w:val="BodyText"/>
      </w:pPr>
      <w:r>
        <w:rPr>
          <w:bCs/>
          <w:b/>
        </w:rPr>
        <w:t xml:space="preserve">Wie der Bestandsschutz praktisch wirkt:</w:t>
      </w:r>
      <w:r>
        <w:t xml:space="preserve"> </w:t>
      </w:r>
      <w:r>
        <w:t xml:space="preserve">Maßgeblich ist</w:t>
      </w:r>
      <w:r>
        <w:t xml:space="preserve"> </w:t>
      </w:r>
      <w:r>
        <w:rPr>
          <w:bCs/>
          <w:b/>
        </w:rPr>
        <w:t xml:space="preserve">Art und Modell</w:t>
      </w:r>
      <w:r>
        <w:t xml:space="preserve"> </w:t>
      </w:r>
      <w:r>
        <w:t xml:space="preserve">des Systems. Wurde vor dem Stichtag bereits eine einzelne Einheit rechtmäßig in Verkehr gebracht oder in Betrieb genommen, gilt die Übergangsregelung für alle weiteren Einheiten derselben Art und desselben Modells — solange die Gestaltung unverändert bleibt. Entscheidend ist das Datum der ersten Einheit. Jede signifikante Änderung der Gestaltung danach löst die vollständige Einhaltung einschließlich Konformitätsbewertung aus.</w:t>
      </w:r>
    </w:p>
    <w:p>
      <w:pPr>
        <w:pStyle w:val="BlockText"/>
      </w:pPr>
      <w:r>
        <w:rPr>
          <w:bCs/>
          <w:b/>
        </w:rPr>
        <w:t xml:space="preserve">Fundstelle:</w:t>
      </w:r>
      <w:r>
        <w:t xml:space="preserve"> </w:t>
      </w:r>
      <w:r>
        <w:t xml:space="preserve">Art. 111 Abs. 2 KI-VO n. F. (geändert durch VO (EU) 2026/1744, Art. 1 Nr. 39 lit. a); Begriff</w:t>
      </w:r>
      <w:r>
        <w:t xml:space="preserve"> </w:t>
      </w:r>
      <w:r>
        <w:t xml:space="preserve">“</w:t>
      </w:r>
      <w:r>
        <w:t xml:space="preserve">Akteur</w:t>
      </w:r>
      <w:r>
        <w:t xml:space="preserve">”</w:t>
      </w:r>
      <w:r>
        <w:t xml:space="preserve">: Art. 3 Nr. 8 KI-VO. Auslegungshilfe zu Art und Modell: Erwägungsgrund 39 der VO (EU) 2026/1744. Begründung der Verschiebung: Erwägungsgrund 40.</w:t>
      </w:r>
    </w:p>
    <w:p>
      <w:pPr>
        <w:pStyle w:val="FirstParagraph"/>
      </w:pPr>
      <w:r>
        <w:rPr>
          <w:bCs/>
          <w:b/>
        </w:rPr>
        <w:t xml:space="preserve">Was nicht kam:</w:t>
      </w:r>
      <w:r>
        <w:t xml:space="preserve"> </w:t>
      </w:r>
      <w:r>
        <w:t xml:space="preserve">Der Kommissionsvorschlag wollte die Fristen an einen Kommissionsbeschluss über die Verfügbarkeit von Normen koppeln — ein</w:t>
      </w:r>
      <w:r>
        <w:t xml:space="preserve"> </w:t>
      </w:r>
      <w:r>
        <w:t xml:space="preserve">“</w:t>
      </w:r>
      <w:r>
        <w:t xml:space="preserve">Stop-the-clock</w:t>
      </w:r>
      <w:r>
        <w:t xml:space="preserve">”</w:t>
      </w:r>
      <w:r>
        <w:t xml:space="preserve">-Mechanismus mit gleitenden Fristen. Der Gesetzgeber hat das</w:t>
      </w:r>
      <w:r>
        <w:t xml:space="preserve"> </w:t>
      </w:r>
      <w:r>
        <w:rPr>
          <w:bCs/>
          <w:b/>
        </w:rPr>
        <w:t xml:space="preserve">nicht übernommen</w:t>
      </w:r>
      <w:r>
        <w:t xml:space="preserve">. Es gelten feste Kalenderdaten; ein automatischer Aufschub findet nicht statt. Für die Planung ist damit vom 2. Dezember 2027 bzw. 2. August 2028 auszugehen — vorbehaltlich weiterer Änderungen des Unionsrechts und der bis zum 2. August 2027 zu erlassenden delegierten Rechtsakte nach Art. 2 Abs. 13 KI-VO n. F.</w:t>
      </w:r>
    </w:p>
    <w:p>
      <w:r>
        <w:pict>
          <v:rect style="width:0;height:1.5pt" o:hralign="center" o:hrstd="t" o:hr="t"/>
        </w:pict>
      </w:r>
    </w:p>
    <w:bookmarkEnd w:id="53"/>
    <w:bookmarkEnd w:id="54"/>
    <w:bookmarkStart w:id="60" w:name="Xda0d7b91b2b793bbb22777c22875428743e78d0"/>
    <w:p>
      <w:pPr>
        <w:pStyle w:val="Heading1"/>
      </w:pPr>
      <w:r>
        <w:t xml:space="preserve">8. KI-Modelle mit allgemeinem Verwendungszweck (GPAI)</w:t>
      </w:r>
    </w:p>
    <w:bookmarkStart w:id="55" w:name="was-ist-gemeint"/>
    <w:p>
      <w:pPr>
        <w:pStyle w:val="Heading2"/>
      </w:pPr>
      <w:r>
        <w:t xml:space="preserve">8.1 Was ist gemeint?</w:t>
      </w:r>
    </w:p>
    <w:p>
      <w:pPr>
        <w:pStyle w:val="FirstParagraph"/>
      </w:pPr>
      <w:r>
        <w:t xml:space="preserve">Gemeint sind große, breit einsetzbare Modelle — etwa große Sprachmodelle. Sie werden nicht für einen einzelnen Zweck gebaut, sondern lassen sich für viele Aufgaben verwenden. Die Verordnung nennt sie</w:t>
      </w:r>
      <w:r>
        <w:t xml:space="preserve"> </w:t>
      </w:r>
      <w:r>
        <w:t xml:space="preserve">“</w:t>
      </w:r>
      <w:r>
        <w:t xml:space="preserve">KI-Modelle mit allgemeinem Verwendungszweck</w:t>
      </w:r>
      <w:r>
        <w:t xml:space="preserve">”</w:t>
      </w:r>
      <w:r>
        <w:t xml:space="preserve">, englisch: General Purpose AI, kurz GPAI.</w:t>
      </w:r>
    </w:p>
    <w:bookmarkEnd w:id="55"/>
    <w:bookmarkStart w:id="56" w:name="wen-treffen-die-pflichten"/>
    <w:p>
      <w:pPr>
        <w:pStyle w:val="Heading2"/>
      </w:pPr>
      <w:r>
        <w:t xml:space="preserve">8.2 Wen treffen die Pflichten?</w:t>
      </w:r>
    </w:p>
    <w:p>
      <w:pPr>
        <w:pStyle w:val="FirstParagraph"/>
      </w:pPr>
      <w:r>
        <w:t xml:space="preserve">Die Pflichten treffen</w:t>
      </w:r>
      <w:r>
        <w:t xml:space="preserve"> </w:t>
      </w:r>
      <w:r>
        <w:rPr>
          <w:bCs/>
          <w:b/>
        </w:rPr>
        <w:t xml:space="preserve">Anbieter der Modelle</w:t>
      </w:r>
      <w:r>
        <w:t xml:space="preserve">, nicht deren Nutzer. Wer ChatGPT, Claude oder ein vergleichbares Werkzeug im Unternehmen einsetzt, ist Betreiber eines KI-Systems — nicht Anbieter eines GPAI-Modells.</w:t>
      </w:r>
    </w:p>
    <w:bookmarkEnd w:id="56"/>
    <w:bookmarkStart w:id="57" w:name="die-pflichten-der-modellanbieter"/>
    <w:p>
      <w:pPr>
        <w:pStyle w:val="Heading2"/>
      </w:pPr>
      <w:r>
        <w:t xml:space="preserve">8.3 Die Pflichten der Modellanbieter</w:t>
      </w:r>
    </w:p>
    <w:p>
      <w:pPr>
        <w:pStyle w:val="FirstParagraph"/>
      </w:pPr>
      <w:r>
        <w:t xml:space="preserve">Alle GPAI-Anbieter müssen:</w:t>
      </w:r>
    </w:p>
    <w:p>
      <w:pPr>
        <w:numPr>
          <w:ilvl w:val="0"/>
          <w:numId w:val="1017"/>
        </w:numPr>
        <w:pStyle w:val="Compact"/>
      </w:pPr>
      <w:r>
        <w:t xml:space="preserve">eine</w:t>
      </w:r>
      <w:r>
        <w:t xml:space="preserve"> </w:t>
      </w:r>
      <w:r>
        <w:rPr>
          <w:bCs/>
          <w:b/>
        </w:rPr>
        <w:t xml:space="preserve">technische Dokumentation</w:t>
      </w:r>
      <w:r>
        <w:t xml:space="preserve"> </w:t>
      </w:r>
      <w:r>
        <w:t xml:space="preserve">des Modells erstellen und aktuell halten, einschließlich Trainings- und Testverfahren und Bewertungsergebnissen (Mindestinhalte: Anhang XI);</w:t>
      </w:r>
    </w:p>
    <w:p>
      <w:pPr>
        <w:numPr>
          <w:ilvl w:val="0"/>
          <w:numId w:val="1017"/>
        </w:numPr>
        <w:pStyle w:val="Compact"/>
      </w:pPr>
      <w:r>
        <w:rPr>
          <w:bCs/>
          <w:b/>
        </w:rPr>
        <w:t xml:space="preserve">Informationen für nachgelagerte Anbieter</w:t>
      </w:r>
      <w:r>
        <w:t xml:space="preserve"> </w:t>
      </w:r>
      <w:r>
        <w:t xml:space="preserve">bereitstellen, die das Modell in ihre Systeme integrieren (Mindestinhalte: Anhang XII);</w:t>
      </w:r>
    </w:p>
    <w:p>
      <w:pPr>
        <w:numPr>
          <w:ilvl w:val="0"/>
          <w:numId w:val="1017"/>
        </w:numPr>
        <w:pStyle w:val="Compact"/>
      </w:pPr>
      <w:r>
        <w:t xml:space="preserve">eine</w:t>
      </w:r>
      <w:r>
        <w:t xml:space="preserve"> </w:t>
      </w:r>
      <w:r>
        <w:rPr>
          <w:bCs/>
          <w:b/>
        </w:rPr>
        <w:t xml:space="preserve">Strategie zur Einhaltung des Urheberrechts</w:t>
      </w:r>
      <w:r>
        <w:t xml:space="preserve"> </w:t>
      </w:r>
      <w:r>
        <w:t xml:space="preserve">auf den Weg bringen, insbesondere zur Ermittlung und Einhaltung eines Rechtsvorbehalts nach Art. 4 Abs. 3 der Richtlinie (EU) 2019/790;</w:t>
      </w:r>
    </w:p>
    <w:p>
      <w:pPr>
        <w:numPr>
          <w:ilvl w:val="0"/>
          <w:numId w:val="1017"/>
        </w:numPr>
        <w:pStyle w:val="Compact"/>
      </w:pPr>
      <w:r>
        <w:t xml:space="preserve">eine</w:t>
      </w:r>
      <w:r>
        <w:t xml:space="preserve"> </w:t>
      </w:r>
      <w:r>
        <w:rPr>
          <w:bCs/>
          <w:b/>
        </w:rPr>
        <w:t xml:space="preserve">hinreichend detaillierte Zusammenfassung der Trainingsinhalte</w:t>
      </w:r>
      <w:r>
        <w:t xml:space="preserve"> </w:t>
      </w:r>
      <w:r>
        <w:t xml:space="preserve">nach einer Vorlage des Büros für Künstliche Intelligenz erstellen und</w:t>
      </w:r>
      <w:r>
        <w:t xml:space="preserve"> </w:t>
      </w:r>
      <w:r>
        <w:rPr>
          <w:bCs/>
          <w:b/>
        </w:rPr>
        <w:t xml:space="preserve">veröffentlichen</w:t>
      </w:r>
      <w:r>
        <w:t xml:space="preserve">.</w:t>
      </w:r>
    </w:p>
    <w:p>
      <w:pPr>
        <w:pStyle w:val="BlockText"/>
      </w:pPr>
      <w:r>
        <w:rPr>
          <w:bCs/>
          <w:b/>
        </w:rPr>
        <w:t xml:space="preserve">Fundstelle:</w:t>
      </w:r>
      <w:r>
        <w:t xml:space="preserve"> </w:t>
      </w:r>
      <w:r>
        <w:t xml:space="preserve">Art. 53 Abs. 1 lit. a–d KI-VO.</w:t>
      </w:r>
    </w:p>
    <w:p>
      <w:pPr>
        <w:pStyle w:val="FirstParagraph"/>
      </w:pPr>
      <w:r>
        <w:rPr>
          <w:bCs/>
          <w:b/>
        </w:rPr>
        <w:t xml:space="preserve">Open-Source-Ausnahme:</w:t>
      </w:r>
      <w:r>
        <w:t xml:space="preserve"> </w:t>
      </w:r>
      <w:r>
        <w:t xml:space="preserve">Die ersten beiden Pflichten entfallen für Modelle unter einer freien und quelloffenen Lizenz, wenn Parameter einschließlich Gewichte, Architekturinformationen und Nutzungsinformationen öffentlich zugänglich sind. Die Urheberrechtsstrategie und die Trainingsdaten-Zusammenfassung gelten</w:t>
      </w:r>
      <w:r>
        <w:t xml:space="preserve"> </w:t>
      </w:r>
      <w:r>
        <w:rPr>
          <w:bCs/>
          <w:b/>
        </w:rPr>
        <w:t xml:space="preserve">auch</w:t>
      </w:r>
      <w:r>
        <w:t xml:space="preserve"> </w:t>
      </w:r>
      <w:r>
        <w:t xml:space="preserve">für Open-Source-Modelle. Die Ausnahme entfällt vollständig bei Modellen mit systemischem Risiko.</w:t>
      </w:r>
    </w:p>
    <w:p>
      <w:pPr>
        <w:pStyle w:val="BlockText"/>
      </w:pPr>
      <w:r>
        <w:rPr>
          <w:bCs/>
          <w:b/>
        </w:rPr>
        <w:t xml:space="preserve">Fundstelle:</w:t>
      </w:r>
      <w:r>
        <w:t xml:space="preserve"> </w:t>
      </w:r>
      <w:r>
        <w:t xml:space="preserve">Art. 53 Abs. 2 KI-VO.</w:t>
      </w:r>
    </w:p>
    <w:bookmarkEnd w:id="57"/>
    <w:bookmarkStart w:id="58" w:name="modelle-mit-systemischem-risiko"/>
    <w:p>
      <w:pPr>
        <w:pStyle w:val="Heading2"/>
      </w:pPr>
      <w:r>
        <w:t xml:space="preserve">8.4 Modelle mit systemischem Risiko</w:t>
      </w:r>
    </w:p>
    <w:p>
      <w:pPr>
        <w:pStyle w:val="FirstParagraph"/>
      </w:pPr>
      <w:r>
        <w:t xml:space="preserve">Ein Modell gilt als Modell mit systemischem Risiko, wenn</w:t>
      </w:r>
      <w:r>
        <w:t xml:space="preserve"> </w:t>
      </w:r>
      <w:r>
        <w:rPr>
          <w:bCs/>
          <w:b/>
        </w:rPr>
        <w:t xml:space="preserve">eine von zwei</w:t>
      </w:r>
      <w:r>
        <w:t xml:space="preserve"> </w:t>
      </w:r>
      <w:r>
        <w:t xml:space="preserve">Bedingungen erfüllt ist:</w:t>
      </w:r>
    </w:p>
    <w:p>
      <w:pPr>
        <w:numPr>
          <w:ilvl w:val="0"/>
          <w:numId w:val="1018"/>
        </w:numPr>
        <w:pStyle w:val="Compact"/>
      </w:pPr>
      <w:r>
        <w:rPr>
          <w:bCs/>
          <w:b/>
        </w:rPr>
        <w:t xml:space="preserve">a)</w:t>
      </w:r>
      <w:r>
        <w:t xml:space="preserve"> </w:t>
      </w:r>
      <w:r>
        <w:t xml:space="preserve">Es verfügt über Fähigkeiten mit hohem Wirkungsgrad. Hier gilt die</w:t>
      </w:r>
      <w:r>
        <w:t xml:space="preserve"> </w:t>
      </w:r>
      <w:r>
        <w:rPr>
          <w:bCs/>
          <w:b/>
        </w:rPr>
        <w:t xml:space="preserve">widerlegbare Vermutung</w:t>
      </w:r>
      <w:r>
        <w:t xml:space="preserve">, dass dies der Fall ist, wenn die kumulierte Trainingsrechenleistung mehr als</w:t>
      </w:r>
      <w:r>
        <w:t xml:space="preserve"> </w:t>
      </w:r>
      <w:r>
        <w:rPr>
          <w:bCs/>
          <w:b/>
        </w:rPr>
        <w:t xml:space="preserve">10²⁵ Gleitkommaoperationen</w:t>
      </w:r>
      <w:r>
        <w:t xml:space="preserve"> </w:t>
      </w:r>
      <w:r>
        <w:t xml:space="preserve">beträgt.</w:t>
      </w:r>
    </w:p>
    <w:p>
      <w:pPr>
        <w:numPr>
          <w:ilvl w:val="0"/>
          <w:numId w:val="1018"/>
        </w:numPr>
        <w:pStyle w:val="Compact"/>
      </w:pPr>
      <w:r>
        <w:rPr>
          <w:bCs/>
          <w:b/>
        </w:rPr>
        <w:t xml:space="preserve">b)</w:t>
      </w:r>
      <w:r>
        <w:t xml:space="preserve"> </w:t>
      </w:r>
      <w:r>
        <w:t xml:space="preserve">Die Kommission stuft es von Amts wegen oder aufgrund einer qualifizierten Warnung des wissenschaftlichen Gremiums anhand der Kriterien des Anhangs XIII als gleichwertig ein.</w:t>
      </w:r>
    </w:p>
    <w:p>
      <w:pPr>
        <w:pStyle w:val="FirstParagraph"/>
      </w:pPr>
      <w:r>
        <w:t xml:space="preserve">Unterhalb der Rechenschwelle ist eine Einstufung also nicht ausgeschlossen.</w:t>
      </w:r>
    </w:p>
    <w:p>
      <w:pPr>
        <w:pStyle w:val="BlockText"/>
      </w:pPr>
      <w:r>
        <w:rPr>
          <w:bCs/>
          <w:b/>
        </w:rPr>
        <w:t xml:space="preserve">Fundstelle:</w:t>
      </w:r>
      <w:r>
        <w:t xml:space="preserve"> </w:t>
      </w:r>
      <w:r>
        <w:t xml:space="preserve">Art. 51 Abs. 1 lit. a und b, Abs. 2 KI-VO. Verfahren, Widerlegung und Ausweisung von Amts wegen: Art. 52 KI-VO, insbesondere Abs. 4.</w:t>
      </w:r>
    </w:p>
    <w:p>
      <w:pPr>
        <w:pStyle w:val="FirstParagraph"/>
      </w:pPr>
      <w:r>
        <w:t xml:space="preserve">Zusätzliche Pflichten: Modellbewertung einschließlich dokumentierter Angriffstests (Red Teaming), Bewertung und Minderung systemischer Risiken auf Unionsebene, Erfassung und Meldung schwerwiegender Vorfälle an das Büro für Künstliche Intelligenz, angemessene Cybersicherheit für Modell und physische Infrastruktur.</w:t>
      </w:r>
    </w:p>
    <w:p>
      <w:pPr>
        <w:pStyle w:val="BlockText"/>
      </w:pPr>
      <w:r>
        <w:rPr>
          <w:bCs/>
          <w:b/>
        </w:rPr>
        <w:t xml:space="preserve">Fundstelle:</w:t>
      </w:r>
      <w:r>
        <w:t xml:space="preserve"> </w:t>
      </w:r>
      <w:r>
        <w:t xml:space="preserve">Art. 55 Abs. 1 lit. a–d KI-VO.</w:t>
      </w:r>
    </w:p>
    <w:bookmarkEnd w:id="58"/>
    <w:bookmarkStart w:id="59" w:name="was-der-digital-omnibus-geändert-hat"/>
    <w:p>
      <w:pPr>
        <w:pStyle w:val="Heading2"/>
      </w:pPr>
      <w:r>
        <w:t xml:space="preserve">8.5 Was der Digital Omnibus geändert hat</w:t>
      </w:r>
    </w:p>
    <w:p>
      <w:pPr>
        <w:pStyle w:val="FirstParagraph"/>
      </w:pPr>
      <w:r>
        <w:t xml:space="preserve">Die materiellen GPAI-Pflichten (Art. 51 bis 55) wurden</w:t>
      </w:r>
      <w:r>
        <w:t xml:space="preserve"> </w:t>
      </w:r>
      <w:r>
        <w:rPr>
          <w:bCs/>
          <w:b/>
        </w:rPr>
        <w:t xml:space="preserve">nicht</w:t>
      </w:r>
      <w:r>
        <w:t xml:space="preserve"> </w:t>
      </w:r>
      <w:r>
        <w:t xml:space="preserve">geändert. Geändert wurden zwei flankierende Punkte:</w:t>
      </w:r>
    </w:p>
    <w:p>
      <w:pPr>
        <w:pStyle w:val="BodyText"/>
      </w:pPr>
      <w:r>
        <w:rPr>
          <w:bCs/>
          <w:b/>
        </w:rPr>
        <w:t xml:space="preserve">Die Genehmigung von Praxisleitfäden per Durchführungsrechtsakt entfällt.</w:t>
      </w:r>
      <w:r>
        <w:t xml:space="preserve"> </w:t>
      </w:r>
      <w:r>
        <w:t xml:space="preserve">Die Kommission bewertet stattdessen und veröffentlicht ihre Bewertung der Angemessenheit. Erwägungsgrund 41 stellt klar, dass Praxisleitfäden nur begrenzte Rechtswirkung haben und insbesondere keine Konformitätsvermutung begründen — das galt allerdings schon vorher.</w:t>
      </w:r>
      <w:r>
        <w:t xml:space="preserve"> </w:t>
      </w:r>
      <w:r>
        <w:rPr>
          <w:bCs/>
          <w:b/>
        </w:rPr>
        <w:t xml:space="preserve">Unverändert</w:t>
      </w:r>
      <w:r>
        <w:t xml:space="preserve"> </w:t>
      </w:r>
      <w:r>
        <w:t xml:space="preserve">bleibt: Anbieter können sich bis zur Veröffentlichung einer harmonisierten Norm auf einen Praxisleitfaden stützen, um die Einhaltung</w:t>
      </w:r>
      <w:r>
        <w:t xml:space="preserve"> </w:t>
      </w:r>
      <w:r>
        <w:rPr>
          <w:bCs/>
          <w:b/>
        </w:rPr>
        <w:t xml:space="preserve">nachzuweisen</w:t>
      </w:r>
      <w:r>
        <w:t xml:space="preserve">. Eine Konformitäts</w:t>
      </w:r>
      <w:r>
        <w:rPr>
          <w:bCs/>
          <w:b/>
        </w:rPr>
        <w:t xml:space="preserve">vermutung</w:t>
      </w:r>
      <w:r>
        <w:t xml:space="preserve"> </w:t>
      </w:r>
      <w:r>
        <w:t xml:space="preserve">entsteht nur über harmonisierte europäische Normen.</w:t>
      </w:r>
    </w:p>
    <w:p>
      <w:pPr>
        <w:pStyle w:val="BlockText"/>
      </w:pPr>
      <w:r>
        <w:rPr>
          <w:bCs/>
          <w:b/>
        </w:rPr>
        <w:t xml:space="preserve">Fundstelle:</w:t>
      </w:r>
      <w:r>
        <w:t xml:space="preserve"> </w:t>
      </w:r>
      <w:r>
        <w:t xml:space="preserve">Art. 56 Abs. 6 KI-VO n. F. (geändert durch VO (EU) 2026/1744, Art. 1 Nr. 21); Erwägungsgrund 41. Nachweismöglichkeit unverändert: Art. 53 Abs. 4, Art. 55 Abs. 2 KI-VO. Konformitätsvermutung: Art. 40 KI-VO.</w:t>
      </w:r>
    </w:p>
    <w:p>
      <w:pPr>
        <w:pStyle w:val="FirstParagraph"/>
      </w:pPr>
      <w:r>
        <w:rPr>
          <w:bCs/>
          <w:b/>
        </w:rPr>
        <w:t xml:space="preserve">Das Büro für Künstliche Intelligenz bekommt scharfe Zähne.</w:t>
      </w:r>
      <w:r>
        <w:t xml:space="preserve"> </w:t>
      </w:r>
      <w:r>
        <w:t xml:space="preserve">Es ist jetzt</w:t>
      </w:r>
      <w:r>
        <w:t xml:space="preserve"> </w:t>
      </w:r>
      <w:r>
        <w:rPr>
          <w:bCs/>
          <w:b/>
        </w:rPr>
        <w:t xml:space="preserve">ausschließlich</w:t>
      </w:r>
      <w:r>
        <w:t xml:space="preserve"> </w:t>
      </w:r>
      <w:r>
        <w:t xml:space="preserve">zuständig für die Aufsicht über KI-Systeme auf Grundlage von GPAI-Modellen, wenn Modell und System vom selben Anbieter oder aus demselben Unternehmen stammen — mit Rückausnahmen für Anhang-I-Produkte, kritische Infrastruktur, Strafverfolgung, Grenzverwaltung, Finanzinstitute und Rechtspflege. Ebenso zuständig ist es für KI-Systeme, die eine sehr große Online-Plattform oder -Suchmaschine bilden oder darin integriert sind.</w:t>
      </w:r>
    </w:p>
    <w:p>
      <w:pPr>
        <w:pStyle w:val="BodyText"/>
      </w:pPr>
      <w:r>
        <w:rPr>
          <w:bCs/>
          <w:b/>
        </w:rPr>
        <w:t xml:space="preserve">Wichtig für Anwenderunternehmen:</w:t>
      </w:r>
      <w:r>
        <w:t xml:space="preserve"> </w:t>
      </w:r>
      <w:r>
        <w:t xml:space="preserve">Diese ausschließliche Zuständigkeit betrifft die</w:t>
      </w:r>
      <w:r>
        <w:t xml:space="preserve"> </w:t>
      </w:r>
      <w:r>
        <w:rPr>
          <w:bCs/>
          <w:b/>
        </w:rPr>
        <w:t xml:space="preserve">Anbieter</w:t>
      </w:r>
      <w:r>
        <w:t xml:space="preserve"> </w:t>
      </w:r>
      <w:r>
        <w:t xml:space="preserve">dieser Systeme. Für</w:t>
      </w:r>
      <w:r>
        <w:t xml:space="preserve"> </w:t>
      </w:r>
      <w:r>
        <w:rPr>
          <w:bCs/>
          <w:b/>
        </w:rPr>
        <w:t xml:space="preserve">Betreiber</w:t>
      </w:r>
      <w:r>
        <w:t xml:space="preserve"> </w:t>
      </w:r>
      <w:r>
        <w:t xml:space="preserve">gilt sie nur, wenn diese zugleich Anbieter sind oder demselben Unternehmen angehören. Für den typischen Anwenderbetrieb bleibt es also bei der Zuständigkeit der nationalen Marktüberwachungsbehörde.</w:t>
      </w:r>
    </w:p>
    <w:p>
      <w:pPr>
        <w:pStyle w:val="BodyText"/>
      </w:pPr>
      <w:r>
        <w:t xml:space="preserve">Neu hinzugekommen ist ein vollständiges Durchsetzungsregime: Auskunftsverlangen, Fern- und Vor-Ort-Inspektionen, bindende Verpflichtungszusagen, Nichteinhaltungsbeschlüsse,</w:t>
      </w:r>
      <w:r>
        <w:t xml:space="preserve"> </w:t>
      </w:r>
      <w:r>
        <w:rPr>
          <w:bCs/>
          <w:b/>
        </w:rPr>
        <w:t xml:space="preserve">Zwangsgelder von bis zu 5 % der durchschnittlichen Tageseinnahmen oder des durchschnittlichen weltweiten Jahresumsatzes im vorangegangenen Geschäftsjahr — jeweils pro Tag</w:t>
      </w:r>
      <w:r>
        <w:t xml:space="preserve"> </w:t>
      </w:r>
      <w:r>
        <w:t xml:space="preserve">der Nichtbefolgung, eine fünfjährige Verjährung, unbeschränkte Nachprüfung durch den Gerichtshof und die Veröffentlichung der Beschlüsse unter Nennung der Unternehmen.</w:t>
      </w:r>
    </w:p>
    <w:p>
      <w:pPr>
        <w:pStyle w:val="BlockText"/>
      </w:pPr>
      <w:r>
        <w:rPr>
          <w:bCs/>
          <w:b/>
        </w:rPr>
        <w:t xml:space="preserve">Fundstelle:</w:t>
      </w:r>
      <w:r>
        <w:t xml:space="preserve"> </w:t>
      </w:r>
      <w:r>
        <w:t xml:space="preserve">Art. 75 Abs. 1 UAbs. 1 und 2 sowie Abs. 1a–1e KI-VO n. F.; Zwangsgeld: Art. 75c Abs. 5 UAbs. 2 KI-VO n. F. Neu eingefügt durch VO (EU) 2026/1744, Art. 1 Nrn. 31 und 32.</w:t>
      </w:r>
    </w:p>
    <w:p>
      <w:r>
        <w:pict>
          <v:rect style="width:0;height:1.5pt" o:hralign="center" o:hrstd="t" o:hr="t"/>
        </w:pict>
      </w:r>
    </w:p>
    <w:bookmarkEnd w:id="59"/>
    <w:bookmarkEnd w:id="60"/>
    <w:bookmarkStart w:id="64" w:name="X991ea083e5b501ac499000d59a6b428eed35441"/>
    <w:p>
      <w:pPr>
        <w:pStyle w:val="Heading1"/>
      </w:pPr>
      <w:r>
        <w:t xml:space="preserve">9. Transparenzpflichten: Wer muss was kennzeichnen?</w:t>
      </w:r>
    </w:p>
    <w:p>
      <w:pPr>
        <w:pStyle w:val="FirstParagraph"/>
      </w:pPr>
      <w:r>
        <w:t xml:space="preserve">Diese Pflichten gelten ab dem</w:t>
      </w:r>
      <w:r>
        <w:t xml:space="preserve"> </w:t>
      </w:r>
      <w:r>
        <w:rPr>
          <w:bCs/>
          <w:b/>
        </w:rPr>
        <w:t xml:space="preserve">2. August 2026</w:t>
      </w:r>
      <w:r>
        <w:t xml:space="preserve"> </w:t>
      </w:r>
      <w:r>
        <w:t xml:space="preserve">— unabhängig von der Risikoklasse. Auch ein völlig harmloses generatives System fällt darunter.</w:t>
      </w:r>
    </w:p>
    <w:bookmarkStart w:id="61" w:name="pflichten-der-anbieter"/>
    <w:p>
      <w:pPr>
        <w:pStyle w:val="Heading2"/>
      </w:pPr>
      <w:r>
        <w:t xml:space="preserve">9.1 Pflichten der Anbieter</w:t>
      </w:r>
    </w:p>
    <w:p>
      <w:pPr>
        <w:pStyle w:val="BlockText"/>
      </w:pPr>
      <w:r>
        <w:rPr>
          <w:bCs/>
          <w:b/>
        </w:rPr>
        <w:t xml:space="preserve">Hinweis zu allen Absätzen des Art. 50:</w:t>
      </w:r>
      <w:r>
        <w:t xml:space="preserve"> </w:t>
      </w:r>
      <w:r>
        <w:t xml:space="preserve">Jeder der Absätze 1 bis 4 enthält eine Rückausnahme für KI-Systeme, die gesetzlich zur Aufdeckung, Verhütung, Ermittlung oder Verfolgung von Straftaten zugelassen sind — vorbehaltlich angemessener Schutzvorkehrungen für die Rechte Dritter.</w:t>
      </w:r>
    </w:p>
    <w:p>
      <w:pPr>
        <w:pStyle w:val="FirstParagraph"/>
      </w:pPr>
      <w:r>
        <w:rPr>
          <w:bCs/>
          <w:b/>
        </w:rPr>
        <w:t xml:space="preserve">Interaktion mit Menschen offenlegen.</w:t>
      </w:r>
      <w:r>
        <w:t xml:space="preserve"> </w:t>
      </w:r>
      <w:r>
        <w:t xml:space="preserve">Wer ein KI-System anbietet, das direkt mit Menschen interagiert, muss es so gestalten, dass die Menschen erkennen, dass sie es mit einer KI zu tun haben. Ausnahme: wenn das für eine angemessen informierte, aufmerksame und verständige Person ohnehin offensichtlich ist.</w:t>
      </w:r>
    </w:p>
    <w:p>
      <w:pPr>
        <w:pStyle w:val="BlockText"/>
      </w:pPr>
      <w:r>
        <w:rPr>
          <w:bCs/>
          <w:b/>
        </w:rPr>
        <w:t xml:space="preserve">Fundstelle:</w:t>
      </w:r>
      <w:r>
        <w:t xml:space="preserve"> </w:t>
      </w:r>
      <w:r>
        <w:t xml:space="preserve">Art. 50 Abs. 1 KI-VO.</w:t>
      </w:r>
    </w:p>
    <w:p>
      <w:pPr>
        <w:pStyle w:val="FirstParagraph"/>
      </w:pPr>
      <w:r>
        <w:rPr>
          <w:bCs/>
          <w:b/>
        </w:rPr>
        <w:t xml:space="preserve">Synthetische Inhalte maschinenlesbar kennzeichnen.</w:t>
      </w:r>
      <w:r>
        <w:t xml:space="preserve"> </w:t>
      </w:r>
      <w:r>
        <w:t xml:space="preserve">Wer ein System anbietet, das synthetische Audio-, Bild-, Video- oder Textinhalte erzeugt, muss die Ausgaben in einem maschinenlesbaren Format kennzeichnen und als künstlich erzeugt oder manipuliert erkennbar machen. Die Lösungen müssen —</w:t>
      </w:r>
      <w:r>
        <w:t xml:space="preserve"> </w:t>
      </w:r>
      <w:r>
        <w:rPr>
          <w:bCs/>
          <w:b/>
        </w:rPr>
        <w:t xml:space="preserve">soweit technisch möglich</w:t>
      </w:r>
      <w:r>
        <w:t xml:space="preserve"> </w:t>
      </w:r>
      <w:r>
        <w:t xml:space="preserve">— wirksam, interoperabel, belastbar und zuverlässig sein; dabei sind die Besonderheiten der Inhaltsarten, die Umsetzungskosten und der allgemein anerkannte Stand der Technik zu berücksichtigen.</w:t>
      </w:r>
    </w:p>
    <w:p>
      <w:pPr>
        <w:pStyle w:val="BodyText"/>
      </w:pPr>
      <w:r>
        <w:t xml:space="preserve">Ausgenommen sind Systeme, die nur eine unterstützende Funktion für die Standardbearbeitung ausüben oder die Eingabedaten bzw. deren Semantik nicht wesentlich verändern.</w:t>
      </w:r>
    </w:p>
    <w:p>
      <w:pPr>
        <w:pStyle w:val="BlockText"/>
      </w:pPr>
      <w:r>
        <w:rPr>
          <w:bCs/>
          <w:b/>
        </w:rPr>
        <w:t xml:space="preserve">Fundstelle:</w:t>
      </w:r>
      <w:r>
        <w:t xml:space="preserve"> </w:t>
      </w:r>
      <w:r>
        <w:t xml:space="preserve">Art. 50 Abs. 2 KI-VO.</w:t>
      </w:r>
    </w:p>
    <w:p>
      <w:pPr>
        <w:pStyle w:val="FirstParagraph"/>
      </w:pPr>
      <w:r>
        <w:rPr>
          <w:bCs/>
          <w:b/>
        </w:rPr>
        <w:t xml:space="preserve">Übergangsfrist für Bestandssysteme.</w:t>
      </w:r>
      <w:r>
        <w:t xml:space="preserve"> </w:t>
      </w:r>
      <w:r>
        <w:t xml:space="preserve">Anbieter generativer Systeme, die</w:t>
      </w:r>
      <w:r>
        <w:t xml:space="preserve"> </w:t>
      </w:r>
      <w:r>
        <w:rPr>
          <w:bCs/>
          <w:b/>
        </w:rPr>
        <w:t xml:space="preserve">vor dem 2. August 2026</w:t>
      </w:r>
      <w:r>
        <w:t xml:space="preserve"> </w:t>
      </w:r>
      <w:r>
        <w:t xml:space="preserve">in Verkehr gebracht wurden, haben bis zum</w:t>
      </w:r>
      <w:r>
        <w:t xml:space="preserve"> </w:t>
      </w:r>
      <w:r>
        <w:rPr>
          <w:bCs/>
          <w:b/>
        </w:rPr>
        <w:t xml:space="preserve">2. Dezember 2026</w:t>
      </w:r>
      <w:r>
        <w:t xml:space="preserve"> </w:t>
      </w:r>
      <w:r>
        <w:t xml:space="preserve">Zeit, die maschinenlesbare Kennzeichnung nachzurüsten.</w:t>
      </w:r>
    </w:p>
    <w:p>
      <w:pPr>
        <w:pStyle w:val="BodyText"/>
      </w:pPr>
      <w:r>
        <w:t xml:space="preserve">Zwei Einschränkungen, die leicht übersehen werden: Die Frist gilt</w:t>
      </w:r>
      <w:r>
        <w:t xml:space="preserve"> </w:t>
      </w:r>
      <w:r>
        <w:rPr>
          <w:bCs/>
          <w:b/>
        </w:rPr>
        <w:t xml:space="preserve">nur für Art. 50 Abs. 2</w:t>
      </w:r>
      <w:r>
        <w:t xml:space="preserve"> </w:t>
      </w:r>
      <w:r>
        <w:t xml:space="preserve">— nicht für die Absätze 1, 3 und 4. Und sie gilt nur für Systeme, die vor dem 2. August 2026 in Verkehr gebracht wurden.</w:t>
      </w:r>
    </w:p>
    <w:p>
      <w:pPr>
        <w:pStyle w:val="BlockText"/>
      </w:pPr>
      <w:r>
        <w:rPr>
          <w:bCs/>
          <w:b/>
        </w:rPr>
        <w:t xml:space="preserve">Fundstelle:</w:t>
      </w:r>
      <w:r>
        <w:t xml:space="preserve"> </w:t>
      </w:r>
      <w:r>
        <w:t xml:space="preserve">Art. 111 Abs. 4 KI-VO (neu eingefügt durch VO (EU) 2026/1744, Art. 1 Nr. 39 lit. b). Der Kommissionsvorschlag sah sechs Monate vor (bis 02.02.2027); der Gesetzgeber hat auf vier Monate verkürzt.</w:t>
      </w:r>
    </w:p>
    <w:bookmarkEnd w:id="61"/>
    <w:bookmarkStart w:id="62" w:name="pflichten-der-betreiber"/>
    <w:p>
      <w:pPr>
        <w:pStyle w:val="Heading2"/>
      </w:pPr>
      <w:r>
        <w:t xml:space="preserve">9.2 Pflichten der Betreiber</w:t>
      </w:r>
    </w:p>
    <w:p>
      <w:pPr>
        <w:pStyle w:val="FirstParagraph"/>
      </w:pPr>
      <w:r>
        <w:rPr>
          <w:bCs/>
          <w:b/>
        </w:rPr>
        <w:t xml:space="preserve">Emotionserkennung und biometrische Kategorisierung.</w:t>
      </w:r>
      <w:r>
        <w:t xml:space="preserve"> </w:t>
      </w:r>
      <w:r>
        <w:t xml:space="preserve">Wer solche Systeme einsetzt, muss die betroffenen Personen über den Betrieb informieren und die Daten nach den Datenschutzvorschriften verarbeiten.</w:t>
      </w:r>
    </w:p>
    <w:p>
      <w:pPr>
        <w:pStyle w:val="BlockText"/>
      </w:pPr>
      <w:r>
        <w:rPr>
          <w:bCs/>
          <w:b/>
        </w:rPr>
        <w:t xml:space="preserve">Fundstelle:</w:t>
      </w:r>
      <w:r>
        <w:t xml:space="preserve"> </w:t>
      </w:r>
      <w:r>
        <w:t xml:space="preserve">Art. 50 Abs. 3 KI-VO.</w:t>
      </w:r>
    </w:p>
    <w:p>
      <w:pPr>
        <w:pStyle w:val="FirstParagraph"/>
      </w:pPr>
      <w:r>
        <w:rPr>
          <w:bCs/>
          <w:b/>
        </w:rPr>
        <w:t xml:space="preserve">Deepfakes offenlegen.</w:t>
      </w:r>
      <w:r>
        <w:t xml:space="preserve"> </w:t>
      </w:r>
      <w:r>
        <w:t xml:space="preserve">Wer ein System einsetzt, das Bild-, Ton- oder Videoinhalte erzeugt oder manipuliert, die ein Deepfake sind, muss offenlegen, dass die Inhalte künstlich erzeugt oder manipuliert wurden.</w:t>
      </w:r>
    </w:p>
    <w:p>
      <w:pPr>
        <w:pStyle w:val="BodyText"/>
      </w:pPr>
      <w:r>
        <w:t xml:space="preserve">Bei künstlerischen, kreativen, satirischen oder fiktionalen Werken beschränkt sich die Pflicht auf eine geeignete Offenlegung, die den Genuss des Werks nicht beeinträchtigt.</w:t>
      </w:r>
    </w:p>
    <w:p>
      <w:pPr>
        <w:pStyle w:val="BlockText"/>
      </w:pPr>
      <w:r>
        <w:rPr>
          <w:bCs/>
          <w:b/>
        </w:rPr>
        <w:t xml:space="preserve">Fundstelle:</w:t>
      </w:r>
      <w:r>
        <w:t xml:space="preserve"> </w:t>
      </w:r>
      <w:r>
        <w:t xml:space="preserve">Art. 50 Abs. 4 UAbs. 1 KI-VO.</w:t>
      </w:r>
    </w:p>
    <w:p>
      <w:pPr>
        <w:pStyle w:val="FirstParagraph"/>
      </w:pPr>
      <w:r>
        <w:rPr>
          <w:bCs/>
          <w:b/>
        </w:rPr>
        <w:t xml:space="preserve">KI-generierte Texte zu öffentlichen Angelegenheiten.</w:t>
      </w:r>
      <w:r>
        <w:t xml:space="preserve"> </w:t>
      </w:r>
      <w:r>
        <w:t xml:space="preserve">Wer KI-erzeugte oder -manipulierte Texte veröffentlicht, um die Öffentlichkeit über Angelegenheiten von öffentlichem Interesse zu informieren, muss dies offenlegen.</w:t>
      </w:r>
    </w:p>
    <w:p>
      <w:pPr>
        <w:pStyle w:val="BodyText"/>
      </w:pPr>
      <w:r>
        <w:t xml:space="preserve">Ausnahme: wenn der Inhalt einer menschlichen Überprüfung oder redaktionellen Kontrolle unterzogen wurde</w:t>
      </w:r>
      <w:r>
        <w:t xml:space="preserve"> </w:t>
      </w:r>
      <w:r>
        <w:rPr>
          <w:bCs/>
          <w:b/>
        </w:rPr>
        <w:t xml:space="preserve">und</w:t>
      </w:r>
      <w:r>
        <w:t xml:space="preserve"> </w:t>
      </w:r>
      <w:r>
        <w:t xml:space="preserve">eine natürliche oder juristische Person die redaktionelle Verantwortung trägt.</w:t>
      </w:r>
    </w:p>
    <w:p>
      <w:pPr>
        <w:pStyle w:val="BlockText"/>
      </w:pPr>
      <w:r>
        <w:rPr>
          <w:bCs/>
          <w:b/>
        </w:rPr>
        <w:t xml:space="preserve">Fundstelle:</w:t>
      </w:r>
      <w:r>
        <w:t xml:space="preserve"> </w:t>
      </w:r>
      <w:r>
        <w:t xml:space="preserve">Art. 50 Abs. 4 UAbs. 2 KI-VO.</w:t>
      </w:r>
    </w:p>
    <w:bookmarkEnd w:id="62"/>
    <w:bookmarkStart w:id="63" w:name="form-und-zeitpunkt"/>
    <w:p>
      <w:pPr>
        <w:pStyle w:val="Heading2"/>
      </w:pPr>
      <w:r>
        <w:t xml:space="preserve">9.3 Form und Zeitpunkt</w:t>
      </w:r>
    </w:p>
    <w:p>
      <w:pPr>
        <w:pStyle w:val="FirstParagraph"/>
      </w:pPr>
      <w:r>
        <w:t xml:space="preserve">Die Informationen müssen</w:t>
      </w:r>
      <w:r>
        <w:t xml:space="preserve"> </w:t>
      </w:r>
      <w:r>
        <w:rPr>
          <w:bCs/>
          <w:b/>
        </w:rPr>
        <w:t xml:space="preserve">spätestens zum Zeitpunkt der ersten Interaktion</w:t>
      </w:r>
      <w:r>
        <w:t xml:space="preserve"> </w:t>
      </w:r>
      <w:r>
        <w:t xml:space="preserve">klar und eindeutig bereitgestellt werden und den geltenden Barrierefreiheitsanforderungen entsprechen.</w:t>
      </w:r>
    </w:p>
    <w:p>
      <w:pPr>
        <w:pStyle w:val="BlockText"/>
      </w:pPr>
      <w:r>
        <w:rPr>
          <w:bCs/>
          <w:b/>
        </w:rPr>
        <w:t xml:space="preserve">Fundstelle:</w:t>
      </w:r>
      <w:r>
        <w:t xml:space="preserve"> </w:t>
      </w:r>
      <w:r>
        <w:t xml:space="preserve">Art. 50 Abs. 5 KI-VO.</w:t>
      </w:r>
    </w:p>
    <w:p>
      <w:pPr>
        <w:pStyle w:val="FirstParagraph"/>
      </w:pPr>
      <w:r>
        <w:rPr>
          <w:bCs/>
          <w:b/>
        </w:rPr>
        <w:t xml:space="preserve">Neu seit Juli 2026:</w:t>
      </w:r>
      <w:r>
        <w:t xml:space="preserve"> </w:t>
      </w:r>
      <w:r>
        <w:t xml:space="preserve">Die</w:t>
      </w:r>
      <w:r>
        <w:t xml:space="preserve"> </w:t>
      </w:r>
      <w:r>
        <w:rPr>
          <w:bCs/>
          <w:b/>
        </w:rPr>
        <w:t xml:space="preserve">Kommission</w:t>
      </w:r>
      <w:r>
        <w:t xml:space="preserve"> </w:t>
      </w:r>
      <w:r>
        <w:t xml:space="preserve">(bisher: das Büro für Künstliche Intelligenz) fördert Praxisleitfäden zur Feststellung, Markierung und Kennzeichnung künstlich erzeugter Inhalte. Sie prüft, ob deren Befolgung geeignet ist, die Pflichten aus</w:t>
      </w:r>
      <w:r>
        <w:t xml:space="preserve"> </w:t>
      </w:r>
      <w:r>
        <w:rPr>
          <w:bCs/>
          <w:b/>
        </w:rPr>
        <w:t xml:space="preserve">Art. 50 Abs. 2 und 4</w:t>
      </w:r>
      <w:r>
        <w:t xml:space="preserve"> </w:t>
      </w:r>
      <w:r>
        <w:t xml:space="preserve">zu erfüllen — die Prüfung erstreckt sich damit jetzt auch auf die Deepfake- und Text-Offenlegungspflichten der Betreiber. Hält die Kommission einen Leitfaden für unangemessen, kann sie per Durchführungsrechtsakt</w:t>
      </w:r>
      <w:r>
        <w:t xml:space="preserve"> </w:t>
      </w:r>
      <w:r>
        <w:rPr>
          <w:bCs/>
          <w:b/>
        </w:rPr>
        <w:t xml:space="preserve">gemeinsame Vorschriften</w:t>
      </w:r>
      <w:r>
        <w:t xml:space="preserve"> </w:t>
      </w:r>
      <w:r>
        <w:t xml:space="preserve">für die Umsetzung erlassen. Daraus können verbindliche Kennzeichnungsvorgaben folgen.</w:t>
      </w:r>
    </w:p>
    <w:p>
      <w:pPr>
        <w:pStyle w:val="BlockText"/>
      </w:pPr>
      <w:r>
        <w:rPr>
          <w:bCs/>
          <w:b/>
        </w:rPr>
        <w:t xml:space="preserve">Fundstelle:</w:t>
      </w:r>
      <w:r>
        <w:t xml:space="preserve"> </w:t>
      </w:r>
      <w:r>
        <w:t xml:space="preserve">Art. 50 Abs. 7 KI-VO n. F. (neu gefasst durch VO (EU) 2026/1744, Art. 1 Nr. 20).</w:t>
      </w:r>
    </w:p>
    <w:p>
      <w:pPr>
        <w:pStyle w:val="FirstParagraph"/>
      </w:pPr>
      <w:r>
        <w:t xml:space="preserve">Verstöße gegen Art. 50 können mit bis zu 15 Millionen Euro oder 3 % des weltweiten Jahresumsatzes geahndet werden.</w:t>
      </w:r>
    </w:p>
    <w:p>
      <w:pPr>
        <w:pStyle w:val="BlockText"/>
      </w:pPr>
      <w:r>
        <w:rPr>
          <w:bCs/>
          <w:b/>
        </w:rPr>
        <w:t xml:space="preserve">Fundstelle:</w:t>
      </w:r>
      <w:r>
        <w:t xml:space="preserve"> </w:t>
      </w:r>
      <w:r>
        <w:t xml:space="preserve">Art. 99 Abs. 4 lit. g KI-VO.</w:t>
      </w:r>
    </w:p>
    <w:p>
      <w:r>
        <w:pict>
          <v:rect style="width:0;height:1.5pt" o:hralign="center" o:hrstd="t" o:hr="t"/>
        </w:pict>
      </w:r>
    </w:p>
    <w:bookmarkEnd w:id="63"/>
    <w:bookmarkEnd w:id="64"/>
    <w:bookmarkStart w:id="65" w:name="häufige-irrtümer"/>
    <w:p>
      <w:pPr>
        <w:pStyle w:val="Heading1"/>
      </w:pPr>
      <w:r>
        <w:t xml:space="preserve">10. Häufige Irrtümer</w:t>
      </w:r>
    </w:p>
    <w:p>
      <w:pPr>
        <w:pStyle w:val="FirstParagraph"/>
      </w:pPr>
      <w:r>
        <w:rPr>
          <w:bCs/>
          <w:b/>
        </w:rPr>
        <w:t xml:space="preserve">“</w:t>
      </w:r>
      <w:r>
        <w:rPr>
          <w:bCs/>
          <w:b/>
        </w:rPr>
        <w:t xml:space="preserve">Die Hochrisiko-Pflichten wurden verschoben, also müssen wir bis Ende 2027 nichts tun.</w:t>
      </w:r>
      <w:r>
        <w:rPr>
          <w:bCs/>
          <w:b/>
        </w:rPr>
        <w:t xml:space="preserve">”</w:t>
      </w:r>
      <w:r>
        <w:t xml:space="preserve"> </w:t>
      </w:r>
      <w:r>
        <w:t xml:space="preserve">Falsch. Verbote, KI-Kompetenz, Transparenzpflichten und GPAI-Pflichten sind davon nicht betroffen. Ab dem 2. August 2026 gelten die Transparenzpflichten; ab dem 2. Dezember 2026 zwei neue Verbote. Außerdem: Wer erst 2027 mit dem Aufbau eines Risikomanagementsystems beginnt, wird die Frist kaum halten.</w:t>
      </w:r>
    </w:p>
    <w:p>
      <w:pPr>
        <w:pStyle w:val="BodyText"/>
      </w:pPr>
      <w:r>
        <w:rPr>
          <w:bCs/>
          <w:b/>
        </w:rPr>
        <w:t xml:space="preserve">“</w:t>
      </w:r>
      <w:r>
        <w:rPr>
          <w:bCs/>
          <w:b/>
        </w:rPr>
        <w:t xml:space="preserve">Der EU AI Act gilt nur für Unternehmen mit Sitz in der EU.</w:t>
      </w:r>
      <w:r>
        <w:rPr>
          <w:bCs/>
          <w:b/>
        </w:rPr>
        <w:t xml:space="preserve">”</w:t>
      </w:r>
      <w:r>
        <w:t xml:space="preserve"> </w:t>
      </w:r>
      <w:r>
        <w:t xml:space="preserve">Falsch. Er gilt auch für Anbieter und Betreiber aus Drittstaaten, wenn die vom KI-System hervorgebrachte Ausgabe in der Union verwendet wird.</w:t>
      </w:r>
      <w:r>
        <w:t xml:space="preserve"> </w:t>
      </w:r>
      <w:r>
        <w:t xml:space="preserve">&gt;</w:t>
      </w:r>
      <w:r>
        <w:t xml:space="preserve"> </w:t>
      </w:r>
      <w:r>
        <w:rPr>
          <w:bCs/>
          <w:b/>
        </w:rPr>
        <w:t xml:space="preserve">Fundstelle:</w:t>
      </w:r>
      <w:r>
        <w:t xml:space="preserve"> </w:t>
      </w:r>
      <w:r>
        <w:t xml:space="preserve">Art. 2 Abs. 1 lit. c KI-VO.</w:t>
      </w:r>
    </w:p>
    <w:p>
      <w:pPr>
        <w:pStyle w:val="BodyText"/>
      </w:pPr>
      <w:r>
        <w:rPr>
          <w:bCs/>
          <w:b/>
        </w:rPr>
        <w:t xml:space="preserve">“</w:t>
      </w:r>
      <w:r>
        <w:rPr>
          <w:bCs/>
          <w:b/>
        </w:rPr>
        <w:t xml:space="preserve">Wir kaufen KI nur ein, also sind wir nicht betroffen.</w:t>
      </w:r>
      <w:r>
        <w:rPr>
          <w:bCs/>
          <w:b/>
        </w:rPr>
        <w:t xml:space="preserve">”</w:t>
      </w:r>
      <w:r>
        <w:t xml:space="preserve"> </w:t>
      </w:r>
      <w:r>
        <w:t xml:space="preserve">Falsch. Betreiber haben eigene Pflichten. Und wer die Zweckbestimmung eines eingekauften Systems ändert, kann selbst zum Anbieter werden.</w:t>
      </w:r>
      <w:r>
        <w:t xml:space="preserve"> </w:t>
      </w:r>
      <w:r>
        <w:t xml:space="preserve">&gt;</w:t>
      </w:r>
      <w:r>
        <w:t xml:space="preserve"> </w:t>
      </w:r>
      <w:r>
        <w:rPr>
          <w:bCs/>
          <w:b/>
        </w:rPr>
        <w:t xml:space="preserve">Fundstelle:</w:t>
      </w:r>
      <w:r>
        <w:t xml:space="preserve"> </w:t>
      </w:r>
      <w:r>
        <w:t xml:space="preserve">Art. 26, Art. 25 Abs. 1 lit. c KI-VO.</w:t>
      </w:r>
    </w:p>
    <w:p>
      <w:pPr>
        <w:pStyle w:val="BodyText"/>
      </w:pPr>
      <w:r>
        <w:rPr>
          <w:bCs/>
          <w:b/>
        </w:rPr>
        <w:t xml:space="preserve">“</w:t>
      </w:r>
      <w:r>
        <w:rPr>
          <w:bCs/>
          <w:b/>
        </w:rPr>
        <w:t xml:space="preserve">Die KI-Kompetenz-Pflicht wurde abgeschafft.</w:t>
      </w:r>
      <w:r>
        <w:rPr>
          <w:bCs/>
          <w:b/>
        </w:rPr>
        <w:t xml:space="preserve">”</w:t>
      </w:r>
      <w:r>
        <w:t xml:space="preserve"> </w:t>
      </w:r>
      <w:r>
        <w:t xml:space="preserve">Falsch. Sie wurde abgeschwächt, nicht gestrichen. Der Vorschlag zur Streichung wurde vom Gesetzgeber nicht übernommen. Art. 4 adressiert weiterhin Anbieter und Betreiber.</w:t>
      </w:r>
      <w:r>
        <w:t xml:space="preserve"> </w:t>
      </w:r>
      <w:r>
        <w:t xml:space="preserve">&gt;</w:t>
      </w:r>
      <w:r>
        <w:t xml:space="preserve"> </w:t>
      </w:r>
      <w:r>
        <w:rPr>
          <w:bCs/>
          <w:b/>
        </w:rPr>
        <w:t xml:space="preserve">Fundstelle:</w:t>
      </w:r>
      <w:r>
        <w:t xml:space="preserve"> </w:t>
      </w:r>
      <w:r>
        <w:t xml:space="preserve">Art. 4 Abs. 1 KI-VO n. F.</w:t>
      </w:r>
    </w:p>
    <w:p>
      <w:pPr>
        <w:pStyle w:val="BodyText"/>
      </w:pPr>
      <w:r>
        <w:rPr>
          <w:bCs/>
          <w:b/>
        </w:rPr>
        <w:t xml:space="preserve">“</w:t>
      </w:r>
      <w:r>
        <w:rPr>
          <w:bCs/>
          <w:b/>
        </w:rPr>
        <w:t xml:space="preserve">Wir haben eine Datenschutz-Folgenabschätzung, damit ist die Grundrechte-Folgenabschätzung erledigt.</w:t>
      </w:r>
      <w:r>
        <w:rPr>
          <w:bCs/>
          <w:b/>
        </w:rPr>
        <w:t xml:space="preserve">”</w:t>
      </w:r>
      <w:r>
        <w:t xml:space="preserve"> </w:t>
      </w:r>
      <w:r>
        <w:t xml:space="preserve">Falsch. Die beiden Instrumente stehen nebeneinander. Seit Juli 2026 dürfen Sie in der Grundrechte-Folgenabschätzung auf Abschnitte der DSFA verweisen oder Teile übernehmen — aber die eigenständige Prüfung entfällt nicht.</w:t>
      </w:r>
      <w:r>
        <w:t xml:space="preserve"> </w:t>
      </w:r>
      <w:r>
        <w:t xml:space="preserve">&gt;</w:t>
      </w:r>
      <w:r>
        <w:t xml:space="preserve"> </w:t>
      </w:r>
      <w:r>
        <w:rPr>
          <w:bCs/>
          <w:b/>
        </w:rPr>
        <w:t xml:space="preserve">Fundstelle:</w:t>
      </w:r>
      <w:r>
        <w:t xml:space="preserve"> </w:t>
      </w:r>
      <w:r>
        <w:t xml:space="preserve">Art. 27 Abs. 4 KI-VO n. F.</w:t>
      </w:r>
    </w:p>
    <w:p>
      <w:pPr>
        <w:pStyle w:val="BodyText"/>
      </w:pPr>
      <w:r>
        <w:rPr>
          <w:bCs/>
          <w:b/>
        </w:rPr>
        <w:t xml:space="preserve">“</w:t>
      </w:r>
      <w:r>
        <w:rPr>
          <w:bCs/>
          <w:b/>
        </w:rPr>
        <w:t xml:space="preserve">Systeme, die wir nach Art. 6 Abs. 3 selbst als nicht hochriskant einstufen, müssen wir nicht registrieren.</w:t>
      </w:r>
      <w:r>
        <w:rPr>
          <w:bCs/>
          <w:b/>
        </w:rPr>
        <w:t xml:space="preserve">”</w:t>
      </w:r>
      <w:r>
        <w:t xml:space="preserve"> </w:t>
      </w:r>
      <w:r>
        <w:t xml:space="preserve">Falsch. Die Registrierungspflicht nach Art. 49 Abs. 2 besteht fort. Der Vorschlag, sie zu streichen, wurde nicht übernommen. Gestrichen wurden lediglich zwei Angaben im Registrierungsformular.</w:t>
      </w:r>
      <w:r>
        <w:t xml:space="preserve"> </w:t>
      </w:r>
      <w:r>
        <w:t xml:space="preserve">&gt;</w:t>
      </w:r>
      <w:r>
        <w:t xml:space="preserve"> </w:t>
      </w:r>
      <w:r>
        <w:rPr>
          <w:bCs/>
          <w:b/>
        </w:rPr>
        <w:t xml:space="preserve">Fundstelle:</w:t>
      </w:r>
      <w:r>
        <w:t xml:space="preserve"> </w:t>
      </w:r>
      <w:r>
        <w:t xml:space="preserve">Art. 6 Abs. 4, Art. 49 Abs. 2 KI-VO (unverändert); Anhang VIII Abschnitt B Nrn. 7 und 9 gestrichen.</w:t>
      </w:r>
    </w:p>
    <w:p>
      <w:pPr>
        <w:pStyle w:val="BodyText"/>
      </w:pPr>
      <w:r>
        <w:rPr>
          <w:bCs/>
          <w:b/>
        </w:rPr>
        <w:t xml:space="preserve">“</w:t>
      </w:r>
      <w:r>
        <w:rPr>
          <w:bCs/>
          <w:b/>
        </w:rPr>
        <w:t xml:space="preserve">Für unser KMU sind die Bußgelder gedeckelt, wir haben also wenig Risiko.</w:t>
      </w:r>
      <w:r>
        <w:rPr>
          <w:bCs/>
          <w:b/>
        </w:rPr>
        <w:t xml:space="preserve">”</w:t>
      </w:r>
      <w:r>
        <w:t xml:space="preserve"> </w:t>
      </w:r>
      <w:r>
        <w:t xml:space="preserve">Nur teilweise richtig. Für KMU gilt bei allen drei Bußgeldstufen der niedrigere Betrag. Für kleine Midcap-Unternehmen gilt die Deckelung jedoch</w:t>
      </w:r>
      <w:r>
        <w:t xml:space="preserve"> </w:t>
      </w:r>
      <w:r>
        <w:rPr>
          <w:bCs/>
          <w:b/>
        </w:rPr>
        <w:t xml:space="preserve">nicht</w:t>
      </w:r>
      <w:r>
        <w:t xml:space="preserve"> </w:t>
      </w:r>
      <w:r>
        <w:t xml:space="preserve">bei Verstößen gegen Art. 5 — dort bleibt es bei 35 Mio. EUR</w:t>
      </w:r>
      <w:r>
        <w:t xml:space="preserve"> </w:t>
      </w:r>
      <w:r>
        <w:rPr>
          <w:bCs/>
          <w:b/>
        </w:rPr>
        <w:t xml:space="preserve">oder</w:t>
      </w:r>
      <w:r>
        <w:t xml:space="preserve"> </w:t>
      </w:r>
      <w:r>
        <w:t xml:space="preserve">7 % des weltweiten Jahresumsatzes, je nachdem, was höher ist.</w:t>
      </w:r>
      <w:r>
        <w:t xml:space="preserve"> </w:t>
      </w:r>
      <w:r>
        <w:t xml:space="preserve">&gt;</w:t>
      </w:r>
      <w:r>
        <w:t xml:space="preserve"> </w:t>
      </w:r>
      <w:r>
        <w:rPr>
          <w:bCs/>
          <w:b/>
        </w:rPr>
        <w:t xml:space="preserve">Fundstelle:</w:t>
      </w:r>
      <w:r>
        <w:t xml:space="preserve"> </w:t>
      </w:r>
      <w:r>
        <w:t xml:space="preserve">Art. 99 Abs. 6 und Abs. 6a KI-VO n. F.</w:t>
      </w:r>
    </w:p>
    <w:p>
      <w:pPr>
        <w:pStyle w:val="BodyText"/>
      </w:pPr>
      <w:r>
        <w:rPr>
          <w:bCs/>
          <w:b/>
        </w:rPr>
        <w:t xml:space="preserve">“</w:t>
      </w:r>
      <w:r>
        <w:rPr>
          <w:bCs/>
          <w:b/>
        </w:rPr>
        <w:t xml:space="preserve">Wenn ein Praxisleitfaden eingehalten wird, ist die Konformität nachgewiesen.</w:t>
      </w:r>
      <w:r>
        <w:rPr>
          <w:bCs/>
          <w:b/>
        </w:rPr>
        <w:t xml:space="preserve">”</w:t>
      </w:r>
      <w:r>
        <w:t xml:space="preserve"> </w:t>
      </w:r>
      <w:r>
        <w:t xml:space="preserve">Halb richtig — und nicht neu. Praxisleitfäden haben nie eine Konformitäts</w:t>
      </w:r>
      <w:r>
        <w:rPr>
          <w:bCs/>
          <w:b/>
        </w:rPr>
        <w:t xml:space="preserve">vermutung</w:t>
      </w:r>
      <w:r>
        <w:t xml:space="preserve"> </w:t>
      </w:r>
      <w:r>
        <w:t xml:space="preserve">begründet; Erwägungsgrund 41 der Änderungsverordnung stellt das lediglich klar. Gestrichen wurde allein die Befugnis der Kommission, einen Leitfaden per Durchführungsrechtsakt zu genehmigen.</w:t>
      </w:r>
      <w:r>
        <w:t xml:space="preserve"> </w:t>
      </w:r>
      <w:r>
        <w:rPr>
          <w:bCs/>
          <w:b/>
        </w:rPr>
        <w:t xml:space="preserve">Unverändert</w:t>
      </w:r>
      <w:r>
        <w:t xml:space="preserve"> </w:t>
      </w:r>
      <w:r>
        <w:t xml:space="preserve">gilt: Anbieter können sich bis zur Veröffentlichung einer harmonisierten Norm auf einen Praxisleitfaden stützen, um die Einhaltung</w:t>
      </w:r>
      <w:r>
        <w:t xml:space="preserve"> </w:t>
      </w:r>
      <w:r>
        <w:rPr>
          <w:bCs/>
          <w:b/>
        </w:rPr>
        <w:t xml:space="preserve">nachzuweisen</w:t>
      </w:r>
      <w:r>
        <w:t xml:space="preserve">. Eine Vermutung entsteht nur über harmonisierte europäische Normen.</w:t>
      </w:r>
      <w:r>
        <w:t xml:space="preserve"> </w:t>
      </w:r>
      <w:r>
        <w:t xml:space="preserve">&gt;</w:t>
      </w:r>
      <w:r>
        <w:t xml:space="preserve"> </w:t>
      </w:r>
      <w:r>
        <w:rPr>
          <w:bCs/>
          <w:b/>
        </w:rPr>
        <w:t xml:space="preserve">Fundstelle:</w:t>
      </w:r>
      <w:r>
        <w:t xml:space="preserve"> </w:t>
      </w:r>
      <w:r>
        <w:t xml:space="preserve">Art. 56 Abs. 6 KI-VO n. F.; Nachweismöglichkeit: Art. 53 Abs. 4, Art. 55 Abs. 2 KI-VO; Konformitätsvermutung: Art. 40 KI-VO.</w:t>
      </w:r>
    </w:p>
    <w:p>
      <w:pPr>
        <w:pStyle w:val="BodyText"/>
      </w:pPr>
      <w:r>
        <w:rPr>
          <w:bCs/>
          <w:b/>
        </w:rPr>
        <w:t xml:space="preserve">“</w:t>
      </w:r>
      <w:r>
        <w:rPr>
          <w:bCs/>
          <w:b/>
        </w:rPr>
        <w:t xml:space="preserve">Wir bauen Maschinen mit KI — für uns gilt der AI Act ab August 2028 in vollem Umfang.</w:t>
      </w:r>
      <w:r>
        <w:rPr>
          <w:bCs/>
          <w:b/>
        </w:rPr>
        <w:t xml:space="preserve">”</w:t>
      </w:r>
      <w:r>
        <w:t xml:space="preserve"> </w:t>
      </w:r>
      <w:r>
        <w:t xml:space="preserve">Falsch. Seit Juli 2026 steht die Maschinenverordnung (EU) 2023/1230 in</w:t>
      </w:r>
      <w:r>
        <w:t xml:space="preserve"> </w:t>
      </w:r>
      <w:r>
        <w:rPr>
          <w:bCs/>
          <w:b/>
        </w:rPr>
        <w:t xml:space="preserve">Anhang I Abschnitt B</w:t>
      </w:r>
      <w:r>
        <w:t xml:space="preserve">. Für Hochrisiko-KI im Zusammenhang mit solchen Produkten gelten nach Art. 2 Abs. 2 KI-VO n. F.</w:t>
      </w:r>
      <w:r>
        <w:t xml:space="preserve"> </w:t>
      </w:r>
      <w:r>
        <w:rPr>
          <w:bCs/>
          <w:b/>
        </w:rPr>
        <w:t xml:space="preserve">nur Art. 6 Abs. 1, Art. 60a und Art. 102 bis 112</w:t>
      </w:r>
      <w:r>
        <w:t xml:space="preserve">. Die Anforderungen laufen stattdessen über das Maschinenrecht.</w:t>
      </w:r>
      <w:r>
        <w:t xml:space="preserve"> </w:t>
      </w:r>
      <w:r>
        <w:t xml:space="preserve">&gt;</w:t>
      </w:r>
      <w:r>
        <w:t xml:space="preserve"> </w:t>
      </w:r>
      <w:r>
        <w:rPr>
          <w:bCs/>
          <w:b/>
        </w:rPr>
        <w:t xml:space="preserve">Fundstelle:</w:t>
      </w:r>
      <w:r>
        <w:t xml:space="preserve"> </w:t>
      </w:r>
      <w:r>
        <w:t xml:space="preserve">Art. 2 Abs. 2 KI-VO n. F.; VO (EU) 2026/1744, Art. 1 Nr. 41 und Art. 3.</w:t>
      </w:r>
    </w:p>
    <w:p>
      <w:pPr>
        <w:pStyle w:val="BodyText"/>
      </w:pPr>
      <w:r>
        <w:rPr>
          <w:bCs/>
          <w:b/>
        </w:rPr>
        <w:t xml:space="preserve">“</w:t>
      </w:r>
      <w:r>
        <w:rPr>
          <w:bCs/>
          <w:b/>
        </w:rPr>
        <w:t xml:space="preserve">Für Anhang I Abschnitt B gilt der AI Act gar nicht mehr.</w:t>
      </w:r>
      <w:r>
        <w:rPr>
          <w:bCs/>
          <w:b/>
        </w:rPr>
        <w:t xml:space="preserve">”</w:t>
      </w:r>
      <w:r>
        <w:t xml:space="preserve"> </w:t>
      </w:r>
      <w:r>
        <w:t xml:space="preserve">Auch falsch — die Gegenrichtung.</w:t>
      </w:r>
      <w:r>
        <w:t xml:space="preserve"> </w:t>
      </w:r>
      <w:r>
        <w:rPr>
          <w:bCs/>
          <w:b/>
        </w:rPr>
        <w:t xml:space="preserve">Art. 6 Abs. 1 gilt weiter</w:t>
      </w:r>
      <w:r>
        <w:t xml:space="preserve">: Das System bleibt ein Hochrisiko-KI-System im Sinne der Verordnung, ebenso gelten Art. 60a (Tests unter Realbedingungen) und Art. 102 bis 112. Nicht anwendbar sind die Anforderungs- und Pflichtenkapitel, Art. 50, Art. 72 und 73 sowie Art. 99.</w:t>
      </w:r>
      <w:r>
        <w:t xml:space="preserve"> </w:t>
      </w:r>
      <w:r>
        <w:t xml:space="preserve">&gt;</w:t>
      </w:r>
      <w:r>
        <w:t xml:space="preserve"> </w:t>
      </w:r>
      <w:r>
        <w:rPr>
          <w:bCs/>
          <w:b/>
        </w:rPr>
        <w:t xml:space="preserve">Fundstelle:</w:t>
      </w:r>
      <w:r>
        <w:t xml:space="preserve"> </w:t>
      </w:r>
      <w:r>
        <w:t xml:space="preserve">Art. 2 Abs. 2 KI-VO n. F. — abschließende Aufzählung.</w:t>
      </w:r>
    </w:p>
    <w:p>
      <w:pPr>
        <w:pStyle w:val="BodyText"/>
      </w:pPr>
      <w:r>
        <w:rPr>
          <w:bCs/>
          <w:b/>
        </w:rPr>
        <w:t xml:space="preserve">“</w:t>
      </w:r>
      <w:r>
        <w:rPr>
          <w:bCs/>
          <w:b/>
        </w:rPr>
        <w:t xml:space="preserve">Art. 4a erlaubt uns als Betreiber die Verarbeitung sensibler Daten.</w:t>
      </w:r>
      <w:r>
        <w:rPr>
          <w:bCs/>
          <w:b/>
        </w:rPr>
        <w:t xml:space="preserve">”</w:t>
      </w:r>
      <w:r>
        <w:t xml:space="preserve"> </w:t>
      </w:r>
      <w:r>
        <w:t xml:space="preserve">Nur unter engen Voraussetzungen. Art. 4a Abs. 2 erfasst Betreiber von Hochrisiko-Systemen sowie Anbieter und Betreiber anderer KI-Systeme und -Modelle — aber ausschließlich zur Erkennung und Korrektur von Verzerrungen, nur soweit unbedingt erforderlich, nur bei Verzerrungen mit Auswirkungen auf Gesundheit, Sicherheit, Grundrechte oder Diskriminierungsverboten, und nur wenn sämtliche Bedingungen des Abs. 1 eingehalten werden. Die datenschutzrechtliche Prüfung entfällt dadurch nicht.</w:t>
      </w:r>
      <w:r>
        <w:t xml:space="preserve"> </w:t>
      </w:r>
      <w:r>
        <w:t xml:space="preserve">&gt;</w:t>
      </w:r>
      <w:r>
        <w:t xml:space="preserve"> </w:t>
      </w:r>
      <w:r>
        <w:rPr>
          <w:bCs/>
          <w:b/>
        </w:rPr>
        <w:t xml:space="preserve">Fundstelle:</w:t>
      </w:r>
      <w:r>
        <w:t xml:space="preserve"> </w:t>
      </w:r>
      <w:r>
        <w:t xml:space="preserve">Art. 4a Abs. 1 und 2 KI-VO n. F.; anwendbar seit 27.07.2026.</w:t>
      </w:r>
    </w:p>
    <w:p>
      <w:pPr>
        <w:pStyle w:val="BodyText"/>
      </w:pPr>
      <w:r>
        <w:rPr>
          <w:bCs/>
          <w:b/>
        </w:rPr>
        <w:t xml:space="preserve">“</w:t>
      </w:r>
      <w:r>
        <w:rPr>
          <w:bCs/>
          <w:b/>
        </w:rPr>
        <w:t xml:space="preserve">Wir stufen ein Anhang-III-System als nicht hochriskant ein, weil es nur eine vorbereitende Aufgabe erfüllt.</w:t>
      </w:r>
      <w:r>
        <w:rPr>
          <w:bCs/>
          <w:b/>
        </w:rPr>
        <w:t xml:space="preserve">”</w:t>
      </w:r>
      <w:r>
        <w:t xml:space="preserve"> </w:t>
      </w:r>
      <w:r>
        <w:t xml:space="preserve">Das genügt nicht. Die vier Bedingungen des Art. 6 Abs. 3 UAbs. 2 eröffnen die Ausnahme nur; sie greift zusätzlich nur, wenn</w:t>
      </w:r>
      <w:r>
        <w:t xml:space="preserve"> </w:t>
      </w:r>
      <w:r>
        <w:rPr>
          <w:bCs/>
          <w:b/>
        </w:rPr>
        <w:t xml:space="preserve">kein erhebliches Risiko</w:t>
      </w:r>
      <w:r>
        <w:t xml:space="preserve"> </w:t>
      </w:r>
      <w:r>
        <w:t xml:space="preserve">für Gesundheit, Sicherheit oder Grundrechte besteht. Bei Profiling ist sie ohnehin ausgeschlossen.</w:t>
      </w:r>
      <w:r>
        <w:t xml:space="preserve"> </w:t>
      </w:r>
      <w:r>
        <w:t xml:space="preserve">&gt;</w:t>
      </w:r>
      <w:r>
        <w:t xml:space="preserve"> </w:t>
      </w:r>
      <w:r>
        <w:rPr>
          <w:bCs/>
          <w:b/>
        </w:rPr>
        <w:t xml:space="preserve">Fundstelle:</w:t>
      </w:r>
      <w:r>
        <w:t xml:space="preserve"> </w:t>
      </w:r>
      <w:r>
        <w:t xml:space="preserve">Art. 6 Abs. 3 UAbs. 1–3 KI-VO.</w:t>
      </w:r>
    </w:p>
    <w:p>
      <w:pPr>
        <w:pStyle w:val="BodyText"/>
      </w:pPr>
      <w:r>
        <w:rPr>
          <w:bCs/>
          <w:b/>
        </w:rPr>
        <w:t xml:space="preserve">“</w:t>
      </w:r>
      <w:r>
        <w:rPr>
          <w:bCs/>
          <w:b/>
        </w:rPr>
        <w:t xml:space="preserve">ChatGPT im Unternehmen einzusetzen macht uns zum GPAI-Anbieter.</w:t>
      </w:r>
      <w:r>
        <w:rPr>
          <w:bCs/>
          <w:b/>
        </w:rPr>
        <w:t xml:space="preserve">”</w:t>
      </w:r>
      <w:r>
        <w:t xml:space="preserve"> </w:t>
      </w:r>
      <w:r>
        <w:t xml:space="preserve">Falsch. Die GPAI-Pflichten treffen Anbieter der Modelle. Wer ein solches Werkzeug nutzt, ist Betreiber eines KI-Systems. Vorsicht aber beim Rollenwechsel nach Art. 25 Abs. 1 lit. c.</w:t>
      </w:r>
    </w:p>
    <w:p>
      <w:pPr>
        <w:pStyle w:val="BodyText"/>
      </w:pPr>
      <w:r>
        <w:rPr>
          <w:bCs/>
          <w:b/>
        </w:rPr>
        <w:t xml:space="preserve">“</w:t>
      </w:r>
      <w:r>
        <w:rPr>
          <w:bCs/>
          <w:b/>
        </w:rPr>
        <w:t xml:space="preserve">Unsere KI ist nur ein Hilfsmittel, ein Mensch entscheidet am Ende — also kein Hochrisiko.</w:t>
      </w:r>
      <w:r>
        <w:rPr>
          <w:bCs/>
          <w:b/>
        </w:rPr>
        <w:t xml:space="preserve">”</w:t>
      </w:r>
      <w:r>
        <w:t xml:space="preserve"> </w:t>
      </w:r>
      <w:r>
        <w:t xml:space="preserve">Nicht automatisch. Anhang III Nr. 4 erfasst auch Systeme, die Entscheidungen nur</w:t>
      </w:r>
      <w:r>
        <w:t xml:space="preserve"> </w:t>
      </w:r>
      <w:r>
        <w:rPr>
          <w:bCs/>
          <w:b/>
        </w:rPr>
        <w:t xml:space="preserve">unterstützen</w:t>
      </w:r>
      <w:r>
        <w:t xml:space="preserve">. Der Ausnahmefilter des Art. 6 Abs. 3 kann greifen — aber nur, wenn kein erhebliches Risiko besteht und kein Profiling stattfindet. Die Bewertung muss dokumentiert werden.</w:t>
      </w:r>
      <w:r>
        <w:t xml:space="preserve"> </w:t>
      </w:r>
      <w:r>
        <w:t xml:space="preserve">&gt;</w:t>
      </w:r>
      <w:r>
        <w:t xml:space="preserve"> </w:t>
      </w:r>
      <w:r>
        <w:rPr>
          <w:bCs/>
          <w:b/>
        </w:rPr>
        <w:t xml:space="preserve">Fundstelle:</w:t>
      </w:r>
      <w:r>
        <w:t xml:space="preserve"> </w:t>
      </w:r>
      <w:r>
        <w:t xml:space="preserve">Art. 6 Abs. 3 und 4 KI-VO; Art. 26 Abs. 11 KI-VO.</w:t>
      </w:r>
    </w:p>
    <w:p>
      <w:r>
        <w:pict>
          <v:rect style="width:0;height:1.5pt" o:hralign="center" o:hrstd="t" o:hr="t"/>
        </w:pict>
      </w:r>
    </w:p>
    <w:bookmarkEnd w:id="65"/>
    <w:bookmarkStart w:id="66" w:name="glossar"/>
    <w:p>
      <w:pPr>
        <w:pStyle w:val="Heading1"/>
      </w:pPr>
      <w:r>
        <w:t xml:space="preserve">11. Glossar</w:t>
      </w:r>
    </w:p>
    <w:p>
      <w:pPr>
        <w:pStyle w:val="FirstParagraph"/>
      </w:pPr>
      <w:r>
        <w:rPr>
          <w:bCs/>
          <w:b/>
        </w:rPr>
        <w:t xml:space="preserve">AI Act</w:t>
      </w:r>
      <w:r>
        <w:t xml:space="preserve"> </w:t>
      </w:r>
      <w:r>
        <w:t xml:space="preserve">— Umgangssprachliche Bezeichnung für die KI-Verordnung (EU) 2024/1689.</w:t>
      </w:r>
    </w:p>
    <w:p>
      <w:pPr>
        <w:pStyle w:val="BodyText"/>
      </w:pPr>
      <w:r>
        <w:rPr>
          <w:bCs/>
          <w:b/>
        </w:rPr>
        <w:t xml:space="preserve">a. F.</w:t>
      </w:r>
      <w:r>
        <w:t xml:space="preserve"> </w:t>
      </w:r>
      <w:r>
        <w:t xml:space="preserve">— Alte Fassung. Bezeichnet den Stand einer Vorschrift vor dem Digital Omnibus.</w:t>
      </w:r>
    </w:p>
    <w:p>
      <w:pPr>
        <w:pStyle w:val="BodyText"/>
      </w:pPr>
      <w:r>
        <w:rPr>
          <w:bCs/>
          <w:b/>
        </w:rPr>
        <w:t xml:space="preserve">Anbieter (Provider)</w:t>
      </w:r>
      <w:r>
        <w:t xml:space="preserve"> </w:t>
      </w:r>
      <w:r>
        <w:t xml:space="preserve">— Wer ein KI-System entwickelt oder entwickeln lässt und unter eigenem Namen in Verkehr bringt oder in Betrieb nimmt.</w:t>
      </w:r>
      <w:r>
        <w:t xml:space="preserve"> </w:t>
      </w:r>
      <w:r>
        <w:rPr>
          <w:iCs/>
          <w:i/>
        </w:rPr>
        <w:t xml:space="preserve">(Art. 3 Nr. 3 KI-VO)</w:t>
      </w:r>
    </w:p>
    <w:p>
      <w:pPr>
        <w:pStyle w:val="BodyText"/>
      </w:pPr>
      <w:r>
        <w:rPr>
          <w:bCs/>
          <w:b/>
        </w:rPr>
        <w:t xml:space="preserve">Anhang I Abschnitt A / Abschnitt B</w:t>
      </w:r>
      <w:r>
        <w:t xml:space="preserve"> </w:t>
      </w:r>
      <w:r>
        <w:t xml:space="preserve">— Zwei Listen von EU-Produktvorschriften. Bei Abschnitt A gilt das volle Kapitel III der KI-Verordnung, bei Abschnitt B nur Art. 6 Abs. 1, Art. 60a und Art. 102–112.</w:t>
      </w:r>
      <w:r>
        <w:t xml:space="preserve"> </w:t>
      </w:r>
      <w:r>
        <w:rPr>
          <w:iCs/>
          <w:i/>
        </w:rPr>
        <w:t xml:space="preserve">(Art. 2 Abs. 2 KI-VO n. F.)</w:t>
      </w:r>
    </w:p>
    <w:p>
      <w:pPr>
        <w:pStyle w:val="BodyText"/>
      </w:pPr>
      <w:r>
        <w:rPr>
          <w:bCs/>
          <w:b/>
        </w:rPr>
        <w:t xml:space="preserve">Bias / Verzerrung</w:t>
      </w:r>
      <w:r>
        <w:t xml:space="preserve"> </w:t>
      </w:r>
      <w:r>
        <w:t xml:space="preserve">— Systematische Schieflage in Daten oder Modellausgaben, die zu ungerechtfertigter Benachteiligung führen kann.</w:t>
      </w:r>
      <w:r>
        <w:t xml:space="preserve"> </w:t>
      </w:r>
      <w:r>
        <w:rPr>
          <w:iCs/>
          <w:i/>
        </w:rPr>
        <w:t xml:space="preserve">(Art. 10 Abs. 2 lit. f und g, Art. 4a KI-VO n. F.)</w:t>
      </w:r>
    </w:p>
    <w:p>
      <w:pPr>
        <w:pStyle w:val="BodyText"/>
      </w:pPr>
      <w:r>
        <w:rPr>
          <w:bCs/>
          <w:b/>
        </w:rPr>
        <w:t xml:space="preserve">Betreiber (Deployer)</w:t>
      </w:r>
      <w:r>
        <w:t xml:space="preserve"> </w:t>
      </w:r>
      <w:r>
        <w:t xml:space="preserve">— Wer ein KI-System in eigener Verantwortung beruflich verwendet.</w:t>
      </w:r>
      <w:r>
        <w:t xml:space="preserve"> </w:t>
      </w:r>
      <w:r>
        <w:rPr>
          <w:iCs/>
          <w:i/>
        </w:rPr>
        <w:t xml:space="preserve">(Art. 3 Nr. 4 KI-VO)</w:t>
      </w:r>
    </w:p>
    <w:p>
      <w:pPr>
        <w:pStyle w:val="BodyText"/>
      </w:pPr>
      <w:r>
        <w:rPr>
          <w:bCs/>
          <w:b/>
        </w:rPr>
        <w:t xml:space="preserve">Büro für Künstliche Intelligenz (AI Office)</w:t>
      </w:r>
      <w:r>
        <w:t xml:space="preserve"> </w:t>
      </w:r>
      <w:r>
        <w:t xml:space="preserve">— Stelle der Europäischen Kommission für Aufsicht und Durchsetzung, insbesondere bei GPAI-Modellen. Seit Juli 2026 mit erweiterten Befugnissen.</w:t>
      </w:r>
      <w:r>
        <w:t xml:space="preserve"> </w:t>
      </w:r>
      <w:r>
        <w:rPr>
          <w:iCs/>
          <w:i/>
        </w:rPr>
        <w:t xml:space="preserve">(Art. 64, Art. 75, 75a–75d KI-VO)</w:t>
      </w:r>
    </w:p>
    <w:p>
      <w:pPr>
        <w:pStyle w:val="BodyText"/>
      </w:pPr>
      <w:r>
        <w:rPr>
          <w:bCs/>
          <w:b/>
        </w:rPr>
        <w:t xml:space="preserve">CE-Kennzeichnung</w:t>
      </w:r>
      <w:r>
        <w:t xml:space="preserve"> </w:t>
      </w:r>
      <w:r>
        <w:t xml:space="preserve">— Kennzeichen für die Konformität mit EU-Vorschriften; bei Hochrisiko-KI vom Anbieter anzubringen.</w:t>
      </w:r>
      <w:r>
        <w:t xml:space="preserve"> </w:t>
      </w:r>
      <w:r>
        <w:rPr>
          <w:iCs/>
          <w:i/>
        </w:rPr>
        <w:t xml:space="preserve">(Art. 48 KI-VO)</w:t>
      </w:r>
    </w:p>
    <w:p>
      <w:pPr>
        <w:pStyle w:val="BodyText"/>
      </w:pPr>
      <w:r>
        <w:rPr>
          <w:bCs/>
          <w:b/>
        </w:rPr>
        <w:t xml:space="preserve">CSAM</w:t>
      </w:r>
      <w:r>
        <w:t xml:space="preserve"> </w:t>
      </w:r>
      <w:r>
        <w:t xml:space="preserve">— Child Sexual Abuse Material. Seit Juli 2026 Gegenstand eines eigenen Verbotstatbestands.</w:t>
      </w:r>
      <w:r>
        <w:t xml:space="preserve"> </w:t>
      </w:r>
      <w:r>
        <w:rPr>
          <w:iCs/>
          <w:i/>
        </w:rPr>
        <w:t xml:space="preserve">(Art. 5 Abs. 1 lit. bb KI-VO n. F.)</w:t>
      </w:r>
    </w:p>
    <w:p>
      <w:pPr>
        <w:pStyle w:val="BodyText"/>
      </w:pPr>
      <w:r>
        <w:rPr>
          <w:bCs/>
          <w:b/>
        </w:rPr>
        <w:t xml:space="preserve">Deepfake</w:t>
      </w:r>
      <w:r>
        <w:t xml:space="preserve"> </w:t>
      </w:r>
      <w:r>
        <w:t xml:space="preserve">— Durch KI erzeugter oder manipulierter Bild-, Ton- oder Videoinhalt, der echten Personen, Gegenständen oder Ereignissen ähnelt und fälschlich als echt erscheint.</w:t>
      </w:r>
      <w:r>
        <w:t xml:space="preserve"> </w:t>
      </w:r>
      <w:r>
        <w:rPr>
          <w:iCs/>
          <w:i/>
        </w:rPr>
        <w:t xml:space="preserve">(Art. 3 Nr. 60, Art. 50 Abs. 4 KI-VO)</w:t>
      </w:r>
    </w:p>
    <w:p>
      <w:pPr>
        <w:pStyle w:val="BodyText"/>
      </w:pPr>
      <w:r>
        <w:rPr>
          <w:bCs/>
          <w:b/>
        </w:rPr>
        <w:t xml:space="preserve">Digital Omnibus</w:t>
      </w:r>
      <w:r>
        <w:t xml:space="preserve"> </w:t>
      </w:r>
      <w:r>
        <w:t xml:space="preserve">— Kurzbezeichnung für die Änderungsverordnung (EU) 2026/1744 vom 8. Juli 2026.</w:t>
      </w:r>
    </w:p>
    <w:p>
      <w:pPr>
        <w:pStyle w:val="BodyText"/>
      </w:pPr>
      <w:r>
        <w:rPr>
          <w:bCs/>
          <w:b/>
        </w:rPr>
        <w:t xml:space="preserve">EU-Datenbank</w:t>
      </w:r>
      <w:r>
        <w:t xml:space="preserve"> </w:t>
      </w:r>
      <w:r>
        <w:t xml:space="preserve">— Von der Kommission geführte Datenbank für Hochrisiko-KI-Systeme.</w:t>
      </w:r>
      <w:r>
        <w:t xml:space="preserve"> </w:t>
      </w:r>
      <w:r>
        <w:rPr>
          <w:iCs/>
          <w:i/>
        </w:rPr>
        <w:t xml:space="preserve">(Art. 71 KI-VO)</w:t>
      </w:r>
    </w:p>
    <w:p>
      <w:pPr>
        <w:pStyle w:val="BodyText"/>
      </w:pPr>
      <w:r>
        <w:rPr>
          <w:bCs/>
          <w:b/>
        </w:rPr>
        <w:t xml:space="preserve">Grundrechte-Folgenabschätzung (FRIA)</w:t>
      </w:r>
      <w:r>
        <w:t xml:space="preserve"> </w:t>
      </w:r>
      <w:r>
        <w:t xml:space="preserve">— Vorabbewertung der Auswirkungen eines Hochrisiko-Systems auf Grundrechte; nur für bestimmte Betreiber.</w:t>
      </w:r>
      <w:r>
        <w:t xml:space="preserve"> </w:t>
      </w:r>
      <w:r>
        <w:rPr>
          <w:iCs/>
          <w:i/>
        </w:rPr>
        <w:t xml:space="preserve">(Art. 27 KI-VO)</w:t>
      </w:r>
    </w:p>
    <w:p>
      <w:pPr>
        <w:pStyle w:val="BodyText"/>
      </w:pPr>
      <w:r>
        <w:rPr>
          <w:bCs/>
          <w:b/>
        </w:rPr>
        <w:t xml:space="preserve">GPAI</w:t>
      </w:r>
      <w:r>
        <w:t xml:space="preserve"> </w:t>
      </w:r>
      <w:r>
        <w:t xml:space="preserve">— General Purpose AI. KI-Modell mit allgemeinem Verwendungszweck.</w:t>
      </w:r>
      <w:r>
        <w:t xml:space="preserve"> </w:t>
      </w:r>
      <w:r>
        <w:rPr>
          <w:iCs/>
          <w:i/>
        </w:rPr>
        <w:t xml:space="preserve">(Art. 3 Nr. 63, Art. 51–56 KI-VO)</w:t>
      </w:r>
    </w:p>
    <w:p>
      <w:pPr>
        <w:pStyle w:val="BodyText"/>
      </w:pPr>
      <w:r>
        <w:rPr>
          <w:bCs/>
          <w:b/>
        </w:rPr>
        <w:t xml:space="preserve">Hochrisiko-KI-System</w:t>
      </w:r>
      <w:r>
        <w:t xml:space="preserve"> </w:t>
      </w:r>
      <w:r>
        <w:t xml:space="preserve">— KI-System nach Art. 6 Abs. 1 (Anhang I) oder Abs. 2 (Anhang III) KI-VO.</w:t>
      </w:r>
    </w:p>
    <w:p>
      <w:pPr>
        <w:pStyle w:val="BodyText"/>
      </w:pPr>
      <w:r>
        <w:rPr>
          <w:bCs/>
          <w:b/>
        </w:rPr>
        <w:t xml:space="preserve">Inverkehrbringen</w:t>
      </w:r>
      <w:r>
        <w:t xml:space="preserve"> </w:t>
      </w:r>
      <w:r>
        <w:t xml:space="preserve">— Die erstmalige Bereitstellung eines KI-Systems auf dem Unionsmarkt.</w:t>
      </w:r>
      <w:r>
        <w:t xml:space="preserve"> </w:t>
      </w:r>
      <w:r>
        <w:rPr>
          <w:iCs/>
          <w:i/>
        </w:rPr>
        <w:t xml:space="preserve">(Art. 3 Nr. 9 KI-VO)</w:t>
      </w:r>
    </w:p>
    <w:p>
      <w:pPr>
        <w:pStyle w:val="BodyText"/>
      </w:pPr>
      <w:r>
        <w:rPr>
          <w:bCs/>
          <w:b/>
        </w:rPr>
        <w:t xml:space="preserve">Inbetriebnahme</w:t>
      </w:r>
      <w:r>
        <w:t xml:space="preserve"> </w:t>
      </w:r>
      <w:r>
        <w:t xml:space="preserve">— Bereitstellung zum Erstgebrauch direkt an den Betreiber oder zum Eigengebrauch.</w:t>
      </w:r>
      <w:r>
        <w:t xml:space="preserve"> </w:t>
      </w:r>
      <w:r>
        <w:rPr>
          <w:iCs/>
          <w:i/>
        </w:rPr>
        <w:t xml:space="preserve">(Art. 3 Nr. 11 KI-VO)</w:t>
      </w:r>
    </w:p>
    <w:p>
      <w:pPr>
        <w:pStyle w:val="BodyText"/>
      </w:pPr>
      <w:r>
        <w:rPr>
          <w:bCs/>
          <w:b/>
        </w:rPr>
        <w:t xml:space="preserve">KI-System</w:t>
      </w:r>
      <w:r>
        <w:t xml:space="preserve"> </w:t>
      </w:r>
      <w:r>
        <w:t xml:space="preserve">— Maschinengestütztes System, das mit einem gewissen Grad an Autonomie aus Eingaben Ausgaben ableitet.</w:t>
      </w:r>
      <w:r>
        <w:t xml:space="preserve"> </w:t>
      </w:r>
      <w:r>
        <w:rPr>
          <w:iCs/>
          <w:i/>
        </w:rPr>
        <w:t xml:space="preserve">(Art. 3 Nr. 1 KI-VO)</w:t>
      </w:r>
    </w:p>
    <w:p>
      <w:pPr>
        <w:pStyle w:val="BodyText"/>
      </w:pPr>
      <w:r>
        <w:rPr>
          <w:bCs/>
          <w:b/>
        </w:rPr>
        <w:t xml:space="preserve">Kleines Midcap-Unternehmen</w:t>
      </w:r>
      <w:r>
        <w:t xml:space="preserve"> </w:t>
      </w:r>
      <w:r>
        <w:t xml:space="preserve">— Kein KMU, weniger als 750 Beschäftigte, Umsatz höchstens 150 Mio. EUR oder Bilanzsumme höchstens 129 Mio. EUR.</w:t>
      </w:r>
      <w:r>
        <w:t xml:space="preserve"> </w:t>
      </w:r>
      <w:r>
        <w:rPr>
          <w:iCs/>
          <w:i/>
        </w:rPr>
        <w:t xml:space="preserve">(Art. 3 Nr. 14b KI-VO n. F.)</w:t>
      </w:r>
    </w:p>
    <w:p>
      <w:pPr>
        <w:pStyle w:val="BodyText"/>
      </w:pPr>
      <w:r>
        <w:rPr>
          <w:bCs/>
          <w:b/>
        </w:rPr>
        <w:t xml:space="preserve">KMU</w:t>
      </w:r>
      <w:r>
        <w:t xml:space="preserve"> </w:t>
      </w:r>
      <w:r>
        <w:t xml:space="preserve">— Kleinstunternehmen, kleine und mittlere Unternehmen nach der Empfehlung 2003/361/EG.</w:t>
      </w:r>
      <w:r>
        <w:t xml:space="preserve"> </w:t>
      </w:r>
      <w:r>
        <w:rPr>
          <w:iCs/>
          <w:i/>
        </w:rPr>
        <w:t xml:space="preserve">(Art. 3 Nr. 14a KI-VO n. F.)</w:t>
      </w:r>
    </w:p>
    <w:p>
      <w:pPr>
        <w:pStyle w:val="BodyText"/>
      </w:pPr>
      <w:r>
        <w:rPr>
          <w:bCs/>
          <w:b/>
        </w:rPr>
        <w:t xml:space="preserve">Konformitätsbewertung</w:t>
      </w:r>
      <w:r>
        <w:t xml:space="preserve"> </w:t>
      </w:r>
      <w:r>
        <w:t xml:space="preserve">— Verfahren zum Nachweis, dass ein Hochrisiko-System die Anforderungen erfüllt; intern oder durch eine notifizierte Stelle.</w:t>
      </w:r>
      <w:r>
        <w:t xml:space="preserve"> </w:t>
      </w:r>
      <w:r>
        <w:rPr>
          <w:iCs/>
          <w:i/>
        </w:rPr>
        <w:t xml:space="preserve">(Art. 43 KI-VO)</w:t>
      </w:r>
    </w:p>
    <w:p>
      <w:pPr>
        <w:pStyle w:val="BodyText"/>
      </w:pPr>
      <w:r>
        <w:rPr>
          <w:bCs/>
          <w:b/>
        </w:rPr>
        <w:t xml:space="preserve">Marktüberwachungsbehörde</w:t>
      </w:r>
      <w:r>
        <w:t xml:space="preserve"> </w:t>
      </w:r>
      <w:r>
        <w:t xml:space="preserve">— Nationale Behörde für die Überwachung der Einhaltung.</w:t>
      </w:r>
      <w:r>
        <w:t xml:space="preserve"> </w:t>
      </w:r>
      <w:r>
        <w:rPr>
          <w:iCs/>
          <w:i/>
        </w:rPr>
        <w:t xml:space="preserve">(Art. 74 KI-VO)</w:t>
      </w:r>
    </w:p>
    <w:p>
      <w:pPr>
        <w:pStyle w:val="BodyText"/>
      </w:pPr>
      <w:r>
        <w:rPr>
          <w:bCs/>
          <w:b/>
        </w:rPr>
        <w:t xml:space="preserve">NCII</w:t>
      </w:r>
      <w:r>
        <w:t xml:space="preserve"> </w:t>
      </w:r>
      <w:r>
        <w:t xml:space="preserve">— Non-Consensual Intimate Images. Seit Juli 2026 Gegenstand eines eigenen Verbotstatbestands.</w:t>
      </w:r>
      <w:r>
        <w:t xml:space="preserve"> </w:t>
      </w:r>
      <w:r>
        <w:rPr>
          <w:iCs/>
          <w:i/>
        </w:rPr>
        <w:t xml:space="preserve">(Art. 5 Abs. 1 lit. ba KI-VO n. F.)</w:t>
      </w:r>
    </w:p>
    <w:p>
      <w:pPr>
        <w:pStyle w:val="BodyText"/>
      </w:pPr>
      <w:r>
        <w:rPr>
          <w:bCs/>
          <w:b/>
        </w:rPr>
        <w:t xml:space="preserve">n. F.</w:t>
      </w:r>
      <w:r>
        <w:t xml:space="preserve"> </w:t>
      </w:r>
      <w:r>
        <w:t xml:space="preserve">— Neue Fassung. Bezeichnet Vorschriften in der durch den Digital Omnibus geänderten Fassung.</w:t>
      </w:r>
    </w:p>
    <w:p>
      <w:pPr>
        <w:pStyle w:val="BodyText"/>
      </w:pPr>
      <w:r>
        <w:rPr>
          <w:bCs/>
          <w:b/>
        </w:rPr>
        <w:t xml:space="preserve">Notifizierte Stelle</w:t>
      </w:r>
      <w:r>
        <w:t xml:space="preserve"> </w:t>
      </w:r>
      <w:r>
        <w:t xml:space="preserve">— Unabhängige Prüfstelle für Konformitätsbewertungen.</w:t>
      </w:r>
      <w:r>
        <w:t xml:space="preserve"> </w:t>
      </w:r>
      <w:r>
        <w:rPr>
          <w:iCs/>
          <w:i/>
        </w:rPr>
        <w:t xml:space="preserve">(Art. 28 ff. KI-VO)</w:t>
      </w:r>
    </w:p>
    <w:p>
      <w:pPr>
        <w:pStyle w:val="BodyText"/>
      </w:pPr>
      <w:r>
        <w:rPr>
          <w:bCs/>
          <w:b/>
        </w:rPr>
        <w:t xml:space="preserve">PMM (Post-Market Monitoring)</w:t>
      </w:r>
      <w:r>
        <w:t xml:space="preserve"> </w:t>
      </w:r>
      <w:r>
        <w:t xml:space="preserve">— Beobachtung eines Hochrisiko-Systems nach dem Inverkehrbringen, einschließlich Beobachtungsplan.</w:t>
      </w:r>
      <w:r>
        <w:t xml:space="preserve"> </w:t>
      </w:r>
      <w:r>
        <w:rPr>
          <w:iCs/>
          <w:i/>
        </w:rPr>
        <w:t xml:space="preserve">(Art. 72 KI-VO)</w:t>
      </w:r>
    </w:p>
    <w:p>
      <w:pPr>
        <w:pStyle w:val="BodyText"/>
      </w:pPr>
      <w:r>
        <w:rPr>
          <w:bCs/>
          <w:b/>
        </w:rPr>
        <w:t xml:space="preserve">QMS (Qualitätsmanagementsystem)</w:t>
      </w:r>
      <w:r>
        <w:t xml:space="preserve"> </w:t>
      </w:r>
      <w:r>
        <w:t xml:space="preserve">— Schriftlich festgelegte Regeln, Verfahren und Anweisungen, mit denen ein Anbieter die Einhaltung der Verordnung sicherstellt.</w:t>
      </w:r>
      <w:r>
        <w:t xml:space="preserve"> </w:t>
      </w:r>
      <w:r>
        <w:rPr>
          <w:iCs/>
          <w:i/>
        </w:rPr>
        <w:t xml:space="preserve">(Art. 17 KI-VO)</w:t>
      </w:r>
    </w:p>
    <w:p>
      <w:pPr>
        <w:pStyle w:val="BodyText"/>
      </w:pPr>
      <w:r>
        <w:rPr>
          <w:bCs/>
          <w:b/>
        </w:rPr>
        <w:t xml:space="preserve">Profiling</w:t>
      </w:r>
      <w:r>
        <w:t xml:space="preserve"> </w:t>
      </w:r>
      <w:r>
        <w:t xml:space="preserve">— Automatisierte Verarbeitung personenbezogener Daten zur Bewertung persönlicher Aspekte. Schließt den Ausnahmefilter des Art. 6 Abs. 3 aus.</w:t>
      </w:r>
      <w:r>
        <w:t xml:space="preserve"> </w:t>
      </w:r>
      <w:r>
        <w:rPr>
          <w:iCs/>
          <w:i/>
        </w:rPr>
        <w:t xml:space="preserve">(Art. 6 Abs. 3 UAbs. 3 KI-VO)</w:t>
      </w:r>
    </w:p>
    <w:p>
      <w:pPr>
        <w:pStyle w:val="BodyText"/>
      </w:pPr>
      <w:r>
        <w:rPr>
          <w:bCs/>
          <w:b/>
        </w:rPr>
        <w:t xml:space="preserve">Sicherheitsbauteil</w:t>
      </w:r>
      <w:r>
        <w:t xml:space="preserve"> </w:t>
      </w:r>
      <w:r>
        <w:t xml:space="preserve">— Bestandteil eines Produkts oder KI-Systems, dessen Zweckbestimmung darin besteht, Risiken für Gesundheit und Sicherheit abzuwenden oder zu mindern, oder dessen Ausfall diese gefährdet. Definition seit Juli 2026 neu gefasst.</w:t>
      </w:r>
      <w:r>
        <w:t xml:space="preserve"> </w:t>
      </w:r>
      <w:r>
        <w:rPr>
          <w:iCs/>
          <w:i/>
        </w:rPr>
        <w:t xml:space="preserve">(Art. 3 Nr. 14 KI-VO n. F.)</w:t>
      </w:r>
    </w:p>
    <w:p>
      <w:pPr>
        <w:pStyle w:val="BodyText"/>
      </w:pPr>
      <w:r>
        <w:rPr>
          <w:bCs/>
          <w:b/>
        </w:rPr>
        <w:t xml:space="preserve">Systemisches Risiko</w:t>
      </w:r>
      <w:r>
        <w:t xml:space="preserve"> </w:t>
      </w:r>
      <w:r>
        <w:t xml:space="preserve">— Risiko eines GPAI-Modells mit hohem Wirkungsgrad; vermutet ab 10²⁵ FLOP Trainingsrechenleistung.</w:t>
      </w:r>
      <w:r>
        <w:t xml:space="preserve"> </w:t>
      </w:r>
      <w:r>
        <w:rPr>
          <w:iCs/>
          <w:i/>
        </w:rPr>
        <w:t xml:space="preserve">(Art. 51 KI-VO)</w:t>
      </w:r>
    </w:p>
    <w:p>
      <w:pPr>
        <w:pStyle w:val="BodyText"/>
      </w:pPr>
      <w:r>
        <w:rPr>
          <w:bCs/>
          <w:b/>
        </w:rPr>
        <w:t xml:space="preserve">UAbs.</w:t>
      </w:r>
      <w:r>
        <w:t xml:space="preserve"> </w:t>
      </w:r>
      <w:r>
        <w:t xml:space="preserve">— Unterabsatz. Gliederungseinheit unterhalb eines Absatzes im Verordnungstext.</w:t>
      </w:r>
    </w:p>
    <w:p>
      <w:pPr>
        <w:pStyle w:val="BodyText"/>
      </w:pPr>
      <w:r>
        <w:rPr>
          <w:bCs/>
          <w:b/>
        </w:rPr>
        <w:t xml:space="preserve">Wesentliche Veränderung</w:t>
      </w:r>
      <w:r>
        <w:t xml:space="preserve"> </w:t>
      </w:r>
      <w:r>
        <w:t xml:space="preserve">— Änderung nach Inverkehrbringen, die in der ursprünglichen Konformitätsbewertung nicht vorgesehen war und die Konformität beeinträchtigt oder die Zweckbestimmung ändert.</w:t>
      </w:r>
      <w:r>
        <w:t xml:space="preserve"> </w:t>
      </w:r>
      <w:r>
        <w:rPr>
          <w:iCs/>
          <w:i/>
        </w:rPr>
        <w:t xml:space="preserve">(Art. 3 Nr. 23 KI-VO)</w:t>
      </w:r>
    </w:p>
    <w:p>
      <w:pPr>
        <w:pStyle w:val="BodyText"/>
      </w:pPr>
      <w:r>
        <w:rPr>
          <w:bCs/>
          <w:b/>
        </w:rPr>
        <w:t xml:space="preserve">Zweckbestimmung</w:t>
      </w:r>
      <w:r>
        <w:t xml:space="preserve"> </w:t>
      </w:r>
      <w:r>
        <w:t xml:space="preserve">— Die vom Anbieter vorgesehene Verwendung eines KI-Systems.</w:t>
      </w:r>
      <w:r>
        <w:t xml:space="preserve"> </w:t>
      </w:r>
      <w:r>
        <w:rPr>
          <w:iCs/>
          <w:i/>
        </w:rPr>
        <w:t xml:space="preserve">(Art. 3 Nr. 12 KI-VO)</w:t>
      </w:r>
    </w:p>
    <w:p>
      <w:r>
        <w:pict>
          <v:rect style="width:0;height:1.5pt" o:hralign="center" o:hrstd="t" o:hr="t"/>
        </w:pict>
      </w:r>
    </w:p>
    <w:bookmarkEnd w:id="66"/>
    <w:bookmarkStart w:id="67" w:name="wie-sie-jetzt-vorgehen"/>
    <w:p>
      <w:pPr>
        <w:pStyle w:val="Heading1"/>
      </w:pPr>
      <w:r>
        <w:t xml:space="preserve">12. Wie Sie jetzt vorgehen</w:t>
      </w:r>
    </w:p>
    <w:p>
      <w:pPr>
        <w:pStyle w:val="FirstParagraph"/>
      </w:pPr>
      <w:r>
        <w:t xml:space="preserve">Ein pragmatischer Einstieg in fünf Schritten:</w:t>
      </w:r>
    </w:p>
    <w:p>
      <w:pPr>
        <w:pStyle w:val="BodyText"/>
      </w:pPr>
      <w:r>
        <w:rPr>
          <w:bCs/>
          <w:b/>
        </w:rPr>
        <w:t xml:space="preserve">Schritt 1 — Inventar erstellen.</w:t>
      </w:r>
      <w:r>
        <w:t xml:space="preserve"> </w:t>
      </w:r>
      <w:r>
        <w:t xml:space="preserve">Erfassen Sie alle KI-Systeme, die in Ihrem Unternehmen im Einsatz sind oder eingeführt werden sollen. Auch eingebettete KI in eingekaufter Software zählt.</w:t>
      </w:r>
    </w:p>
    <w:p>
      <w:pPr>
        <w:pStyle w:val="BodyText"/>
      </w:pPr>
      <w:r>
        <w:rPr>
          <w:bCs/>
          <w:b/>
        </w:rPr>
        <w:t xml:space="preserve">Schritt 2 — Rolle bestimmen.</w:t>
      </w:r>
      <w:r>
        <w:t xml:space="preserve"> </w:t>
      </w:r>
      <w:r>
        <w:t xml:space="preserve">Klären Sie für jedes System, ob Sie Betreiber oder Anbieter sind. Prüfen Sie besonders die drei Auslöser des Rollenwechsels nach Art. 25.</w:t>
      </w:r>
    </w:p>
    <w:p>
      <w:pPr>
        <w:pStyle w:val="BodyText"/>
      </w:pPr>
      <w:r>
        <w:rPr>
          <w:bCs/>
          <w:b/>
        </w:rPr>
        <w:t xml:space="preserve">Schritt 3 — Risiko einstufen.</w:t>
      </w:r>
      <w:r>
        <w:t xml:space="preserve"> </w:t>
      </w:r>
      <w:r>
        <w:t xml:space="preserve">Prüfen Sie in dieser Reihenfolge: verboten (Art. 5) → hochriskant (Art. 6 mit Anhängen I und III) → transparenzpflichtig (Art. 50) → geringes Risiko. Wenn Sie sich auf den Ausnahmefilter des Art. 6 Abs. 3 berufen, dokumentieren Sie die Bewertung</w:t>
      </w:r>
      <w:r>
        <w:t xml:space="preserve"> </w:t>
      </w:r>
      <w:r>
        <w:rPr>
          <w:bCs/>
          <w:b/>
        </w:rPr>
        <w:t xml:space="preserve">vorher</w:t>
      </w:r>
      <w:r>
        <w:t xml:space="preserve">.</w:t>
      </w:r>
    </w:p>
    <w:p>
      <w:pPr>
        <w:pStyle w:val="BodyText"/>
      </w:pPr>
      <w:r>
        <w:rPr>
          <w:bCs/>
          <w:b/>
        </w:rPr>
        <w:t xml:space="preserve">Schritt 4 — Pflichten ableiten und terminieren.</w:t>
      </w:r>
      <w:r>
        <w:t xml:space="preserve"> </w:t>
      </w:r>
      <w:r>
        <w:t xml:space="preserve">Ordnen Sie jedem System die anwendbaren Pflichten und das jeweilige Fristdatum zu. Nutzen Sie dafür die Checklisten und die Excel-Arbeitshilfe aus diesem Dokumentenpaket.</w:t>
      </w:r>
    </w:p>
    <w:p>
      <w:pPr>
        <w:pStyle w:val="BodyText"/>
      </w:pPr>
      <w:r>
        <w:rPr>
          <w:bCs/>
          <w:b/>
        </w:rPr>
        <w:t xml:space="preserve">Schritt 5 — Nachweise aufbauen.</w:t>
      </w:r>
      <w:r>
        <w:t xml:space="preserve"> </w:t>
      </w:r>
      <w:r>
        <w:t xml:space="preserve">Was Sie nicht dokumentieren, können Sie im Prüffall nicht belegen. Legen Sie von Anfang an fest, wo Bewertungen, Schulungsnachweise, Protokolle und Verträge abgelegt werden.</w:t>
      </w:r>
    </w:p>
    <w:p>
      <w:r>
        <w:pict>
          <v:rect style="width:0;height:1.5pt" o:hralign="center" o:hrstd="t" o:hr="t"/>
        </w:pict>
      </w:r>
    </w:p>
    <w:bookmarkEnd w:id="67"/>
    <w:bookmarkStart w:id="69" w:name="quellen"/>
    <w:p>
      <w:pPr>
        <w:pStyle w:val="Heading1"/>
      </w:pPr>
      <w:r>
        <w:t xml:space="preserve">Quellen</w:t>
      </w:r>
    </w:p>
    <w:p>
      <w:pPr>
        <w:pStyle w:val="FirstParagraph"/>
      </w:pPr>
      <w:r>
        <w:t xml:space="preserve">Die vollständige Liste aller verwendeten Quellen mit Abrufdaten, Prüfstatus und Prüfdatum finden Sie im</w:t>
      </w:r>
      <w:r>
        <w:t xml:space="preserve"> </w:t>
      </w:r>
      <w:r>
        <w:rPr>
          <w:bCs/>
          <w:b/>
        </w:rPr>
        <w:t xml:space="preserve">Quellenregister</w:t>
      </w:r>
      <w:r>
        <w:t xml:space="preserve"> </w:t>
      </w:r>
      <w:r>
        <w:t xml:space="preserve">dieses Dokumentenpakets — Datei</w:t>
      </w:r>
      <w:r>
        <w:t xml:space="preserve"> </w:t>
      </w:r>
      <w:r>
        <w:rPr>
          <w:rStyle w:val="VerbatimChar"/>
        </w:rPr>
        <w:t xml:space="preserve">QUELLEN.md</w:t>
      </w:r>
      <w:r>
        <w:t xml:space="preserve"> </w:t>
      </w:r>
      <w:r>
        <w:t xml:space="preserve">(Veröffentlichungs-Repository) bzw.</w:t>
      </w:r>
      <w:r>
        <w:t xml:space="preserve"> </w:t>
      </w:r>
      <w:r>
        <w:rPr>
          <w:rStyle w:val="VerbatimChar"/>
        </w:rPr>
        <w:t xml:space="preserve">sources/Quellenregister.md</w:t>
      </w:r>
      <w:r>
        <w:t xml:space="preserve"> </w:t>
      </w:r>
      <w:r>
        <w:t xml:space="preserve">(Entwicklungs-Repository):</w:t>
      </w:r>
      <w:r>
        <w:t xml:space="preserve"> </w:t>
      </w:r>
      <w:hyperlink r:id="rId68">
        <w:r>
          <w:rPr>
            <w:rStyle w:val="Hyperlink"/>
          </w:rPr>
          <w:t xml:space="preserve">https://github.com/thomas-lauer/eu-ai-act/blob/main/QUELLEN.md</w:t>
        </w:r>
      </w:hyperlink>
    </w:p>
    <w:p>
      <w:pPr>
        <w:pStyle w:val="BodyText"/>
      </w:pPr>
      <w:r>
        <w:rPr>
          <w:bCs/>
          <w:b/>
        </w:rPr>
        <w:t xml:space="preserve">Zum Belegumfang:</w:t>
      </w:r>
      <w:r>
        <w:t xml:space="preserve"> </w:t>
      </w:r>
      <w:r>
        <w:t xml:space="preserve">Die wesentlichen rechtlichen Aussagen dieses Dokuments sind mit einer Fundstelle im amtlichen Text versehen. Organisatorische Empfehlungen, Beispiele und vereinfachende Erläuterungen beruhen dagegen auf der praktischen Einschätzung des Bearbeiters; sie sind als solche formuliert und tragen bewusst keine Fundstelle. Wo eine Angabe nicht abschließend verifiziert werden konnte, ist das ausdrücklich vermerkt.</w:t>
      </w:r>
    </w:p>
    <w:p>
      <w:pPr>
        <w:pStyle w:val="BodyText"/>
      </w:pPr>
      <w:r>
        <w:rPr>
          <w:bCs/>
          <w:b/>
        </w:rPr>
        <w:t xml:space="preserve">Primärquellen:</w:t>
      </w:r>
    </w:p>
    <w:p>
      <w:pPr>
        <w:numPr>
          <w:ilvl w:val="0"/>
          <w:numId w:val="1019"/>
        </w:numPr>
        <w:pStyle w:val="Compact"/>
      </w:pPr>
      <w:r>
        <w:t xml:space="preserve">Verordnung (EU) 2024/1689 des Europäischen Parlaments und des Rates vom 13. Juni 2024 (KI-Verordnung), ABl. L, 2024/1689, 12.7.2024. CELEX 32024R1689.</w:t>
      </w:r>
    </w:p>
    <w:p>
      <w:pPr>
        <w:numPr>
          <w:ilvl w:val="0"/>
          <w:numId w:val="1019"/>
        </w:numPr>
        <w:pStyle w:val="Compact"/>
      </w:pPr>
      <w:r>
        <w:t xml:space="preserve">Verordnung (EU) 2026/1744 des Europäischen Parlaments und des Rates vom 8. Juli 2026 (Digital-Omnibus-Verordnung zur KI), ABl. 24.7.2026, in Kraft seit 27.7.2026. CELEX 32026R1744.</w:t>
      </w:r>
    </w:p>
    <w:p>
      <w:pPr>
        <w:numPr>
          <w:ilvl w:val="0"/>
          <w:numId w:val="1019"/>
        </w:numPr>
        <w:pStyle w:val="Compact"/>
      </w:pPr>
      <w:r>
        <w:t xml:space="preserve">Empfehlung (EU) 2025/1099 (Definition kleiner Unternehmen mit mittlerer Kapitalisierung).</w:t>
      </w:r>
    </w:p>
    <w:p>
      <w:pPr>
        <w:numPr>
          <w:ilvl w:val="0"/>
          <w:numId w:val="1019"/>
        </w:numPr>
        <w:pStyle w:val="Compact"/>
      </w:pPr>
      <w:r>
        <w:t xml:space="preserve">Empfehlung 2003/361/EG (KMU-Definition).</w:t>
      </w:r>
    </w:p>
    <w:p>
      <w:pPr>
        <w:pStyle w:val="FirstParagraph"/>
      </w:pPr>
      <w:r>
        <w:rPr>
          <w:bCs/>
          <w:b/>
        </w:rPr>
        <w:t xml:space="preserve">Vom Auftraggeber benannte Quellen:</w:t>
      </w:r>
    </w:p>
    <w:p>
      <w:pPr>
        <w:numPr>
          <w:ilvl w:val="0"/>
          <w:numId w:val="1020"/>
        </w:numPr>
        <w:pStyle w:val="Compact"/>
      </w:pPr>
      <w:r>
        <w:t xml:space="preserve">AI Act Explorer, https://artificialintelligenceact.eu/de/ — Hinweis: Die deutschen Seiten sind nach eigenem Hinweis maschinell übersetzt; die Implementation Timeline war zum Abrufzeitpunkt auf dem Stand 01.08.2024 und bildet den Digital Omnibus nicht ab.</w:t>
      </w:r>
    </w:p>
    <w:p>
      <w:pPr>
        <w:numPr>
          <w:ilvl w:val="0"/>
          <w:numId w:val="1020"/>
        </w:numPr>
        <w:pStyle w:val="Compact"/>
      </w:pPr>
      <w:r>
        <w:t xml:space="preserve">https://ai-act-law.eu/de/ — gibt den amtlichen deutschen Wortlaut der KI-Verordnung in der Fassung von 2024 wieder; der Digital Omnibus ist dort nicht eingearbeitet.</w:t>
      </w:r>
    </w:p>
    <w:p>
      <w:pPr>
        <w:pStyle w:val="FirstParagraph"/>
      </w:pPr>
      <w:r>
        <w:rPr>
          <w:bCs/>
          <w:b/>
        </w:rPr>
        <w:t xml:space="preserve">Verfahrensgang:</w:t>
      </w:r>
    </w:p>
    <w:p>
      <w:pPr>
        <w:numPr>
          <w:ilvl w:val="0"/>
          <w:numId w:val="1021"/>
        </w:numPr>
        <w:pStyle w:val="Compact"/>
      </w:pPr>
      <w:r>
        <w:t xml:space="preserve">Rat der EU, Pressemitteilung vom 29.06.2026.</w:t>
      </w:r>
    </w:p>
    <w:p>
      <w:pPr>
        <w:numPr>
          <w:ilvl w:val="0"/>
          <w:numId w:val="1021"/>
        </w:numPr>
        <w:pStyle w:val="Compact"/>
      </w:pPr>
      <w:r>
        <w:t xml:space="preserve">Europäisches Parlament, Legislative Train Schedule,</w:t>
      </w:r>
      <w:r>
        <w:t xml:space="preserve"> </w:t>
      </w:r>
      <w:r>
        <w:t xml:space="preserve">“</w:t>
      </w:r>
      <w:r>
        <w:t xml:space="preserve">Digital Omnibus on AI</w:t>
      </w:r>
      <w:r>
        <w:t xml:space="preserve">”</w:t>
      </w:r>
      <w:r>
        <w:t xml:space="preserve">.</w:t>
      </w:r>
    </w:p>
    <w:p>
      <w:r>
        <w:pict>
          <v:rect style="width:0;height:1.5pt" o:hralign="center" o:hrstd="t" o:hr="t"/>
        </w:pict>
      </w:r>
    </w:p>
    <w:p>
      <w:pPr>
        <w:pStyle w:val="FirstParagraph"/>
      </w:pPr>
      <w:r>
        <w:rPr>
          <w:iCs/>
          <w:i/>
        </w:rPr>
        <w:t xml:space="preserve">Fassung 1.1 · Erstellt am 29.07.2026 · Rechtsstand: 29.07.2026</w:t>
      </w:r>
      <w:r>
        <w:t xml:space="preserve"> </w:t>
      </w:r>
      <w:r>
        <w:rPr>
          <w:iCs/>
          <w:i/>
        </w:rPr>
        <w:t xml:space="preserve">Dieses Dokument ersetzt keine Rechtsberatung im Einzelfall. Nutzung unter CC BY 4.0 — bei Weitergabe bitte Rechtsstand und vorgenommene Änderungen kennzeichnen.</w:t>
      </w:r>
    </w:p>
    <w:bookmarkEnd w:id="69"/>
    <w:sectPr>
      <w:pgSz w:w="11906" w:h="16838"/>
      <w:pgMar w:top="1134" w:right="1134" w:bottom="1134" w:left="1134" w:header="567" w:footer="567" w:gutter="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de-D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color w:val="1F3864"/>
      <w:sz w:val="44"/>
      <w:szCs w:val="44"/>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color w:val="44546A"/>
      <w:sz w:val="28"/>
      <w:szCs w:val="28"/>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color w:val="1F3864"/>
      <w:sz w:val="32"/>
      <w:szCs w:val="32"/>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color w:val="2E5496"/>
      <w:sz w:val="26"/>
      <w:szCs w:val="26"/>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color w:val="2E5496"/>
      <w:sz w:val="22"/>
      <w:szCs w:val="22"/>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color w:val="44546A"/>
      <w:sz w:val="21"/>
      <w:szCs w:val="21"/>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pBdr>
        <w:left w:color="2E5496" w:space="8" w:sz="18" w:val="single"/>
      </w:pBdr>
      <w:shd w:color="auto" w:fill="F2F5FA" w:val="clear"/>
      <w:spacing w:after="120" w:before="120"/>
      <w:ind w:left="200" w:right="120"/>
      <w:spacing w:after="100" w:before="100"/>
      <w:ind w:firstLine="0" w:left="480" w:right="480"/>
    </w:pPr>
    <w:rPr>
      <w:sz w:val="19"/>
      <w:szCs w:val="19"/>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A6A6A6" w:space="0" w:sz="4" w:val="single"/>
        <w:left w:color="A6A6A6" w:space="0" w:sz="4" w:val="single"/>
        <w:bottom w:color="A6A6A6" w:space="0" w:sz="4" w:val="single"/>
        <w:right w:color="A6A6A6" w:space="0" w:sz="4" w:val="single"/>
        <w:insideH w:color="D0D0D0" w:space="0" w:sz="4" w:val="single"/>
        <w:insideV w:color="D0D0D0" w:space="0" w:sz="4" w:val="single"/>
      </w:tblBorders>
      <w:tblCellMar>
        <w:top w:type="dxa" w:w="60"/>
        <w:left w:type="dxa" w:w="90"/>
        <w:bottom w:type="dxa" w:w="60"/>
        <w:right w:type="dxa" w:w="90"/>
      </w:tblCellMar>
    </w:tblPr>
    <w:tblStylePr w:type="firstRow">
      <w:tblPr>
        <w:tblBorders>
          <w:top w:color="A6A6A6" w:space="0" w:sz="4" w:val="single"/>
          <w:left w:color="A6A6A6" w:space="0" w:sz="4" w:val="single"/>
          <w:bottom w:color="A6A6A6" w:space="0" w:sz="4" w:val="single"/>
          <w:right w:color="A6A6A6" w:space="0" w:sz="4" w:val="single"/>
          <w:insideH w:color="D0D0D0" w:space="0" w:sz="4" w:val="single"/>
          <w:insideV w:color="D0D0D0" w:space="0" w:sz="4" w:val="single"/>
        </w:tblBorders>
        <w:tblCellMar>
          <w:top w:type="dxa" w:w="60"/>
          <w:left w:type="dxa" w:w="90"/>
          <w:bottom w:type="dxa" w:w="60"/>
          <w:right w:type="dxa" w:w="90"/>
        </w:tblCellMar>
      </w:tblPr>
      <w:trPr>
        <w:jc w:val="left"/>
      </w:trPr>
      <w:tcPr>
        <w:vAlign w:val="bottom"/>
        <w:tcBorders>
          <w:bottom w:val="single"/>
        </w:tcBorders>
      </w:tcPr>
    </w:tblStylePr>
    <w:rPr>
      <w:sz w:val="18"/>
      <w:szCs w:val="18"/>
    </w:r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8" Target="https://github.com/thomas-lauer/eu-ai-act/blob/main/QUELLEN.md" TargetMode="External" /></Relationships>
</file>

<file path=word/_rels/footnotes.xml.rels><?xml version="1.0" encoding="UTF-8"?><Relationships xmlns="http://schemas.openxmlformats.org/package/2006/relationships"><Relationship Type="http://schemas.openxmlformats.org/officeDocument/2006/relationships/hyperlink" Id="rId68" Target="https://github.com/thomas-lauer/eu-ai-act/blob/main/QUELLEN.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2026-07-29T11:46:07Z</dcterms:created>
  <dcterms:modified xsi:type="dcterms:W3CDTF">2026-07-29T11:46:07Z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Inhaltsverzeichnis</vt:lpwstr>
  </property>
</Properties>
</file>