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3" w:name="geplante-änderungen-digitaler-omnibus"/>
    <w:p>
      <w:pPr>
        <w:pStyle w:val="Heading1"/>
      </w:pPr>
      <w:r>
        <w:t xml:space="preserve">Geplante Änderungen — Digitaler Omnibus</w:t>
      </w:r>
    </w:p>
    <w:bookmarkStart w:id="20" w:name="X6ed871f663d5377c3a1d48aff689573c9a5b51b"/>
    <w:p>
      <w:pPr>
        <w:pStyle w:val="Heading2"/>
      </w:pPr>
      <w:r>
        <w:t xml:space="preserve">Was noch aussteht, was noch kommt und was davon heute schon zählt</w:t>
      </w:r>
    </w:p>
    <w:p>
      <w:pPr>
        <w:pStyle w:val="FirstParagraph"/>
      </w:pPr>
      <w:r>
        <w:rPr>
          <w:bCs/>
          <w:b/>
        </w:rPr>
        <w:t xml:space="preserve">Rechtsstand: 29.07.2026 · Fassung 1.0 (Teil des Dokumentenpakets Fassung 1.2)</w:t>
      </w:r>
      <w:r>
        <w:t xml:space="preserve"> </w:t>
      </w:r>
      <w:r>
        <w:t xml:space="preserve">Ergänzt die Dokumente „Der EU AI Act — verständlich erklärt” und „Checklisten zur Umsetzung”.</w:t>
      </w:r>
    </w:p>
    <w:p>
      <w:r>
        <w:pict>
          <v:rect style="width:0;height:1.5pt" o:hralign="center" o:hrstd="t" o:hr="t"/>
        </w:pict>
      </w:r>
    </w:p>
    <w:bookmarkEnd w:id="20"/>
    <w:bookmarkStart w:id="21" w:name="wichtiger-hinweis-bitte-zuerst-lesen"/>
    <w:p>
      <w:pPr>
        <w:pStyle w:val="Heading2"/>
      </w:pPr>
      <w:r>
        <w:t xml:space="preserve">Wichtiger Hinweis — bitte zuerst lesen</w:t>
      </w:r>
    </w:p>
    <w:p>
      <w:pPr>
        <w:pStyle w:val="FirstParagraph"/>
      </w:pPr>
      <w:r>
        <w:t xml:space="preserve">Dieses Dokument beschreibt</w:t>
      </w:r>
      <w:r>
        <w:t xml:space="preserve"> </w:t>
      </w:r>
      <w:r>
        <w:rPr>
          <w:bCs/>
          <w:b/>
        </w:rPr>
        <w:t xml:space="preserve">Vorhaben, keine geltende Rechtslage.</w:t>
      </w:r>
    </w:p>
    <w:p>
      <w:pPr>
        <w:pStyle w:val="BodyText"/>
      </w:pPr>
      <w:r>
        <w:t xml:space="preserve">Der weitaus größte Teil dessen, was hier steht, ist ein</w:t>
      </w:r>
      <w:r>
        <w:t xml:space="preserve"> </w:t>
      </w:r>
      <w:r>
        <w:rPr>
          <w:bCs/>
          <w:b/>
        </w:rPr>
        <w:t xml:space="preserve">Gesetzgebungsvorschlag der Europäischen Kommission</w:t>
      </w:r>
      <w:r>
        <w:t xml:space="preserve">, über den das Europäische Parlament und der Rat noch verhandeln. Vorschläge werden im Verfahren regelmäßig verändert, gekürzt, verschoben oder fallengelassen. Der KI-Teil des Digitalpakets ist dafür das beste Beispiel: Mehrere zentrale Vorschläge der Kommission wurden vom Gesetzgeber</w:t>
      </w:r>
      <w:r>
        <w:t xml:space="preserve"> </w:t>
      </w:r>
      <w:r>
        <w:rPr>
          <w:bCs/>
          <w:b/>
        </w:rPr>
        <w:t xml:space="preserve">nicht übernommen</w:t>
      </w:r>
      <w:r>
        <w:t xml:space="preserve"> </w:t>
      </w:r>
      <w:r>
        <w:t xml:space="preserve">— der „Stop-the-clock”-Mechanismus für die Hochrisiko-Fristen, die vollständige Entkernung der KI-Kompetenz-Pflicht und die Streichung der Registrierungspflicht nach Art. 49 Abs. 2.</w:t>
      </w:r>
    </w:p>
    <w:p>
      <w:pPr>
        <w:pStyle w:val="BodyText"/>
      </w:pPr>
      <w:r>
        <w:rPr>
          <w:bCs/>
          <w:b/>
        </w:rPr>
        <w:t xml:space="preserve">Was Sie mit diesem Dokument tun sollten:</w:t>
      </w:r>
      <w:r>
        <w:t xml:space="preserve"> </w:t>
      </w:r>
      <w:r>
        <w:t xml:space="preserve">Beobachten, planen, Verträge und Projekte darauf einstellen, dass sich etwas ändern kann.</w:t>
      </w:r>
    </w:p>
    <w:p>
      <w:pPr>
        <w:pStyle w:val="BodyText"/>
      </w:pPr>
      <w:r>
        <w:rPr>
          <w:bCs/>
          <w:b/>
        </w:rPr>
        <w:t xml:space="preserve">Was Sie damit nicht tun sollten:</w:t>
      </w:r>
      <w:r>
        <w:t xml:space="preserve"> </w:t>
      </w:r>
      <w:r>
        <w:t xml:space="preserve">Eine Pflicht, die heute gilt, unter Berufung auf eine geplante Erleichterung nicht erfüllen. Solange ein Vorschlag nicht im Amtsblatt steht, gilt das bestehende Recht — vollständig.</w:t>
      </w:r>
    </w:p>
    <w:p>
      <w:pPr>
        <w:pStyle w:val="BodyText"/>
      </w:pPr>
      <w:r>
        <w:t xml:space="preserve">Jede Angabe zum Verfahrensstand ist mit Datum versehen. Der Stand ist der 29.07.2026.</w:t>
      </w:r>
    </w:p>
    <w:p>
      <w:r>
        <w:pict>
          <v:rect style="width:0;height:1.5pt" o:hralign="center" o:hrstd="t" o:hr="t"/>
        </w:pict>
      </w:r>
    </w:p>
    <w:bookmarkEnd w:id="21"/>
    <w:bookmarkStart w:id="22" w:name="wie-sie-dieses-dokument-lesen"/>
    <w:p>
      <w:pPr>
        <w:pStyle w:val="Heading2"/>
      </w:pPr>
      <w:r>
        <w:t xml:space="preserve">Wie Sie dieses Dokument lesen</w:t>
      </w:r>
    </w:p>
    <w:p>
      <w:pPr>
        <w:pStyle w:val="FirstParagraph"/>
      </w:pPr>
      <w:r>
        <w:t xml:space="preserve">Es hat denselben zweistufigen Aufbau wie die übrigen Dokumente des Pakets: Haupttext in einfacher Sprache, die Fundstelle direkt darunter.</w:t>
      </w:r>
    </w:p>
    <w:p>
      <w:pPr>
        <w:pStyle w:val="BodyText"/>
      </w:pPr>
      <w:r>
        <w:t xml:space="preserve">Zusätzlich ist jede Angabe mit einer</w:t>
      </w:r>
      <w:r>
        <w:t xml:space="preserve"> </w:t>
      </w:r>
      <w:r>
        <w:rPr>
          <w:bCs/>
          <w:b/>
        </w:rPr>
        <w:t xml:space="preserve">Belastbarkeitsstufe</w:t>
      </w:r>
      <w:r>
        <w:t xml:space="preserve"> </w:t>
      </w:r>
      <w:r>
        <w:t xml:space="preserve">gekennzeichnet:</w:t>
      </w:r>
    </w:p>
    <w:tbl>
      <w:tblPr>
        <w:tblStyle w:val="Table"/>
        <w:tblW w:w="9638" w:type="dxa"/>
        <w:tblLayout w:type="fixed"/>
        <w:tblLook w:firstRow="1" w:lastRow="0" w:firstColumn="0" w:lastColumn="0" w:noHBand="0" w:noVBand="0" w:val="0020"/>
        <w:jc w:val="start"/>
      </w:tblPr>
      <w:tblGrid>
        <w:gridCol w:w="4819"/>
        <w:gridCol w:w="4819"/>
      </w:tblGrid>
      <w:tr>
        <w:trPr>
          <w:tblHeader/>
          <w:cantSplit/>
          <w:tblHeader w:val="true"/>
        </w:trPr>
        <w:tc>
          <w:tcPr>
            <w:shd w:val="clear" w:color="auto" w:fill="DCE4F2"/>
            <w:tcW w:w="4819" w:type="dxa"/>
          </w:tcPr>
          <w:tcPr/>
          <w:p>
            <w:pPr>
              <w:pStyle w:val="Compact"/>
              <w:jc w:val="left"/>
            </w:pPr>
            <w:r>
              <w:t xml:space="preserve">Stufe</w:t>
            </w:r>
          </w:p>
        </w:tc>
        <w:tc>
          <w:tcPr>
            <w:shd w:val="clear" w:color="auto" w:fill="DCE4F2"/>
            <w:tcW w:w="4819" w:type="dxa"/>
          </w:tcPr>
          <w:tcPr/>
          <w:p>
            <w:pPr>
              <w:pStyle w:val="Compact"/>
              <w:jc w:val="left"/>
            </w:pPr>
            <w:r>
              <w:t xml:space="preserve">Bedeutung</w:t>
            </w:r>
          </w:p>
        </w:tc>
      </w:tr>
      <w:tr>
        <w:tc>
          <w:tcPr>
            <w:tcW w:w="4819" w:type="dxa"/>
          </w:tcPr>
          <w:tcPr/>
          <w:p>
            <w:pPr>
              <w:pStyle w:val="Compact"/>
              <w:jc w:val="left"/>
            </w:pPr>
            <w:r>
              <w:rPr>
                <w:bCs/>
                <w:b/>
              </w:rPr>
              <w:t xml:space="preserve">[geltendes Recht]</w:t>
            </w:r>
          </w:p>
        </w:tc>
        <w:tc>
          <w:tcPr>
            <w:tcW w:w="4819" w:type="dxa"/>
          </w:tcPr>
          <w:tcPr/>
          <w:p>
            <w:pPr>
              <w:pStyle w:val="Compact"/>
              <w:jc w:val="left"/>
            </w:pPr>
            <w:r>
              <w:t xml:space="preserve">Steht im Amtsblatt und ist anwendbar oder hat ein festes Anwendungsdatum.</w:t>
            </w:r>
          </w:p>
        </w:tc>
      </w:tr>
      <w:tr>
        <w:tc>
          <w:tcPr>
            <w:tcW w:w="4819" w:type="dxa"/>
          </w:tcPr>
          <w:tcPr/>
          <w:p>
            <w:pPr>
              <w:pStyle w:val="Compact"/>
              <w:jc w:val="left"/>
            </w:pPr>
            <w:r>
              <w:rPr>
                <w:bCs/>
                <w:b/>
              </w:rPr>
              <w:t xml:space="preserve">[verbindlich vorgesehen]</w:t>
            </w:r>
          </w:p>
        </w:tc>
        <w:tc>
          <w:tcPr>
            <w:tcW w:w="4819" w:type="dxa"/>
          </w:tcPr>
          <w:tcPr/>
          <w:p>
            <w:pPr>
              <w:pStyle w:val="Compact"/>
              <w:jc w:val="left"/>
            </w:pPr>
            <w:r>
              <w:t xml:space="preserve">Eine geltende Vorschrift verpflichtet die Kommission, etwas bis zu einem Datum vorzulegen. Ob und wann sie liefert, ist offen; die Pflicht selbst steht fest.</w:t>
            </w:r>
          </w:p>
        </w:tc>
      </w:tr>
      <w:tr>
        <w:tc>
          <w:tcPr>
            <w:tcW w:w="4819" w:type="dxa"/>
          </w:tcPr>
          <w:tcPr/>
          <w:p>
            <w:pPr>
              <w:pStyle w:val="Compact"/>
              <w:jc w:val="left"/>
            </w:pPr>
            <w:r>
              <w:rPr>
                <w:bCs/>
                <w:b/>
              </w:rPr>
              <w:t xml:space="preserve">[Vorschlag]</w:t>
            </w:r>
          </w:p>
        </w:tc>
        <w:tc>
          <w:tcPr>
            <w:tcW w:w="4819" w:type="dxa"/>
          </w:tcPr>
          <w:tcPr/>
          <w:p>
            <w:pPr>
              <w:pStyle w:val="Compact"/>
              <w:jc w:val="left"/>
            </w:pPr>
            <w:r>
              <w:t xml:space="preserve">Steht bisher nur in einem Kommissionsvorschlag. Kann sich vollständig ändern oder entfallen.</w:t>
            </w:r>
          </w:p>
        </w:tc>
      </w:tr>
      <w:tr>
        <w:tc>
          <w:tcPr>
            <w:tcW w:w="4819" w:type="dxa"/>
          </w:tcPr>
          <w:tcPr/>
          <w:p>
            <w:pPr>
              <w:pStyle w:val="Compact"/>
              <w:jc w:val="left"/>
            </w:pPr>
            <w:r>
              <w:rPr>
                <w:bCs/>
                <w:b/>
              </w:rPr>
              <w:t xml:space="preserve">[Verfahrensstand]</w:t>
            </w:r>
          </w:p>
        </w:tc>
        <w:tc>
          <w:tcPr>
            <w:tcW w:w="4819" w:type="dxa"/>
          </w:tcPr>
          <w:tcPr/>
          <w:p>
            <w:pPr>
              <w:pStyle w:val="Compact"/>
              <w:jc w:val="left"/>
            </w:pPr>
            <w:r>
              <w:t xml:space="preserve">Beobachtung zum Ablauf des Gesetzgebungsverfahrens, überwiegend aus Sekundärquellen. Kein Rechtssatz.</w:t>
            </w:r>
          </w:p>
        </w:tc>
      </w:tr>
    </w:tbl>
    <w:p>
      <w:r>
        <w:pict>
          <v:rect style="width:0;height:1.5pt" o:hralign="center" o:hrstd="t" o:hr="t"/>
        </w:pict>
      </w:r>
    </w:p>
    <w:bookmarkEnd w:id="22"/>
    <w:bookmarkEnd w:id="23"/>
    <w:bookmarkStart w:id="24" w:name="X22eb2fad606d8a7a57e0893845f5004729127d8"/>
    <w:p>
      <w:pPr>
        <w:pStyle w:val="Heading1"/>
      </w:pPr>
      <w:r>
        <w:t xml:space="preserve">1. Das Digitalpaket vom 19.11.2025 — was dazugehört</w:t>
      </w:r>
    </w:p>
    <w:p>
      <w:pPr>
        <w:pStyle w:val="FirstParagraph"/>
      </w:pPr>
      <w:r>
        <w:t xml:space="preserve">Die Kommission hat am 19.11.2025 ein Paket vorgelegt, das umgangssprachlich „Digitaler Omnibus” heißt. Es besteht aus</w:t>
      </w:r>
      <w:r>
        <w:t xml:space="preserve"> </w:t>
      </w:r>
      <w:r>
        <w:rPr>
          <w:bCs/>
          <w:b/>
        </w:rPr>
        <w:t xml:space="preserve">drei Verordnungsvorschlägen</w:t>
      </w:r>
      <w:r>
        <w:t xml:space="preserve"> </w:t>
      </w:r>
      <w:r>
        <w:t xml:space="preserve">und mehreren flankierenden Dokumenten.</w:t>
      </w:r>
    </w:p>
    <w:tbl>
      <w:tblPr>
        <w:tblStyle w:val="Table"/>
        <w:tblW w:w="9638" w:type="dxa"/>
        <w:tblLayout w:type="fixed"/>
        <w:tblLook w:firstRow="1" w:lastRow="0" w:firstColumn="0" w:lastColumn="0" w:noHBand="0" w:noVBand="0" w:val="0020"/>
        <w:jc w:val="start"/>
      </w:tblPr>
      <w:tblGrid>
        <w:gridCol w:w="3540"/>
        <w:gridCol w:w="3031"/>
        <w:gridCol w:w="3067"/>
      </w:tblGrid>
      <w:tr>
        <w:trPr>
          <w:tblHeader/>
          <w:cantSplit/>
          <w:tblHeader w:val="true"/>
        </w:trPr>
        <w:tc>
          <w:tcPr>
            <w:shd w:val="clear" w:color="auto" w:fill="DCE4F2"/>
            <w:tcW w:w="3540" w:type="dxa"/>
          </w:tcPr>
          <w:tcPr/>
          <w:p>
            <w:pPr>
              <w:pStyle w:val="Compact"/>
              <w:jc w:val="left"/>
            </w:pPr>
            <w:r>
              <w:t xml:space="preserve">Bestandteil</w:t>
            </w:r>
          </w:p>
        </w:tc>
        <w:tc>
          <w:tcPr>
            <w:shd w:val="clear" w:color="auto" w:fill="DCE4F2"/>
            <w:tcW w:w="3031" w:type="dxa"/>
          </w:tcPr>
          <w:tcPr/>
          <w:p>
            <w:pPr>
              <w:pStyle w:val="Compact"/>
              <w:jc w:val="left"/>
            </w:pPr>
            <w:r>
              <w:t xml:space="preserve">Gegenstand</w:t>
            </w:r>
          </w:p>
        </w:tc>
        <w:tc>
          <w:tcPr>
            <w:shd w:val="clear" w:color="auto" w:fill="DCE4F2"/>
            <w:tcW w:w="3067" w:type="dxa"/>
          </w:tcPr>
          <w:tcPr/>
          <w:p>
            <w:pPr>
              <w:pStyle w:val="Compact"/>
              <w:jc w:val="left"/>
            </w:pPr>
            <w:r>
              <w:t xml:space="preserve">Stand am 29.07.2026</w:t>
            </w:r>
          </w:p>
        </w:tc>
      </w:tr>
      <w:tr>
        <w:tc>
          <w:tcPr>
            <w:tcW w:w="3540" w:type="dxa"/>
          </w:tcPr>
          <w:tcPr/>
          <w:p>
            <w:pPr>
              <w:pStyle w:val="Compact"/>
              <w:jc w:val="left"/>
            </w:pPr>
            <w:r>
              <w:rPr>
                <w:bCs/>
                <w:b/>
              </w:rPr>
              <w:t xml:space="preserve">Digital-Omnibus-Verordnung zur KI</w:t>
            </w:r>
            <w:r>
              <w:t xml:space="preserve">, COM(2025) 836 final, Verfahren 2025/0359(COD)</w:t>
            </w:r>
          </w:p>
        </w:tc>
        <w:tc>
          <w:tcPr>
            <w:tcW w:w="3031" w:type="dxa"/>
          </w:tcPr>
          <w:tcPr/>
          <w:p>
            <w:pPr>
              <w:pStyle w:val="Compact"/>
              <w:jc w:val="left"/>
            </w:pPr>
            <w:r>
              <w:t xml:space="preserve">Änderung der KI-Verordnung</w:t>
            </w:r>
          </w:p>
        </w:tc>
        <w:tc>
          <w:tcPr>
            <w:tcW w:w="3067" w:type="dxa"/>
          </w:tcPr>
          <w:tcPr/>
          <w:p>
            <w:pPr>
              <w:pStyle w:val="Compact"/>
              <w:jc w:val="left"/>
            </w:pPr>
            <w:r>
              <w:rPr>
                <w:bCs/>
                <w:b/>
              </w:rPr>
              <w:t xml:space="preserve">Abgeschlossen.</w:t>
            </w:r>
            <w:r>
              <w:t xml:space="preserve"> </w:t>
            </w:r>
            <w:r>
              <w:t xml:space="preserve">Angenommen als Verordnung (EU) 2026/1744, in Kraft seit 27.07.2026</w:t>
            </w:r>
          </w:p>
        </w:tc>
      </w:tr>
      <w:tr>
        <w:tc>
          <w:tcPr>
            <w:tcW w:w="3540" w:type="dxa"/>
          </w:tcPr>
          <w:tcPr/>
          <w:p>
            <w:pPr>
              <w:pStyle w:val="Compact"/>
              <w:jc w:val="left"/>
            </w:pPr>
            <w:r>
              <w:rPr>
                <w:bCs/>
                <w:b/>
              </w:rPr>
              <w:t xml:space="preserve">Digital-Omnibus-Verordnung</w:t>
            </w:r>
            <w:r>
              <w:t xml:space="preserve"> </w:t>
            </w:r>
            <w:r>
              <w:t xml:space="preserve">(Daten), COM(2025) 837 final, Verfahren 2025/0360(COD)</w:t>
            </w:r>
          </w:p>
        </w:tc>
        <w:tc>
          <w:tcPr>
            <w:tcW w:w="3031" w:type="dxa"/>
          </w:tcPr>
          <w:tcPr/>
          <w:p>
            <w:pPr>
              <w:pStyle w:val="Compact"/>
              <w:jc w:val="left"/>
            </w:pPr>
            <w:r>
              <w:t xml:space="preserve">Änderung von DSGVO, Datenverordnung, ePrivacy-Richtlinie, NIS-2 und weiteren; Aufhebung von vier Rechtsakten</w:t>
            </w:r>
          </w:p>
        </w:tc>
        <w:tc>
          <w:tcPr>
            <w:tcW w:w="3067" w:type="dxa"/>
          </w:tcPr>
          <w:tcPr/>
          <w:p>
            <w:pPr>
              <w:pStyle w:val="Compact"/>
              <w:jc w:val="left"/>
            </w:pPr>
            <w:r>
              <w:rPr>
                <w:bCs/>
                <w:b/>
              </w:rPr>
              <w:t xml:space="preserve">Offen.</w:t>
            </w:r>
            <w:r>
              <w:t xml:space="preserve"> </w:t>
            </w:r>
            <w:r>
              <w:t xml:space="preserve">Im Gesetzgebungsverfahren, Rat ohne Position</w:t>
            </w:r>
          </w:p>
        </w:tc>
      </w:tr>
      <w:tr>
        <w:tc>
          <w:tcPr>
            <w:tcW w:w="3540" w:type="dxa"/>
          </w:tcPr>
          <w:tcPr/>
          <w:p>
            <w:pPr>
              <w:pStyle w:val="Compact"/>
              <w:jc w:val="left"/>
            </w:pPr>
            <w:r>
              <w:rPr>
                <w:bCs/>
                <w:b/>
              </w:rPr>
              <w:t xml:space="preserve">European Business Wallet</w:t>
            </w:r>
            <w:r>
              <w:t xml:space="preserve"> </w:t>
            </w:r>
            <w:r>
              <w:t xml:space="preserve">(Verordnung)</w:t>
            </w:r>
          </w:p>
        </w:tc>
        <w:tc>
          <w:tcPr>
            <w:tcW w:w="3031" w:type="dxa"/>
          </w:tcPr>
          <w:tcPr/>
          <w:p>
            <w:pPr>
              <w:pStyle w:val="Compact"/>
              <w:jc w:val="left"/>
            </w:pPr>
            <w:r>
              <w:t xml:space="preserve">Einheitliches digitales Identitäts- und Nachweiswerkzeug für Unternehmen</w:t>
            </w:r>
          </w:p>
        </w:tc>
        <w:tc>
          <w:tcPr>
            <w:tcW w:w="3067" w:type="dxa"/>
          </w:tcPr>
          <w:tcPr/>
          <w:p>
            <w:pPr>
              <w:pStyle w:val="Compact"/>
              <w:jc w:val="left"/>
            </w:pPr>
            <w:r>
              <w:rPr>
                <w:bCs/>
                <w:b/>
              </w:rPr>
              <w:t xml:space="preserve">Offen.</w:t>
            </w:r>
            <w:r>
              <w:t xml:space="preserve"> </w:t>
            </w:r>
            <w:r>
              <w:t xml:space="preserve">Eigenes Verfahren, in diesem Dokument nicht vertieft</w:t>
            </w:r>
          </w:p>
        </w:tc>
      </w:tr>
      <w:tr>
        <w:tc>
          <w:tcPr>
            <w:tcW w:w="3540" w:type="dxa"/>
          </w:tcPr>
          <w:tcPr/>
          <w:p>
            <w:pPr>
              <w:pStyle w:val="Compact"/>
              <w:jc w:val="left"/>
            </w:pPr>
            <w:r>
              <w:t xml:space="preserve">Datenunion-Strategie (Mitteilung), Mustervertragsklauseln zu Datenzugang und -nutzung, Standardvertragsklauseln für Cloud-Verträge, Digitaler Fitness-Check (Konsultation)</w:t>
            </w:r>
          </w:p>
        </w:tc>
        <w:tc>
          <w:tcPr>
            <w:tcW w:w="3031" w:type="dxa"/>
          </w:tcPr>
          <w:tcPr/>
          <w:p>
            <w:pPr>
              <w:pStyle w:val="Compact"/>
              <w:jc w:val="left"/>
            </w:pPr>
            <w:r>
              <w:t xml:space="preserve">flankierende, nicht verbindliche Dokumente</w:t>
            </w:r>
          </w:p>
        </w:tc>
        <w:tc>
          <w:tcPr>
            <w:tcW w:w="3067" w:type="dxa"/>
          </w:tcPr>
          <w:tcPr/>
          <w:p>
            <w:pPr>
              <w:pStyle w:val="Compact"/>
              <w:jc w:val="left"/>
            </w:pPr>
            <w:r>
              <w:t xml:space="preserve">veröffentlicht</w:t>
            </w:r>
          </w:p>
        </w:tc>
      </w:tr>
    </w:tbl>
    <w:p>
      <w:pPr>
        <w:pStyle w:val="BodyText"/>
      </w:pPr>
      <w:r>
        <w:t xml:space="preserve">Die Kommission beziffert die erwartete Entlastung mit</w:t>
      </w:r>
      <w:r>
        <w:t xml:space="preserve"> </w:t>
      </w:r>
      <w:r>
        <w:rPr>
          <w:bCs/>
          <w:b/>
        </w:rPr>
        <w:t xml:space="preserve">5 Mrd. EUR Verwaltungskosten bis 2029</w:t>
      </w:r>
      <w:r>
        <w:t xml:space="preserve">, davon rund</w:t>
      </w:r>
      <w:r>
        <w:t xml:space="preserve"> </w:t>
      </w:r>
      <w:r>
        <w:rPr>
          <w:bCs/>
          <w:b/>
        </w:rPr>
        <w:t xml:space="preserve">225 Mio. EUR jährlich</w:t>
      </w:r>
      <w:r>
        <w:t xml:space="preserve"> </w:t>
      </w:r>
      <w:r>
        <w:t xml:space="preserve">aus den KI-Vereinfachungen für KMU und kleine Midcap-Unternehmen und</w:t>
      </w:r>
      <w:r>
        <w:t xml:space="preserve"> </w:t>
      </w:r>
      <w:r>
        <w:rPr>
          <w:bCs/>
          <w:b/>
        </w:rPr>
        <w:t xml:space="preserve">1,5 Mrd. EUR einmalig</w:t>
      </w:r>
      <w:r>
        <w:t xml:space="preserve"> </w:t>
      </w:r>
      <w:r>
        <w:t xml:space="preserve">aus den Erleichterungen beim Cloud-Wechsel. Für die European Business Wallets nennt sie</w:t>
      </w:r>
      <w:r>
        <w:t xml:space="preserve"> </w:t>
      </w:r>
      <w:r>
        <w:rPr>
          <w:bCs/>
          <w:b/>
        </w:rPr>
        <w:t xml:space="preserve">150 Mrd. EUR jährlich</w:t>
      </w:r>
      <w:r>
        <w:t xml:space="preserve">. Das sind</w:t>
      </w:r>
      <w:r>
        <w:t xml:space="preserve"> </w:t>
      </w:r>
      <w:r>
        <w:rPr>
          <w:bCs/>
          <w:b/>
        </w:rPr>
        <w:t xml:space="preserve">Schätzungen der Kommission aus der Folgenabschätzung</w:t>
      </w:r>
      <w:r>
        <w:t xml:space="preserve"> </w:t>
      </w:r>
      <w:r>
        <w:t xml:space="preserve">— keine geprüften Werte.</w:t>
      </w:r>
      <w:r>
        <w:t xml:space="preserve"> </w:t>
      </w:r>
      <w:r>
        <w:rPr>
          <w:iCs/>
          <w:i/>
        </w:rPr>
        <w:t xml:space="preserve">[Verfahrensstand]</w:t>
      </w:r>
    </w:p>
    <w:p>
      <w:pPr>
        <w:pStyle w:val="BlockText"/>
      </w:pPr>
      <w:r>
        <w:rPr>
          <w:bCs/>
          <w:b/>
        </w:rPr>
        <w:t xml:space="preserve">Fundstelle:</w:t>
      </w:r>
      <w:r>
        <w:t xml:space="preserve"> </w:t>
      </w:r>
      <w:r>
        <w:t xml:space="preserve">Pressemitteilung der Europäischen Kommission IP/25/2718 vom 19.11.2025; COM(2025) 836 final und COM(2025) 837 final, jeweils vom 19.11.2025; SWD(2025) 836 final.</w:t>
      </w:r>
    </w:p>
    <w:p>
      <w:pPr>
        <w:pStyle w:val="FirstParagraph"/>
      </w:pPr>
      <w:r>
        <w:rPr>
          <w:bCs/>
          <w:b/>
        </w:rPr>
        <w:t xml:space="preserve">Für dieses Dokumentenpaket sind zwei Stränge relevant:</w:t>
      </w:r>
      <w:r>
        <w:t xml:space="preserve"> </w:t>
      </w:r>
      <w:r>
        <w:t xml:space="preserve">Was aus der bereits geltenden KI-Verordnung noch nachgeliefert wird (Teil 2) und was die noch offene Daten-Verordnung bringen würde (Teil 3).</w:t>
      </w:r>
    </w:p>
    <w:p>
      <w:r>
        <w:pict>
          <v:rect style="width:0;height:1.5pt" o:hralign="center" o:hrstd="t" o:hr="t"/>
        </w:pict>
      </w:r>
    </w:p>
    <w:bookmarkEnd w:id="24"/>
    <w:bookmarkStart w:id="29" w:name="X02b45bd03aff19287cb43216739e642d9e4dd78"/>
    <w:p>
      <w:pPr>
        <w:pStyle w:val="Heading1"/>
      </w:pPr>
      <w:r>
        <w:t xml:space="preserve">2. Teil A — Was die KI-Verordnung noch nachliefert</w:t>
      </w:r>
    </w:p>
    <w:p>
      <w:pPr>
        <w:pStyle w:val="FirstParagraph"/>
      </w:pPr>
      <w:r>
        <w:t xml:space="preserve">Die KI-Verordnung gilt. Sie ist aber an vielen Stellen bewusst unvollständig: Sie verpflichtet die Kommission, Leitlinien, Muster und delegierte Rechtsakte nachzuliefern. Einige davon können den</w:t>
      </w:r>
      <w:r>
        <w:t xml:space="preserve"> </w:t>
      </w:r>
      <w:r>
        <w:rPr>
          <w:bCs/>
          <w:b/>
        </w:rPr>
        <w:t xml:space="preserve">Pflichtenumfang noch verändern</w:t>
      </w:r>
      <w:r>
        <w:t xml:space="preserve"> </w:t>
      </w:r>
      <w:r>
        <w:t xml:space="preserve">— sie sind deshalb keine Formalie.</w:t>
      </w:r>
    </w:p>
    <w:bookmarkStart w:id="25" w:name="X0be73983c332f84e8654e48543b59a9dd024510"/>
    <w:p>
      <w:pPr>
        <w:pStyle w:val="Heading2"/>
      </w:pPr>
      <w:r>
        <w:t xml:space="preserve">2.1 Delegierte Rechtsakte, die den Pflichtenumfang verändern können</w:t>
      </w:r>
    </w:p>
    <w:p>
      <w:pPr>
        <w:pStyle w:val="FirstParagraph"/>
      </w:pPr>
      <w:r>
        <w:rPr>
          <w:bCs/>
          <w:b/>
        </w:rPr>
        <w:t xml:space="preserve">Beschränkung der Anforderungen für Anhang-I-Systeme.</w:t>
      </w:r>
      <w:r>
        <w:t xml:space="preserve"> </w:t>
      </w:r>
      <w:r>
        <w:t xml:space="preserve">Die Kommission darf per delegiertem Rechtsakt die Anwendung der Art. 9 bis 15 und 17 bis 25 für Hochrisiko-Systeme nach Anhang I beschränken, wenn das sektorale Produktrecht einen gleichwertigen Schutz bietet. Diese Rechtsakte sind</w:t>
      </w:r>
      <w:r>
        <w:t xml:space="preserve"> </w:t>
      </w:r>
      <w:r>
        <w:rPr>
          <w:bCs/>
          <w:b/>
        </w:rPr>
        <w:t xml:space="preserve">bis zum 02.08.2027</w:t>
      </w:r>
      <w:r>
        <w:t xml:space="preserve"> </w:t>
      </w:r>
      <w:r>
        <w:t xml:space="preserve">zu erlassen.</w:t>
      </w:r>
      <w:r>
        <w:t xml:space="preserve"> </w:t>
      </w:r>
      <w:r>
        <w:rPr>
          <w:iCs/>
          <w:i/>
        </w:rPr>
        <w:t xml:space="preserve">[verbindlich vorgesehen]</w:t>
      </w:r>
    </w:p>
    <w:p>
      <w:pPr>
        <w:pStyle w:val="BodyText"/>
      </w:pPr>
      <w:r>
        <w:t xml:space="preserve">Praktisch heißt das: Wer heute ein System nach</w:t>
      </w:r>
      <w:r>
        <w:t xml:space="preserve"> </w:t>
      </w:r>
      <w:r>
        <w:rPr>
          <w:bCs/>
          <w:b/>
        </w:rPr>
        <w:t xml:space="preserve">Anhang I Abschnitt A</w:t>
      </w:r>
      <w:r>
        <w:t xml:space="preserve"> </w:t>
      </w:r>
      <w:r>
        <w:t xml:space="preserve">einstuft und die Pflichten für den 02.08.2028 plant, sollte damit rechnen, dass sich der Umfang bis dahin noch verringert. Die Planung selbst darf man deshalb nicht aussetzen — die Frist bleibt.</w:t>
      </w:r>
    </w:p>
    <w:p>
      <w:pPr>
        <w:pStyle w:val="BlockText"/>
      </w:pPr>
      <w:r>
        <w:rPr>
          <w:bCs/>
          <w:b/>
        </w:rPr>
        <w:t xml:space="preserve">Fundstelle:</w:t>
      </w:r>
      <w:r>
        <w:t xml:space="preserve"> </w:t>
      </w:r>
      <w:r>
        <w:t xml:space="preserve">Art. 2 Abs. 13 KI-VO n. F., eingefügt durch VO (EU) 2026/1744, Art. 1 Nr. 2.</w:t>
      </w:r>
    </w:p>
    <w:p>
      <w:pPr>
        <w:pStyle w:val="FirstParagraph"/>
      </w:pPr>
      <w:r>
        <w:rPr>
          <w:bCs/>
          <w:b/>
        </w:rPr>
        <w:t xml:space="preserve">Anhang III der Maschinenverordnung.</w:t>
      </w:r>
      <w:r>
        <w:t xml:space="preserve"> </w:t>
      </w:r>
      <w:r>
        <w:t xml:space="preserve">Für Hochrisiko-KI im Zusammenhang mit Maschinen läuft die Regelung nicht mehr über Kapitel III der KI-Verordnung, sondern über das Maschinenrecht. Die Kommission muss Anhang III der Verordnung (EU) 2023/1230 per delegiertem Rechtsakt um Sicherheits- und Gesundheitsschutzanforderungen für KI ergänzen. Diese Rechtsakte</w:t>
      </w:r>
      <w:r>
        <w:t xml:space="preserve"> </w:t>
      </w:r>
      <w:r>
        <w:rPr>
          <w:bCs/>
          <w:b/>
        </w:rPr>
        <w:t xml:space="preserve">gelten ab dem 02.08.2028</w:t>
      </w:r>
      <w:r>
        <w:t xml:space="preserve">.</w:t>
      </w:r>
      <w:r>
        <w:t xml:space="preserve"> </w:t>
      </w:r>
      <w:r>
        <w:rPr>
          <w:iCs/>
          <w:i/>
        </w:rPr>
        <w:t xml:space="preserve">[verbindlich vorgesehen]</w:t>
      </w:r>
    </w:p>
    <w:p>
      <w:pPr>
        <w:pStyle w:val="BodyText"/>
      </w:pPr>
      <w:r>
        <w:t xml:space="preserve">Für den Maschinen- und Anlagenbau ist das der wichtigste offene Punkt überhaupt:</w:t>
      </w:r>
      <w:r>
        <w:t xml:space="preserve"> </w:t>
      </w:r>
      <w:r>
        <w:rPr>
          <w:bCs/>
          <w:b/>
        </w:rPr>
        <w:t xml:space="preserve">Welche Anforderungen konkret gelten, steht heute noch nicht fest.</w:t>
      </w:r>
      <w:r>
        <w:t xml:space="preserve"> </w:t>
      </w:r>
      <w:r>
        <w:t xml:space="preserve">Bekannt ist nur, dass sie den Anforderungen aus Kapitel III Abschnitt 2 sowie den Art. 17, 19, 72 und 73 der KI-Verordnung Rechnung tragen müssen und ein gleichwertiges Schutzniveau gewährleisten sollen.</w:t>
      </w:r>
    </w:p>
    <w:p>
      <w:pPr>
        <w:pStyle w:val="BlockText"/>
      </w:pPr>
      <w:r>
        <w:rPr>
          <w:bCs/>
          <w:b/>
        </w:rPr>
        <w:t xml:space="preserve">Fundstelle:</w:t>
      </w:r>
      <w:r>
        <w:t xml:space="preserve"> </w:t>
      </w:r>
      <w:r>
        <w:t xml:space="preserve">Art. 8 UAbs. 3 und 4 der VO (EU) 2023/1230 n. F., eingefügt durch VO (EU) 2026/1744, Art. 3 Nr. 1; Erwägungsgrund 42 der VO (EU) 2026/1744.</w:t>
      </w:r>
    </w:p>
    <w:bookmarkEnd w:id="25"/>
    <w:bookmarkStart w:id="26" w:name="leitlinien-und-muster-mit-frist"/>
    <w:p>
      <w:pPr>
        <w:pStyle w:val="Heading2"/>
      </w:pPr>
      <w:r>
        <w:t xml:space="preserve">2.2 Leitlinien und Muster mit Frist</w:t>
      </w:r>
    </w:p>
    <w:tbl>
      <w:tblPr>
        <w:tblStyle w:val="Table"/>
        <w:tblW w:w="9638" w:type="dxa"/>
        <w:tblLayout w:type="fixed"/>
        <w:tblLook w:firstRow="1" w:lastRow="0" w:firstColumn="0" w:lastColumn="0" w:noHBand="0" w:noVBand="0" w:val="0020"/>
        <w:jc w:val="start"/>
      </w:tblPr>
      <w:tblGrid>
        <w:gridCol w:w="2586"/>
        <w:gridCol w:w="1855"/>
        <w:gridCol w:w="1842"/>
        <w:gridCol w:w="1797"/>
        <w:gridCol w:w="1558"/>
      </w:tblGrid>
      <w:tr>
        <w:trPr>
          <w:tblHeader/>
          <w:cantSplit/>
          <w:tblHeader w:val="true"/>
        </w:trPr>
        <w:tc>
          <w:tcPr>
            <w:shd w:val="clear" w:color="auto" w:fill="DCE4F2"/>
            <w:tcW w:w="2586" w:type="dxa"/>
          </w:tcPr>
          <w:tcPr/>
          <w:p>
            <w:pPr>
              <w:pStyle w:val="Compact"/>
              <w:jc w:val="left"/>
            </w:pPr>
            <w:r>
              <w:t xml:space="preserve">Gegenstand</w:t>
            </w:r>
          </w:p>
        </w:tc>
        <w:tc>
          <w:tcPr>
            <w:shd w:val="clear" w:color="auto" w:fill="DCE4F2"/>
            <w:tcW w:w="1855" w:type="dxa"/>
          </w:tcPr>
          <w:tcPr/>
          <w:p>
            <w:pPr>
              <w:pStyle w:val="Compact"/>
              <w:jc w:val="left"/>
            </w:pPr>
            <w:r>
              <w:t xml:space="preserve">Wer</w:t>
            </w:r>
          </w:p>
        </w:tc>
        <w:tc>
          <w:tcPr>
            <w:shd w:val="clear" w:color="auto" w:fill="DCE4F2"/>
            <w:tcW w:w="1842" w:type="dxa"/>
          </w:tcPr>
          <w:tcPr/>
          <w:p>
            <w:pPr>
              <w:pStyle w:val="Compact"/>
              <w:jc w:val="left"/>
            </w:pPr>
            <w:r>
              <w:t xml:space="preserve">Frist</w:t>
            </w:r>
          </w:p>
        </w:tc>
        <w:tc>
          <w:tcPr>
            <w:shd w:val="clear" w:color="auto" w:fill="DCE4F2"/>
            <w:tcW w:w="1797" w:type="dxa"/>
          </w:tcPr>
          <w:tcPr/>
          <w:p>
            <w:pPr>
              <w:pStyle w:val="Compact"/>
              <w:jc w:val="left"/>
            </w:pPr>
            <w:r>
              <w:t xml:space="preserve">Fundstelle</w:t>
            </w:r>
          </w:p>
        </w:tc>
        <w:tc>
          <w:tcPr>
            <w:shd w:val="clear" w:color="auto" w:fill="DCE4F2"/>
            <w:tcW w:w="1558" w:type="dxa"/>
          </w:tcPr>
          <w:tcPr/>
          <w:p>
            <w:pPr>
              <w:pStyle w:val="Compact"/>
              <w:jc w:val="left"/>
            </w:pPr>
            <w:r>
              <w:t xml:space="preserve">Stufe</w:t>
            </w:r>
          </w:p>
        </w:tc>
      </w:tr>
      <w:tr>
        <w:tc>
          <w:tcPr>
            <w:tcW w:w="2586" w:type="dxa"/>
          </w:tcPr>
          <w:tcPr/>
          <w:p>
            <w:pPr>
              <w:pStyle w:val="Compact"/>
              <w:jc w:val="left"/>
            </w:pPr>
            <w:r>
              <w:t xml:space="preserve">Leitlinien zur</w:t>
            </w:r>
            <w:r>
              <w:t xml:space="preserve"> </w:t>
            </w:r>
            <w:r>
              <w:rPr>
                <w:bCs/>
                <w:b/>
              </w:rPr>
              <w:t xml:space="preserve">Einstufung als Hochrisiko-System</w:t>
            </w:r>
            <w:r>
              <w:t xml:space="preserve"> </w:t>
            </w:r>
            <w:r>
              <w:t xml:space="preserve">(praktische Anwendung des Art. 6)</w:t>
            </w:r>
          </w:p>
        </w:tc>
        <w:tc>
          <w:tcPr>
            <w:tcW w:w="1855" w:type="dxa"/>
          </w:tcPr>
          <w:tcPr/>
          <w:p>
            <w:pPr>
              <w:pStyle w:val="Compact"/>
              <w:jc w:val="left"/>
            </w:pPr>
            <w:r>
              <w:t xml:space="preserve">Kommission</w:t>
            </w:r>
          </w:p>
        </w:tc>
        <w:tc>
          <w:tcPr>
            <w:tcW w:w="1842" w:type="dxa"/>
          </w:tcPr>
          <w:tcPr/>
          <w:p>
            <w:pPr>
              <w:pStyle w:val="Compact"/>
              <w:jc w:val="left"/>
            </w:pPr>
            <w:r>
              <w:t xml:space="preserve">ursprünglich 02.02.2026 — Veröffentlichungsstand nicht verifiziert</w:t>
            </w:r>
          </w:p>
        </w:tc>
        <w:tc>
          <w:tcPr>
            <w:tcW w:w="1797" w:type="dxa"/>
          </w:tcPr>
          <w:tcPr/>
          <w:p>
            <w:pPr>
              <w:pStyle w:val="Compact"/>
              <w:jc w:val="left"/>
            </w:pPr>
            <w:r>
              <w:t xml:space="preserve">Art. 6 Abs. 5 KI-VO</w:t>
            </w:r>
          </w:p>
        </w:tc>
        <w:tc>
          <w:tcPr>
            <w:tcW w:w="1558" w:type="dxa"/>
          </w:tcPr>
          <w:tcPr/>
          <w:p>
            <w:pPr>
              <w:pStyle w:val="Compact"/>
              <w:jc w:val="left"/>
            </w:pPr>
            <w:r>
              <w:t xml:space="preserve">[verbindlich vorgesehen]</w:t>
            </w:r>
          </w:p>
        </w:tc>
      </w:tr>
      <w:tr>
        <w:tc>
          <w:tcPr>
            <w:tcW w:w="2586" w:type="dxa"/>
          </w:tcPr>
          <w:tcPr/>
          <w:p>
            <w:pPr>
              <w:pStyle w:val="Compact"/>
              <w:jc w:val="left"/>
            </w:pPr>
            <w:r>
              <w:t xml:space="preserve">Leitlinien zur</w:t>
            </w:r>
            <w:r>
              <w:t xml:space="preserve"> </w:t>
            </w:r>
            <w:r>
              <w:rPr>
                <w:bCs/>
                <w:b/>
              </w:rPr>
              <w:t xml:space="preserve">Komplementarität</w:t>
            </w:r>
            <w:r>
              <w:t xml:space="preserve"> </w:t>
            </w:r>
            <w:r>
              <w:t xml:space="preserve">mit dem Produktrecht (Art. 8 Abs. 2, Art. 9 Abs. 10, Art. 17 Abs. 3) — sollen Doppelarbeit für Anhang-I-Hersteller vermeiden</w:t>
            </w:r>
          </w:p>
        </w:tc>
        <w:tc>
          <w:tcPr>
            <w:tcW w:w="1855" w:type="dxa"/>
          </w:tcPr>
          <w:tcPr/>
          <w:p>
            <w:pPr>
              <w:pStyle w:val="Compact"/>
              <w:jc w:val="left"/>
            </w:pPr>
            <w:r>
              <w:t xml:space="preserve">Kommission</w:t>
            </w:r>
          </w:p>
        </w:tc>
        <w:tc>
          <w:tcPr>
            <w:tcW w:w="1842" w:type="dxa"/>
          </w:tcPr>
          <w:tcPr/>
          <w:p>
            <w:pPr>
              <w:pStyle w:val="Compact"/>
              <w:jc w:val="left"/>
            </w:pPr>
            <w:r>
              <w:rPr>
                <w:bCs/>
                <w:b/>
              </w:rPr>
              <w:t xml:space="preserve">01.08.2027</w:t>
            </w:r>
          </w:p>
        </w:tc>
        <w:tc>
          <w:tcPr>
            <w:tcW w:w="1797" w:type="dxa"/>
          </w:tcPr>
          <w:tcPr/>
          <w:p>
            <w:pPr>
              <w:pStyle w:val="Compact"/>
              <w:jc w:val="left"/>
            </w:pPr>
            <w:r>
              <w:t xml:space="preserve">Art. 96 Abs. 1 lit. g KI-VO n. F.; ErwG 15 der VO 2026/1744</w:t>
            </w:r>
          </w:p>
        </w:tc>
        <w:tc>
          <w:tcPr>
            <w:tcW w:w="1558" w:type="dxa"/>
          </w:tcPr>
          <w:tcPr/>
          <w:p>
            <w:pPr>
              <w:pStyle w:val="Compact"/>
              <w:jc w:val="left"/>
            </w:pPr>
            <w:r>
              <w:t xml:space="preserve">[verbindlich vorgesehen]</w:t>
            </w:r>
          </w:p>
        </w:tc>
      </w:tr>
      <w:tr>
        <w:tc>
          <w:tcPr>
            <w:tcW w:w="2586" w:type="dxa"/>
          </w:tcPr>
          <w:tcPr/>
          <w:p>
            <w:pPr>
              <w:pStyle w:val="Compact"/>
              <w:jc w:val="left"/>
            </w:pPr>
            <w:r>
              <w:t xml:space="preserve">Leitlinien einschließlich</w:t>
            </w:r>
            <w:r>
              <w:t xml:space="preserve"> </w:t>
            </w:r>
            <w:r>
              <w:rPr>
                <w:bCs/>
                <w:b/>
              </w:rPr>
              <w:t xml:space="preserve">freiwilligem Muster</w:t>
            </w:r>
            <w:r>
              <w:t xml:space="preserve"> </w:t>
            </w:r>
            <w:r>
              <w:t xml:space="preserve">für den Plan zur Beobachtung nach dem Inverkehrbringen</w:t>
            </w:r>
          </w:p>
        </w:tc>
        <w:tc>
          <w:tcPr>
            <w:tcW w:w="1855" w:type="dxa"/>
          </w:tcPr>
          <w:tcPr/>
          <w:p>
            <w:pPr>
              <w:pStyle w:val="Compact"/>
              <w:jc w:val="left"/>
            </w:pPr>
            <w:r>
              <w:t xml:space="preserve">Kommission, unter Berücksichtigung der Stellungnahme des KI-Gremiums</w:t>
            </w:r>
          </w:p>
        </w:tc>
        <w:tc>
          <w:tcPr>
            <w:tcW w:w="1842" w:type="dxa"/>
          </w:tcPr>
          <w:tcPr/>
          <w:p>
            <w:pPr>
              <w:pStyle w:val="Compact"/>
              <w:jc w:val="left"/>
            </w:pPr>
            <w:r>
              <w:rPr>
                <w:bCs/>
                <w:b/>
              </w:rPr>
              <w:t xml:space="preserve">02.09.2027</w:t>
            </w:r>
          </w:p>
        </w:tc>
        <w:tc>
          <w:tcPr>
            <w:tcW w:w="1797" w:type="dxa"/>
          </w:tcPr>
          <w:tcPr/>
          <w:p>
            <w:pPr>
              <w:pStyle w:val="Compact"/>
              <w:jc w:val="left"/>
            </w:pPr>
            <w:r>
              <w:t xml:space="preserve">Art. 72 Abs. 3 KI-VO n. F.</w:t>
            </w:r>
          </w:p>
        </w:tc>
        <w:tc>
          <w:tcPr>
            <w:tcW w:w="1558" w:type="dxa"/>
          </w:tcPr>
          <w:tcPr/>
          <w:p>
            <w:pPr>
              <w:pStyle w:val="Compact"/>
              <w:jc w:val="left"/>
            </w:pPr>
            <w:r>
              <w:t xml:space="preserve">[verbindlich vorgesehen]</w:t>
            </w:r>
          </w:p>
        </w:tc>
      </w:tr>
      <w:tr>
        <w:tc>
          <w:tcPr>
            <w:tcW w:w="2586" w:type="dxa"/>
          </w:tcPr>
          <w:tcPr/>
          <w:p>
            <w:pPr>
              <w:pStyle w:val="Compact"/>
              <w:jc w:val="left"/>
            </w:pPr>
            <w:r>
              <w:t xml:space="preserve">Leitlinien zum</w:t>
            </w:r>
            <w:r>
              <w:t xml:space="preserve"> </w:t>
            </w:r>
            <w:r>
              <w:rPr>
                <w:bCs/>
                <w:b/>
              </w:rPr>
              <w:t xml:space="preserve">vereinfachten Qualitätsmanagement</w:t>
            </w:r>
            <w:r>
              <w:t xml:space="preserve"> </w:t>
            </w:r>
            <w:r>
              <w:t xml:space="preserve">für KMU</w:t>
            </w:r>
          </w:p>
        </w:tc>
        <w:tc>
          <w:tcPr>
            <w:tcW w:w="1855" w:type="dxa"/>
          </w:tcPr>
          <w:tcPr/>
          <w:p>
            <w:pPr>
              <w:pStyle w:val="Compact"/>
              <w:jc w:val="left"/>
            </w:pPr>
            <w:r>
              <w:t xml:space="preserve">Kommission</w:t>
            </w:r>
          </w:p>
        </w:tc>
        <w:tc>
          <w:tcPr>
            <w:tcW w:w="1842" w:type="dxa"/>
          </w:tcPr>
          <w:tcPr/>
          <w:p>
            <w:pPr>
              <w:pStyle w:val="Compact"/>
              <w:jc w:val="left"/>
            </w:pPr>
            <w:r>
              <w:t xml:space="preserve">keine Frist genannt</w:t>
            </w:r>
          </w:p>
        </w:tc>
        <w:tc>
          <w:tcPr>
            <w:tcW w:w="1797" w:type="dxa"/>
          </w:tcPr>
          <w:tcPr/>
          <w:p>
            <w:pPr>
              <w:pStyle w:val="Compact"/>
              <w:jc w:val="left"/>
            </w:pPr>
            <w:r>
              <w:t xml:space="preserve">Art. 63 Abs. 1 KI-VO n. F.</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Vereinfachtes Dokumentationsformular</w:t>
            </w:r>
            <w:r>
              <w:t xml:space="preserve"> </w:t>
            </w:r>
            <w:r>
              <w:t xml:space="preserve">für KMU und kleine Midcap-Unternehmen — notifizierte Stellen müssen es akzeptieren</w:t>
            </w:r>
          </w:p>
        </w:tc>
        <w:tc>
          <w:tcPr>
            <w:tcW w:w="1855" w:type="dxa"/>
          </w:tcPr>
          <w:tcPr/>
          <w:p>
            <w:pPr>
              <w:pStyle w:val="Compact"/>
              <w:jc w:val="left"/>
            </w:pPr>
            <w:r>
              <w:t xml:space="preserve">Kommission</w:t>
            </w:r>
          </w:p>
        </w:tc>
        <w:tc>
          <w:tcPr>
            <w:tcW w:w="1842" w:type="dxa"/>
          </w:tcPr>
          <w:tcPr/>
          <w:p>
            <w:pPr>
              <w:pStyle w:val="Compact"/>
              <w:jc w:val="left"/>
            </w:pPr>
            <w:r>
              <w:t xml:space="preserve">keine Frist genannt</w:t>
            </w:r>
          </w:p>
        </w:tc>
        <w:tc>
          <w:tcPr>
            <w:tcW w:w="1797" w:type="dxa"/>
          </w:tcPr>
          <w:tcPr/>
          <w:p>
            <w:pPr>
              <w:pStyle w:val="Compact"/>
              <w:jc w:val="left"/>
            </w:pPr>
            <w:r>
              <w:t xml:space="preserve">Art. 11 Abs. 1 UAbs. 2 KI-VO n. F.</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Muster-Fragebogen</w:t>
            </w:r>
            <w:r>
              <w:t xml:space="preserve"> </w:t>
            </w:r>
            <w:r>
              <w:t xml:space="preserve">für die Grundrechte-Folgenabschätzung, auch als automatisiertes Instrument</w:t>
            </w:r>
          </w:p>
        </w:tc>
        <w:tc>
          <w:tcPr>
            <w:tcW w:w="1855" w:type="dxa"/>
          </w:tcPr>
          <w:tcPr/>
          <w:p>
            <w:pPr>
              <w:pStyle w:val="Compact"/>
              <w:jc w:val="left"/>
            </w:pPr>
            <w:r>
              <w:t xml:space="preserve">Büro für Künstliche Intelligenz (zuvor: Kommission)</w:t>
            </w:r>
          </w:p>
        </w:tc>
        <w:tc>
          <w:tcPr>
            <w:tcW w:w="1842" w:type="dxa"/>
          </w:tcPr>
          <w:tcPr/>
          <w:p>
            <w:pPr>
              <w:pStyle w:val="Compact"/>
              <w:jc w:val="left"/>
            </w:pPr>
            <w:r>
              <w:t xml:space="preserve">keine Frist genannt</w:t>
            </w:r>
          </w:p>
        </w:tc>
        <w:tc>
          <w:tcPr>
            <w:tcW w:w="1797" w:type="dxa"/>
          </w:tcPr>
          <w:tcPr/>
          <w:p>
            <w:pPr>
              <w:pStyle w:val="Compact"/>
              <w:jc w:val="left"/>
            </w:pPr>
            <w:r>
              <w:t xml:space="preserve">Art. 27 Abs. 5 KI-VO n. F.</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Vorlage für die Zusammenfassung der Trainingsinhalte</w:t>
            </w:r>
            <w:r>
              <w:t xml:space="preserve"> </w:t>
            </w:r>
            <w:r>
              <w:t xml:space="preserve">von GPAI-Modellen</w:t>
            </w:r>
          </w:p>
        </w:tc>
        <w:tc>
          <w:tcPr>
            <w:tcW w:w="1855" w:type="dxa"/>
          </w:tcPr>
          <w:tcPr/>
          <w:p>
            <w:pPr>
              <w:pStyle w:val="Compact"/>
              <w:jc w:val="left"/>
            </w:pPr>
            <w:r>
              <w:t xml:space="preserve">Büro für Künstliche Intelligenz</w:t>
            </w:r>
          </w:p>
        </w:tc>
        <w:tc>
          <w:tcPr>
            <w:tcW w:w="1842" w:type="dxa"/>
          </w:tcPr>
          <w:tcPr/>
          <w:p>
            <w:pPr>
              <w:pStyle w:val="Compact"/>
              <w:jc w:val="left"/>
            </w:pPr>
            <w:r>
              <w:t xml:space="preserve">keine Frist genannt</w:t>
            </w:r>
          </w:p>
        </w:tc>
        <w:tc>
          <w:tcPr>
            <w:tcW w:w="1797" w:type="dxa"/>
          </w:tcPr>
          <w:tcPr/>
          <w:p>
            <w:pPr>
              <w:pStyle w:val="Compact"/>
              <w:jc w:val="left"/>
            </w:pPr>
            <w:r>
              <w:t xml:space="preserve">Art. 53 Abs. 1 lit. d KI-VO</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Praxisleitfäden zur Kennzeichnung</w:t>
            </w:r>
            <w:r>
              <w:t xml:space="preserve"> </w:t>
            </w:r>
            <w:r>
              <w:t xml:space="preserve">künstlich erzeugter Inhalte; bei Unangemessenheit kann die Kommission gemeinsame Vorschriften per Durchführungsrechtsakt erlassen</w:t>
            </w:r>
          </w:p>
        </w:tc>
        <w:tc>
          <w:tcPr>
            <w:tcW w:w="1855" w:type="dxa"/>
          </w:tcPr>
          <w:tcPr/>
          <w:p>
            <w:pPr>
              <w:pStyle w:val="Compact"/>
              <w:jc w:val="left"/>
            </w:pPr>
            <w:r>
              <w:t xml:space="preserve">Kommission (zuvor: KI-Büro)</w:t>
            </w:r>
          </w:p>
        </w:tc>
        <w:tc>
          <w:tcPr>
            <w:tcW w:w="1842" w:type="dxa"/>
          </w:tcPr>
          <w:tcPr/>
          <w:p>
            <w:pPr>
              <w:pStyle w:val="Compact"/>
              <w:jc w:val="left"/>
            </w:pPr>
            <w:r>
              <w:t xml:space="preserve">keine Frist genannt</w:t>
            </w:r>
          </w:p>
        </w:tc>
        <w:tc>
          <w:tcPr>
            <w:tcW w:w="1797" w:type="dxa"/>
          </w:tcPr>
          <w:tcPr/>
          <w:p>
            <w:pPr>
              <w:pStyle w:val="Compact"/>
              <w:jc w:val="left"/>
            </w:pPr>
            <w:r>
              <w:t xml:space="preserve">Art. 50 Abs. 7 KI-VO n. F.</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Praktische Beispiele zur KI-Kompetenz</w:t>
            </w:r>
            <w:r>
              <w:t xml:space="preserve"> </w:t>
            </w:r>
            <w:r>
              <w:t xml:space="preserve">auf der zentralen Informationsplattform</w:t>
            </w:r>
          </w:p>
        </w:tc>
        <w:tc>
          <w:tcPr>
            <w:tcW w:w="1855" w:type="dxa"/>
          </w:tcPr>
          <w:tcPr/>
          <w:p>
            <w:pPr>
              <w:pStyle w:val="Compact"/>
              <w:jc w:val="left"/>
            </w:pPr>
            <w:r>
              <w:t xml:space="preserve">Kommission</w:t>
            </w:r>
          </w:p>
        </w:tc>
        <w:tc>
          <w:tcPr>
            <w:tcW w:w="1842" w:type="dxa"/>
          </w:tcPr>
          <w:tcPr/>
          <w:p>
            <w:pPr>
              <w:pStyle w:val="Compact"/>
              <w:jc w:val="left"/>
            </w:pPr>
            <w:r>
              <w:t xml:space="preserve">keine Frist genannt</w:t>
            </w:r>
          </w:p>
        </w:tc>
        <w:tc>
          <w:tcPr>
            <w:tcW w:w="1797" w:type="dxa"/>
          </w:tcPr>
          <w:tcPr/>
          <w:p>
            <w:pPr>
              <w:pStyle w:val="Compact"/>
              <w:jc w:val="left"/>
            </w:pPr>
            <w:r>
              <w:t xml:space="preserve">Art. 4 Abs. 2 KI-VO n. F. i. V. m. Art. 62 Abs. 3 lit. b</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Empfehlungen zur KI-Kompetenz</w:t>
            </w:r>
            <w:r>
              <w:t xml:space="preserve">, auch durch gemeinsame Ziele</w:t>
            </w:r>
          </w:p>
        </w:tc>
        <w:tc>
          <w:tcPr>
            <w:tcW w:w="1855" w:type="dxa"/>
          </w:tcPr>
          <w:tcPr/>
          <w:p>
            <w:pPr>
              <w:pStyle w:val="Compact"/>
              <w:jc w:val="left"/>
            </w:pPr>
            <w:r>
              <w:t xml:space="preserve">KI-Gremium</w:t>
            </w:r>
          </w:p>
        </w:tc>
        <w:tc>
          <w:tcPr>
            <w:tcW w:w="1842" w:type="dxa"/>
          </w:tcPr>
          <w:tcPr/>
          <w:p>
            <w:pPr>
              <w:pStyle w:val="Compact"/>
              <w:jc w:val="left"/>
            </w:pPr>
            <w:r>
              <w:t xml:space="preserve">keine Frist genannt</w:t>
            </w:r>
          </w:p>
        </w:tc>
        <w:tc>
          <w:tcPr>
            <w:tcW w:w="1797" w:type="dxa"/>
          </w:tcPr>
          <w:tcPr/>
          <w:p>
            <w:pPr>
              <w:pStyle w:val="Compact"/>
              <w:jc w:val="left"/>
            </w:pPr>
            <w:r>
              <w:t xml:space="preserve">Art. 4 Abs. 3 KI-VO n. F.</w:t>
            </w:r>
          </w:p>
        </w:tc>
        <w:tc>
          <w:tcPr>
            <w:tcW w:w="1558" w:type="dxa"/>
          </w:tcPr>
          <w:tcPr/>
          <w:p>
            <w:pPr>
              <w:pStyle w:val="Compact"/>
              <w:jc w:val="left"/>
            </w:pPr>
            <w:r>
              <w:t xml:space="preserve">[verbindlich vorgesehen]</w:t>
            </w:r>
          </w:p>
        </w:tc>
      </w:tr>
      <w:tr>
        <w:tc>
          <w:tcPr>
            <w:tcW w:w="2586" w:type="dxa"/>
          </w:tcPr>
          <w:tcPr/>
          <w:p>
            <w:pPr>
              <w:pStyle w:val="Compact"/>
              <w:jc w:val="left"/>
            </w:pPr>
            <w:r>
              <w:rPr>
                <w:bCs/>
                <w:b/>
              </w:rPr>
              <w:t xml:space="preserve">KI-Reallabore</w:t>
            </w:r>
            <w:r>
              <w:t xml:space="preserve"> </w:t>
            </w:r>
            <w:r>
              <w:t xml:space="preserve">in allen Mitgliedstaaten einsatzbereit</w:t>
            </w:r>
          </w:p>
        </w:tc>
        <w:tc>
          <w:tcPr>
            <w:tcW w:w="1855" w:type="dxa"/>
          </w:tcPr>
          <w:tcPr/>
          <w:p>
            <w:pPr>
              <w:pStyle w:val="Compact"/>
              <w:jc w:val="left"/>
            </w:pPr>
            <w:r>
              <w:t xml:space="preserve">Mitgliedstaaten</w:t>
            </w:r>
          </w:p>
        </w:tc>
        <w:tc>
          <w:tcPr>
            <w:tcW w:w="1842" w:type="dxa"/>
          </w:tcPr>
          <w:tcPr/>
          <w:p>
            <w:pPr>
              <w:pStyle w:val="Compact"/>
              <w:jc w:val="left"/>
            </w:pPr>
            <w:r>
              <w:rPr>
                <w:bCs/>
                <w:b/>
              </w:rPr>
              <w:t xml:space="preserve">02.08.2027</w:t>
            </w:r>
          </w:p>
        </w:tc>
        <w:tc>
          <w:tcPr>
            <w:tcW w:w="1797" w:type="dxa"/>
          </w:tcPr>
          <w:tcPr/>
          <w:p>
            <w:pPr>
              <w:pStyle w:val="Compact"/>
              <w:jc w:val="left"/>
            </w:pPr>
            <w:r>
              <w:t xml:space="preserve">Art. 57 Abs. 1 KI-VO n. F.</w:t>
            </w:r>
          </w:p>
        </w:tc>
        <w:tc>
          <w:tcPr>
            <w:tcW w:w="1558" w:type="dxa"/>
          </w:tcPr>
          <w:tcPr/>
          <w:p>
            <w:pPr>
              <w:pStyle w:val="Compact"/>
              <w:jc w:val="left"/>
            </w:pPr>
            <w:r>
              <w:t xml:space="preserve">[geltendes Recht]</w:t>
            </w:r>
          </w:p>
        </w:tc>
      </w:tr>
      <w:tr>
        <w:tc>
          <w:tcPr>
            <w:tcW w:w="2586" w:type="dxa"/>
          </w:tcPr>
          <w:tcPr/>
          <w:p>
            <w:pPr>
              <w:pStyle w:val="Compact"/>
              <w:jc w:val="left"/>
            </w:pPr>
            <w:r>
              <w:rPr>
                <w:bCs/>
                <w:b/>
              </w:rPr>
              <w:t xml:space="preserve">Benennungsanträge notifizierter Stellen</w:t>
            </w:r>
          </w:p>
        </w:tc>
        <w:tc>
          <w:tcPr>
            <w:tcW w:w="1855" w:type="dxa"/>
          </w:tcPr>
          <w:tcPr/>
          <w:p>
            <w:pPr>
              <w:pStyle w:val="Compact"/>
              <w:jc w:val="left"/>
            </w:pPr>
            <w:r>
              <w:t xml:space="preserve">notifizierte Stellen</w:t>
            </w:r>
          </w:p>
        </w:tc>
        <w:tc>
          <w:tcPr>
            <w:tcW w:w="1842" w:type="dxa"/>
          </w:tcPr>
          <w:tcPr/>
          <w:p>
            <w:pPr>
              <w:pStyle w:val="Compact"/>
              <w:jc w:val="left"/>
            </w:pPr>
            <w:r>
              <w:rPr>
                <w:bCs/>
                <w:b/>
              </w:rPr>
              <w:t xml:space="preserve">28.01.2028</w:t>
            </w:r>
          </w:p>
        </w:tc>
        <w:tc>
          <w:tcPr>
            <w:tcW w:w="1797" w:type="dxa"/>
          </w:tcPr>
          <w:tcPr/>
          <w:p>
            <w:pPr>
              <w:pStyle w:val="Compact"/>
              <w:jc w:val="left"/>
            </w:pPr>
            <w:r>
              <w:t xml:space="preserve">Art. 43 Abs. 3 KI-VO n. F.</w:t>
            </w:r>
          </w:p>
        </w:tc>
        <w:tc>
          <w:tcPr>
            <w:tcW w:w="1558" w:type="dxa"/>
          </w:tcPr>
          <w:tcPr/>
          <w:p>
            <w:pPr>
              <w:pStyle w:val="Compact"/>
              <w:jc w:val="left"/>
            </w:pPr>
            <w:r>
              <w:t xml:space="preserve">[geltendes Recht]</w:t>
            </w:r>
          </w:p>
        </w:tc>
      </w:tr>
    </w:tbl>
    <w:p>
      <w:pPr>
        <w:pStyle w:val="BodyText"/>
      </w:pPr>
      <w:r>
        <w:rPr>
          <w:bCs/>
          <w:b/>
        </w:rPr>
        <w:t xml:space="preserve">Warum das mehr als Bürokratie ist:</w:t>
      </w:r>
      <w:r>
        <w:t xml:space="preserve"> </w:t>
      </w:r>
      <w:r>
        <w:t xml:space="preserve">Der Gesetzgeber hat die Verschiebung der Hochrisiko-Fristen ausdrücklich damit begründet, dass Normen, gemeinsame Spezifikationen und Leitlinien</w:t>
      </w:r>
      <w:r>
        <w:t xml:space="preserve"> </w:t>
      </w:r>
      <w:r>
        <w:rPr>
          <w:bCs/>
          <w:b/>
        </w:rPr>
        <w:t xml:space="preserve">verspätet verfügbar</w:t>
      </w:r>
      <w:r>
        <w:t xml:space="preserve"> </w:t>
      </w:r>
      <w:r>
        <w:t xml:space="preserve">sind. Wenn diese Unterstützungsinstrumente erneut ausbleiben, ist das das Argument für eine weitere Verschiebung — oder für Streit über die Auslegung.</w:t>
      </w:r>
    </w:p>
    <w:p>
      <w:pPr>
        <w:pStyle w:val="BlockText"/>
      </w:pPr>
      <w:r>
        <w:rPr>
          <w:bCs/>
          <w:b/>
        </w:rPr>
        <w:t xml:space="preserve">Fundstelle:</w:t>
      </w:r>
      <w:r>
        <w:t xml:space="preserve"> </w:t>
      </w:r>
      <w:r>
        <w:t xml:space="preserve">Erwägungsgründe 15, 30 und 40 der VO (EU) 2026/1744.</w:t>
      </w:r>
    </w:p>
    <w:bookmarkEnd w:id="26"/>
    <w:bookmarkStart w:id="27" w:name="Xabd61141f53c4783286e7e54357a5c107245bfd"/>
    <w:p>
      <w:pPr>
        <w:pStyle w:val="Heading2"/>
      </w:pPr>
      <w:r>
        <w:t xml:space="preserve">2.3 Die eingebauten Überprüfungen — der Weg zur nächsten Änderung</w:t>
      </w:r>
    </w:p>
    <w:p>
      <w:pPr>
        <w:pStyle w:val="FirstParagraph"/>
      </w:pPr>
      <w:r>
        <w:t xml:space="preserve">Die KI-Verordnung schreibt regelmäßige Überprüfungen vor. Aus ihnen entstehen die nächsten Änderungsvorschläge.</w:t>
      </w:r>
    </w:p>
    <w:tbl>
      <w:tblPr>
        <w:tblStyle w:val="Table"/>
        <w:tblW w:w="9638" w:type="dxa"/>
        <w:tblLayout w:type="fixed"/>
        <w:tblLook w:firstRow="1" w:lastRow="0" w:firstColumn="0" w:lastColumn="0" w:noHBand="0" w:noVBand="0" w:val="0020"/>
        <w:jc w:val="start"/>
      </w:tblPr>
      <w:tblGrid>
        <w:gridCol w:w="3994"/>
        <w:gridCol w:w="2656"/>
        <w:gridCol w:w="2988"/>
      </w:tblGrid>
      <w:tr>
        <w:trPr>
          <w:tblHeader/>
          <w:cantSplit/>
          <w:tblHeader w:val="true"/>
        </w:trPr>
        <w:tc>
          <w:tcPr>
            <w:shd w:val="clear" w:color="auto" w:fill="DCE4F2"/>
            <w:tcW w:w="3994" w:type="dxa"/>
          </w:tcPr>
          <w:tcPr/>
          <w:p>
            <w:pPr>
              <w:pStyle w:val="Compact"/>
              <w:jc w:val="left"/>
            </w:pPr>
            <w:r>
              <w:t xml:space="preserve">Was</w:t>
            </w:r>
          </w:p>
        </w:tc>
        <w:tc>
          <w:tcPr>
            <w:shd w:val="clear" w:color="auto" w:fill="DCE4F2"/>
            <w:tcW w:w="2656" w:type="dxa"/>
          </w:tcPr>
          <w:tcPr/>
          <w:p>
            <w:pPr>
              <w:pStyle w:val="Compact"/>
              <w:jc w:val="left"/>
            </w:pPr>
            <w:r>
              <w:t xml:space="preserve">Turnus</w:t>
            </w:r>
          </w:p>
        </w:tc>
        <w:tc>
          <w:tcPr>
            <w:shd w:val="clear" w:color="auto" w:fill="DCE4F2"/>
            <w:tcW w:w="2988" w:type="dxa"/>
          </w:tcPr>
          <w:tcPr/>
          <w:p>
            <w:pPr>
              <w:pStyle w:val="Compact"/>
              <w:jc w:val="left"/>
            </w:pPr>
            <w:r>
              <w:t xml:space="preserve">Erste Fälligkeit</w:t>
            </w:r>
          </w:p>
        </w:tc>
      </w:tr>
      <w:tr>
        <w:tc>
          <w:tcPr>
            <w:tcW w:w="3994" w:type="dxa"/>
          </w:tcPr>
          <w:tcPr/>
          <w:p>
            <w:pPr>
              <w:pStyle w:val="Compact"/>
              <w:jc w:val="left"/>
            </w:pPr>
            <w:r>
              <w:t xml:space="preserve">Prüfung, ob</w:t>
            </w:r>
            <w:r>
              <w:t xml:space="preserve"> </w:t>
            </w:r>
            <w:r>
              <w:rPr>
                <w:bCs/>
                <w:b/>
              </w:rPr>
              <w:t xml:space="preserve">Anhang III</w:t>
            </w:r>
            <w:r>
              <w:t xml:space="preserve"> </w:t>
            </w:r>
            <w:r>
              <w:t xml:space="preserve">(Hochrisiko-Bereiche) und die</w:t>
            </w:r>
            <w:r>
              <w:t xml:space="preserve"> </w:t>
            </w:r>
            <w:r>
              <w:rPr>
                <w:bCs/>
                <w:b/>
              </w:rPr>
              <w:t xml:space="preserve">Liste der verbotenen Praktiken</w:t>
            </w:r>
            <w:r>
              <w:t xml:space="preserve"> </w:t>
            </w:r>
            <w:r>
              <w:t xml:space="preserve">zu ändern sind</w:t>
            </w:r>
          </w:p>
        </w:tc>
        <w:tc>
          <w:tcPr>
            <w:tcW w:w="2656" w:type="dxa"/>
          </w:tcPr>
          <w:tcPr/>
          <w:p>
            <w:pPr>
              <w:pStyle w:val="Compact"/>
              <w:jc w:val="left"/>
            </w:pPr>
            <w:r>
              <w:t xml:space="preserve">jährlich</w:t>
            </w:r>
          </w:p>
        </w:tc>
        <w:tc>
          <w:tcPr>
            <w:tcW w:w="2988" w:type="dxa"/>
          </w:tcPr>
          <w:tcPr/>
          <w:p>
            <w:pPr>
              <w:pStyle w:val="Compact"/>
              <w:jc w:val="left"/>
            </w:pPr>
            <w:r>
              <w:t xml:space="preserve">laufend, seit Inkrafttreten</w:t>
            </w:r>
          </w:p>
        </w:tc>
      </w:tr>
      <w:tr>
        <w:tc>
          <w:tcPr>
            <w:tcW w:w="3994" w:type="dxa"/>
          </w:tcPr>
          <w:tcPr/>
          <w:p>
            <w:pPr>
              <w:pStyle w:val="Compact"/>
              <w:jc w:val="left"/>
            </w:pPr>
            <w:r>
              <w:t xml:space="preserve">Bewertung: Erweiterung von Anhang III, Änderungen der Transparenzpflichten des Art. 50, Wirksamkeit von Aufsicht und Governance</w:t>
            </w:r>
          </w:p>
        </w:tc>
        <w:tc>
          <w:tcPr>
            <w:tcW w:w="2656" w:type="dxa"/>
          </w:tcPr>
          <w:tcPr/>
          <w:p>
            <w:pPr>
              <w:pStyle w:val="Compact"/>
              <w:jc w:val="left"/>
            </w:pPr>
            <w:r>
              <w:t xml:space="preserve">alle vier Jahre</w:t>
            </w:r>
          </w:p>
        </w:tc>
        <w:tc>
          <w:tcPr>
            <w:tcW w:w="2988" w:type="dxa"/>
          </w:tcPr>
          <w:tcPr/>
          <w:p>
            <w:pPr>
              <w:pStyle w:val="Compact"/>
              <w:jc w:val="left"/>
            </w:pPr>
            <w:r>
              <w:rPr>
                <w:bCs/>
                <w:b/>
              </w:rPr>
              <w:t xml:space="preserve">02.08.2028</w:t>
            </w:r>
          </w:p>
        </w:tc>
      </w:tr>
      <w:tr>
        <w:tc>
          <w:tcPr>
            <w:tcW w:w="3994" w:type="dxa"/>
          </w:tcPr>
          <w:tcPr/>
          <w:p>
            <w:pPr>
              <w:pStyle w:val="Compact"/>
              <w:jc w:val="left"/>
            </w:pPr>
            <w:r>
              <w:t xml:space="preserve">Bewertung von Folgen und Wirksamkeit der freiwilligen Verhaltenskodizes</w:t>
            </w:r>
          </w:p>
        </w:tc>
        <w:tc>
          <w:tcPr>
            <w:tcW w:w="2656" w:type="dxa"/>
          </w:tcPr>
          <w:tcPr/>
          <w:p>
            <w:pPr>
              <w:pStyle w:val="Compact"/>
              <w:jc w:val="left"/>
            </w:pPr>
            <w:r>
              <w:t xml:space="preserve">alle drei Jahre</w:t>
            </w:r>
          </w:p>
        </w:tc>
        <w:tc>
          <w:tcPr>
            <w:tcW w:w="2988" w:type="dxa"/>
          </w:tcPr>
          <w:tcPr/>
          <w:p>
            <w:pPr>
              <w:pStyle w:val="Compact"/>
              <w:jc w:val="left"/>
            </w:pPr>
            <w:r>
              <w:rPr>
                <w:bCs/>
                <w:b/>
              </w:rPr>
              <w:t xml:space="preserve">02.08.2028</w:t>
            </w:r>
          </w:p>
        </w:tc>
      </w:tr>
      <w:tr>
        <w:tc>
          <w:tcPr>
            <w:tcW w:w="3994" w:type="dxa"/>
          </w:tcPr>
          <w:tcPr/>
          <w:p>
            <w:pPr>
              <w:pStyle w:val="Compact"/>
              <w:jc w:val="left"/>
            </w:pPr>
            <w:r>
              <w:t xml:space="preserve">Gesamtbewertung und Überprüfung der Verordnung, einschließlich Durchsetzungsstruktur und der Frage einer eigenen Unionsagentur —</w:t>
            </w:r>
            <w:r>
              <w:t xml:space="preserve"> </w:t>
            </w:r>
            <w:r>
              <w:rPr>
                <w:bCs/>
                <w:b/>
              </w:rPr>
              <w:t xml:space="preserve">gegebenenfalls mit Änderungsvorschlag</w:t>
            </w:r>
          </w:p>
        </w:tc>
        <w:tc>
          <w:tcPr>
            <w:tcW w:w="2656" w:type="dxa"/>
          </w:tcPr>
          <w:tcPr/>
          <w:p>
            <w:pPr>
              <w:pStyle w:val="Compact"/>
              <w:jc w:val="left"/>
            </w:pPr>
            <w:r>
              <w:t xml:space="preserve">alle vier Jahre</w:t>
            </w:r>
          </w:p>
        </w:tc>
        <w:tc>
          <w:tcPr>
            <w:tcW w:w="2988" w:type="dxa"/>
          </w:tcPr>
          <w:tcPr/>
          <w:p>
            <w:pPr>
              <w:pStyle w:val="Compact"/>
              <w:jc w:val="left"/>
            </w:pPr>
            <w:r>
              <w:rPr>
                <w:bCs/>
                <w:b/>
              </w:rPr>
              <w:t xml:space="preserve">02.08.2029</w:t>
            </w:r>
          </w:p>
        </w:tc>
      </w:tr>
    </w:tbl>
    <w:p>
      <w:pPr>
        <w:pStyle w:val="BlockText"/>
      </w:pPr>
      <w:r>
        <w:rPr>
          <w:bCs/>
          <w:b/>
        </w:rPr>
        <w:t xml:space="preserve">Fundstelle:</w:t>
      </w:r>
      <w:r>
        <w:t xml:space="preserve"> </w:t>
      </w:r>
      <w:r>
        <w:t xml:space="preserve">Art. 112 Abs. 1 bis 4 KI-VO; Erwägungsgrund 174 der KI-VO.</w:t>
      </w:r>
    </w:p>
    <w:p>
      <w:pPr>
        <w:pStyle w:val="FirstParagraph"/>
      </w:pPr>
      <w:r>
        <w:rPr>
          <w:bCs/>
          <w:b/>
        </w:rPr>
        <w:t xml:space="preserve">Praktische Folge:</w:t>
      </w:r>
      <w:r>
        <w:t xml:space="preserve"> </w:t>
      </w:r>
      <w:r>
        <w:t xml:space="preserve">Die Liste der verbotenen Praktiken und die Liste der Hochrisiko-Bereiche stehen</w:t>
      </w:r>
      <w:r>
        <w:t xml:space="preserve"> </w:t>
      </w:r>
      <w:r>
        <w:rPr>
          <w:bCs/>
          <w:b/>
        </w:rPr>
        <w:t xml:space="preserve">jedes Jahr</w:t>
      </w:r>
      <w:r>
        <w:t xml:space="preserve"> </w:t>
      </w:r>
      <w:r>
        <w:t xml:space="preserve">auf dem Prüfstand. Ein System, das heute unterhalb der Hochrisiko-Schwelle liegt, kann durch eine Änderung des Anhangs III hineinrutschen. Wer ein KI-Inventar führt, sollte es einmal jährlich gegen den dann geltenden Anhang III abgleichen — nicht nur bei Änderungen am eigenen System.</w:t>
      </w:r>
    </w:p>
    <w:bookmarkEnd w:id="27"/>
    <w:bookmarkStart w:id="28" w:name="Xaef44edd7c49d938a61ae27918a7558ccffb017"/>
    <w:p>
      <w:pPr>
        <w:pStyle w:val="Heading2"/>
      </w:pPr>
      <w:r>
        <w:t xml:space="preserve">2.4 Was noch fehlt: das deutsche Durchführungsrecht</w:t>
      </w:r>
    </w:p>
    <w:p>
      <w:pPr>
        <w:pStyle w:val="FirstParagraph"/>
      </w:pPr>
      <w:r>
        <w:t xml:space="preserve">Die KI-Verordnung überlässt den Mitgliedstaaten die Benennung der Marktüberwachungsbehörden und die Ausgestaltung der Sanktionsvorschriften. Für Deutschland wurde der Umsetzungsstand für dieses Dokumentenpaket</w:t>
      </w:r>
      <w:r>
        <w:t xml:space="preserve"> </w:t>
      </w:r>
      <w:r>
        <w:rPr>
          <w:bCs/>
          <w:b/>
        </w:rPr>
        <w:t xml:space="preserve">nicht verifiziert</w:t>
      </w:r>
      <w:r>
        <w:t xml:space="preserve">. Solange nicht feststeht, welche Behörde zuständig ist, bleibt auch offen, an wen Meldungen nach Art. 26 Abs. 5 und Art. 73 zu richten sind und mit welchen Sanktionen national zu rechnen ist.</w:t>
      </w:r>
      <w:r>
        <w:t xml:space="preserve"> </w:t>
      </w:r>
      <w:r>
        <w:rPr>
          <w:iCs/>
          <w:i/>
        </w:rPr>
        <w:t xml:space="preserve">[nicht verifiziert]</w:t>
      </w:r>
    </w:p>
    <w:p>
      <w:pPr>
        <w:pStyle w:val="BlockText"/>
      </w:pPr>
      <w:r>
        <w:rPr>
          <w:bCs/>
          <w:b/>
        </w:rPr>
        <w:t xml:space="preserve">Fundstelle:</w:t>
      </w:r>
      <w:r>
        <w:t xml:space="preserve"> </w:t>
      </w:r>
      <w:r>
        <w:t xml:space="preserve">Art. 70 (zuständige nationale Behörden), Art. 74 (Marktüberwachung) und Art. 99 Abs. 1 KI-VO.</w:t>
      </w:r>
    </w:p>
    <w:p>
      <w:r>
        <w:pict>
          <v:rect style="width:0;height:1.5pt" o:hralign="center" o:hrstd="t" o:hr="t"/>
        </w:pict>
      </w:r>
    </w:p>
    <w:bookmarkEnd w:id="28"/>
    <w:bookmarkEnd w:id="29"/>
    <w:bookmarkStart w:id="39" w:name="Xb8f2e1e9501e3c709eb815d685958392bdd8e64"/>
    <w:p>
      <w:pPr>
        <w:pStyle w:val="Heading1"/>
      </w:pPr>
      <w:r>
        <w:t xml:space="preserve">3. Teil B — Die Digital-Omnibus-Verordnung (Daten)</w:t>
      </w:r>
    </w:p>
    <w:bookmarkStart w:id="30" w:name="was-sie-ändern-und-aufheben-soll"/>
    <w:p>
      <w:pPr>
        <w:pStyle w:val="Heading2"/>
      </w:pPr>
      <w:r>
        <w:t xml:space="preserve">3.1 Was sie ändern und aufheben soll</w:t>
      </w:r>
    </w:p>
    <w:p>
      <w:pPr>
        <w:pStyle w:val="FirstParagraph"/>
      </w:pPr>
      <w:r>
        <w:t xml:space="preserve">Der Vorschlag COM(2025) 837 ist erheblich breiter als der KI-Teil. Er will sieben Rechtsakte ändern und vier weitere ganz aufheben, deren Inhalte er in die Datenverordnung überführt.</w:t>
      </w:r>
    </w:p>
    <w:p>
      <w:pPr>
        <w:pStyle w:val="BodyText"/>
      </w:pPr>
      <w:r>
        <w:rPr>
          <w:bCs/>
          <w:b/>
        </w:rPr>
        <w:t xml:space="preserve">Geändert werden sollen:</w:t>
      </w:r>
      <w:r>
        <w:t xml:space="preserve"> </w:t>
      </w:r>
      <w:r>
        <w:rPr>
          <w:iCs/>
          <w:i/>
        </w:rPr>
        <w:t xml:space="preserve">[Vorschlag]</w:t>
      </w:r>
    </w:p>
    <w:p>
      <w:pPr>
        <w:numPr>
          <w:ilvl w:val="0"/>
          <w:numId w:val="1001"/>
        </w:numPr>
        <w:pStyle w:val="Compact"/>
      </w:pPr>
      <w:r>
        <w:t xml:space="preserve">Verordnung (EU) 2016/679 —</w:t>
      </w:r>
      <w:r>
        <w:t xml:space="preserve"> </w:t>
      </w:r>
      <w:r>
        <w:rPr>
          <w:bCs/>
          <w:b/>
        </w:rPr>
        <w:t xml:space="preserve">Datenschutz-Grundverordnung</w:t>
      </w:r>
    </w:p>
    <w:p>
      <w:pPr>
        <w:numPr>
          <w:ilvl w:val="0"/>
          <w:numId w:val="1001"/>
        </w:numPr>
        <w:pStyle w:val="Compact"/>
      </w:pPr>
      <w:r>
        <w:t xml:space="preserve">Verordnung (EU) 2023/2854 —</w:t>
      </w:r>
      <w:r>
        <w:t xml:space="preserve"> </w:t>
      </w:r>
      <w:r>
        <w:rPr>
          <w:bCs/>
          <w:b/>
        </w:rPr>
        <w:t xml:space="preserve">Datenverordnung (Data Act)</w:t>
      </w:r>
    </w:p>
    <w:p>
      <w:pPr>
        <w:numPr>
          <w:ilvl w:val="0"/>
          <w:numId w:val="1001"/>
        </w:numPr>
        <w:pStyle w:val="Compact"/>
      </w:pPr>
      <w:r>
        <w:t xml:space="preserve">Verordnung (EU) 2018/1725 — Datenschutz bei den Organen der Union</w:t>
      </w:r>
    </w:p>
    <w:p>
      <w:pPr>
        <w:numPr>
          <w:ilvl w:val="0"/>
          <w:numId w:val="1001"/>
        </w:numPr>
        <w:pStyle w:val="Compact"/>
      </w:pPr>
      <w:r>
        <w:t xml:space="preserve">Verordnung (EU) 2018/1724 — einheitliches digitales Zugangstor</w:t>
      </w:r>
    </w:p>
    <w:p>
      <w:pPr>
        <w:numPr>
          <w:ilvl w:val="0"/>
          <w:numId w:val="1001"/>
        </w:numPr>
        <w:pStyle w:val="Compact"/>
      </w:pPr>
      <w:r>
        <w:t xml:space="preserve">Richtlinie 2002/58/EG —</w:t>
      </w:r>
      <w:r>
        <w:t xml:space="preserve"> </w:t>
      </w:r>
      <w:r>
        <w:rPr>
          <w:bCs/>
          <w:b/>
        </w:rPr>
        <w:t xml:space="preserve">ePrivacy-Richtlinie</w:t>
      </w:r>
    </w:p>
    <w:p>
      <w:pPr>
        <w:numPr>
          <w:ilvl w:val="0"/>
          <w:numId w:val="1001"/>
        </w:numPr>
        <w:pStyle w:val="Compact"/>
      </w:pPr>
      <w:r>
        <w:t xml:space="preserve">Richtlinie (EU) 2022/2555 —</w:t>
      </w:r>
      <w:r>
        <w:t xml:space="preserve"> </w:t>
      </w:r>
      <w:r>
        <w:rPr>
          <w:bCs/>
          <w:b/>
        </w:rPr>
        <w:t xml:space="preserve">NIS-2</w:t>
      </w:r>
    </w:p>
    <w:p>
      <w:pPr>
        <w:numPr>
          <w:ilvl w:val="0"/>
          <w:numId w:val="1001"/>
        </w:numPr>
        <w:pStyle w:val="Compact"/>
      </w:pPr>
      <w:r>
        <w:t xml:space="preserve">Richtlinie (EU) 2022/2557 — Resilienz kritischer Einrichtungen</w:t>
      </w:r>
    </w:p>
    <w:p>
      <w:pPr>
        <w:pStyle w:val="FirstParagraph"/>
      </w:pPr>
      <w:r>
        <w:rPr>
          <w:bCs/>
          <w:b/>
        </w:rPr>
        <w:t xml:space="preserve">Aufgehoben werden sollen:</w:t>
      </w:r>
      <w:r>
        <w:t xml:space="preserve"> </w:t>
      </w:r>
      <w:r>
        <w:rPr>
          <w:iCs/>
          <w:i/>
        </w:rPr>
        <w:t xml:space="preserve">[Vorschlag]</w:t>
      </w:r>
    </w:p>
    <w:p>
      <w:pPr>
        <w:numPr>
          <w:ilvl w:val="0"/>
          <w:numId w:val="1002"/>
        </w:numPr>
        <w:pStyle w:val="Compact"/>
      </w:pPr>
      <w:r>
        <w:t xml:space="preserve">Verordnung (EU) 2022/868 —</w:t>
      </w:r>
      <w:r>
        <w:t xml:space="preserve"> </w:t>
      </w:r>
      <w:r>
        <w:rPr>
          <w:bCs/>
          <w:b/>
        </w:rPr>
        <w:t xml:space="preserve">Daten-Governance-Rechtsakt</w:t>
      </w:r>
    </w:p>
    <w:p>
      <w:pPr>
        <w:numPr>
          <w:ilvl w:val="0"/>
          <w:numId w:val="1002"/>
        </w:numPr>
        <w:pStyle w:val="Compact"/>
      </w:pPr>
      <w:r>
        <w:t xml:space="preserve">Richtlinie (EU) 2019/1024 —</w:t>
      </w:r>
      <w:r>
        <w:t xml:space="preserve"> </w:t>
      </w:r>
      <w:r>
        <w:rPr>
          <w:bCs/>
          <w:b/>
        </w:rPr>
        <w:t xml:space="preserve">Open-Data-Richtlinie</w:t>
      </w:r>
    </w:p>
    <w:p>
      <w:pPr>
        <w:numPr>
          <w:ilvl w:val="0"/>
          <w:numId w:val="1002"/>
        </w:numPr>
        <w:pStyle w:val="Compact"/>
      </w:pPr>
      <w:r>
        <w:t xml:space="preserve">Verordnung (EU) 2019/1150 —</w:t>
      </w:r>
      <w:r>
        <w:t xml:space="preserve"> </w:t>
      </w:r>
      <w:r>
        <w:rPr>
          <w:bCs/>
          <w:b/>
        </w:rPr>
        <w:t xml:space="preserve">P2B-Verordnung</w:t>
      </w:r>
      <w:r>
        <w:t xml:space="preserve"> </w:t>
      </w:r>
      <w:r>
        <w:t xml:space="preserve">(Plattform-zu-Unternehmen)</w:t>
      </w:r>
    </w:p>
    <w:p>
      <w:pPr>
        <w:numPr>
          <w:ilvl w:val="0"/>
          <w:numId w:val="1002"/>
        </w:numPr>
        <w:pStyle w:val="Compact"/>
      </w:pPr>
      <w:r>
        <w:t xml:space="preserve">Verordnung (EU) 2018/1807 — freier Verkehr nicht-personenbezogener Daten</w:t>
      </w:r>
    </w:p>
    <w:p>
      <w:pPr>
        <w:pStyle w:val="FirstParagraph"/>
      </w:pPr>
      <w:r>
        <w:t xml:space="preserve">Die Inhalte der vier aufgehobenen Rechtsakte sollen in die Datenverordnung wandern; dort sind dafür neue Kapitel mit den Artikeln 32a bis 32aa vorgesehen. Aus fünf datenbezogenen Rechtsakten würden im Ergebnis zwei: DSGVO und Datenverordnung.</w:t>
      </w:r>
    </w:p>
    <w:p>
      <w:pPr>
        <w:pStyle w:val="BlockText"/>
      </w:pPr>
      <w:r>
        <w:rPr>
          <w:bCs/>
          <w:b/>
        </w:rPr>
        <w:t xml:space="preserve">Fundstelle:</w:t>
      </w:r>
      <w:r>
        <w:t xml:space="preserve"> </w:t>
      </w:r>
      <w:r>
        <w:t xml:space="preserve">COM(2025) 837 final vom 19.11.2025, Titel und Art. 1 bis 11. Amtlicher deutscher Titel: „Vorschlag für eine Verordnung … zur Änderung der Verordnungen (EU) 2016/679, (EU) 2018/1724, (EU) 2018/1725, (EU) 2023/2854 und der Richtlinien 2002/58/EG, (EU) 2022/2555 und (EU) 2022/2557 hinsichtlich der Vereinfachung des digitalen Rechtsrahmens und zur Aufhebung der Verordnungen (EU) 2018/1807, (EU) 2019/1150, (EU) 2022/868 und der Richtlinie (EU) 2019/1024 (Digital-Omnibus-Verordnung)“.</w:t>
      </w:r>
    </w:p>
    <w:bookmarkEnd w:id="30"/>
    <w:bookmarkStart w:id="36" w:name="X90c4ad50afdcc4ccff1d3ab7cff4aeefe6e6f51"/>
    <w:p>
      <w:pPr>
        <w:pStyle w:val="Heading2"/>
      </w:pPr>
      <w:r>
        <w:t xml:space="preserve">3.2 Die fünf Punkte, die für KI-Anwender zählen</w:t>
      </w:r>
    </w:p>
    <w:bookmarkStart w:id="31" w:name="X7543f5cb9b4a3cd3c4f05a0f997f63efe503c9d"/>
    <w:p>
      <w:pPr>
        <w:pStyle w:val="Heading3"/>
      </w:pPr>
      <w:r>
        <w:t xml:space="preserve">a) Berechtigtes Interesse für Entwicklung und Betrieb von KI — vorgeschlagener Art. 88c DSGVO</w:t>
      </w:r>
    </w:p>
    <w:p>
      <w:pPr>
        <w:pStyle w:val="FirstParagraph"/>
      </w:pPr>
      <w:r>
        <w:t xml:space="preserve">Der Vorschlag will ausdrücklich klarstellen, dass die Verarbeitung personenbezogener Daten für Entwicklung und Betrieb eines KI-Systems oder KI-Modells</w:t>
      </w:r>
      <w:r>
        <w:t xml:space="preserve"> </w:t>
      </w:r>
      <w:r>
        <w:rPr>
          <w:bCs/>
          <w:b/>
        </w:rPr>
        <w:t xml:space="preserve">auf ein berechtigtes Interesse gestützt werden kann</w:t>
      </w:r>
      <w:r>
        <w:t xml:space="preserve">. Voraussetzung bleibt die Abwägung: Die Interessen und Grundrechte der betroffenen Person dürfen nicht überwiegen — bei Kindern wird das ausdrücklich hervorgehoben. Verlangt ein anderes Gesetz ausdrücklich eine Einwilligung, bleibt es dabei.</w:t>
      </w:r>
    </w:p>
    <w:p>
      <w:pPr>
        <w:pStyle w:val="BodyText"/>
      </w:pPr>
      <w:r>
        <w:t xml:space="preserve">Flankierend sind Schutzmaßnahmen vorgesehen: Datenminimierung schon bei der Auswahl der Quellen und beim Training, Schutz gespeicherter Daten vor Offenlegung, mehr Transparenz und ein</w:t>
      </w:r>
      <w:r>
        <w:t xml:space="preserve"> </w:t>
      </w:r>
      <w:r>
        <w:rPr>
          <w:bCs/>
          <w:b/>
        </w:rPr>
        <w:t xml:space="preserve">bedingungsloses Widerspruchsrecht</w:t>
      </w:r>
      <w:r>
        <w:t xml:space="preserve"> </w:t>
      </w:r>
      <w:r>
        <w:t xml:space="preserve">der betroffenen Person.</w:t>
      </w:r>
      <w:r>
        <w:t xml:space="preserve"> </w:t>
      </w:r>
      <w:r>
        <w:rPr>
          <w:iCs/>
          <w:i/>
        </w:rPr>
        <w:t xml:space="preserve">[Vorschlag]</w:t>
      </w:r>
    </w:p>
    <w:p>
      <w:pPr>
        <w:pStyle w:val="BlockText"/>
      </w:pPr>
      <w:r>
        <w:rPr>
          <w:bCs/>
          <w:b/>
        </w:rPr>
        <w:t xml:space="preserve">Fundstelle:</w:t>
      </w:r>
      <w:r>
        <w:t xml:space="preserve"> </w:t>
      </w:r>
      <w:r>
        <w:t xml:space="preserve">COM(2025) 837 final, Art. 3 Nr. 14 — vorgeschlagener Art. 88c DSGVO; Bezug auf Art. 6 Abs. 1 lit. f DSGVO und Art. 3 Nr. 1 der VO (EU) 2024/1689.</w:t>
      </w:r>
    </w:p>
    <w:p>
      <w:pPr>
        <w:pStyle w:val="FirstParagraph"/>
      </w:pPr>
      <w:r>
        <w:rPr>
          <w:bCs/>
          <w:b/>
        </w:rPr>
        <w:t xml:space="preserve">Einordnung:</w:t>
      </w:r>
      <w:r>
        <w:t xml:space="preserve"> </w:t>
      </w:r>
      <w:r>
        <w:t xml:space="preserve">Der Europäische Datenschutzausschuss und der Europäische Datenschutzbeauftragte halten eine solche Vorschrift für</w:t>
      </w:r>
      <w:r>
        <w:t xml:space="preserve"> </w:t>
      </w:r>
      <w:r>
        <w:rPr>
          <w:bCs/>
          <w:b/>
        </w:rPr>
        <w:t xml:space="preserve">nicht erforderlich</w:t>
      </w:r>
      <w:r>
        <w:t xml:space="preserve"> </w:t>
      </w:r>
      <w:r>
        <w:t xml:space="preserve">— nach ihrer Stellungnahme 28/2024 kann ein berechtigtes Interesse in KI-Zusammenhängen ohnehin in Betracht kommen.</w:t>
      </w:r>
      <w:r>
        <w:t xml:space="preserve"> </w:t>
      </w:r>
      <w:r>
        <w:rPr>
          <w:iCs/>
          <w:i/>
        </w:rPr>
        <w:t xml:space="preserve">[Verfahrensstand]</w:t>
      </w:r>
    </w:p>
    <w:bookmarkEnd w:id="31"/>
    <w:bookmarkStart w:id="32" w:name="Xc6b38a778bea9a847ed27e1aecdcea6f198a90c"/>
    <w:p>
      <w:pPr>
        <w:pStyle w:val="Heading3"/>
      </w:pPr>
      <w:r>
        <w:t xml:space="preserve">b) Besondere Kategorien personenbezogener Daten bei der KI-Entwicklung — vorgeschlagener Art. 9 Abs. 2 lit. k und Abs. 5 DSGVO</w:t>
      </w:r>
    </w:p>
    <w:p>
      <w:pPr>
        <w:pStyle w:val="FirstParagraph"/>
      </w:pPr>
      <w:r>
        <w:t xml:space="preserve">Hier liegt die</w:t>
      </w:r>
      <w:r>
        <w:t xml:space="preserve"> </w:t>
      </w:r>
      <w:r>
        <w:rPr>
          <w:bCs/>
          <w:b/>
        </w:rPr>
        <w:t xml:space="preserve">wichtigste Schnittstelle zur KI-Verordnung</w:t>
      </w:r>
      <w:r>
        <w:t xml:space="preserve">. Der Vorschlag will einen neuen Erlaubnistatbestand für die Verarbeitung besonderer Datenkategorien im Zusammenhang mit Entwicklung und Betrieb von KI schaffen — verbunden mit einer strengen Pflicht: Der Verantwortliche muss durch technische und organisatorische Maßnahmen</w:t>
      </w:r>
      <w:r>
        <w:t xml:space="preserve"> </w:t>
      </w:r>
      <w:r>
        <w:rPr>
          <w:bCs/>
          <w:b/>
        </w:rPr>
        <w:t xml:space="preserve">vermeiden</w:t>
      </w:r>
      <w:r>
        <w:t xml:space="preserve">, dass solche Daten überhaupt erhoben werden. Stellt er trotzdem fest, dass sie in Trainings-, Test- oder Validierungsdaten oder im Modell enthalten sind, muss er sie</w:t>
      </w:r>
      <w:r>
        <w:t xml:space="preserve"> </w:t>
      </w:r>
      <w:r>
        <w:rPr>
          <w:bCs/>
          <w:b/>
        </w:rPr>
        <w:t xml:space="preserve">entfernen</w:t>
      </w:r>
      <w:r>
        <w:t xml:space="preserve">. Ist das unverhältnismäßig aufwendig, muss er sie unverzüglich wirksam davor schützen, zur Erzeugung von Ergebnissen verwendet, offengelegt oder Dritten zugänglich gemacht zu werden.</w:t>
      </w:r>
    </w:p>
    <w:p>
      <w:pPr>
        <w:pStyle w:val="BodyText"/>
      </w:pPr>
      <w:r>
        <w:t xml:space="preserve">Zusätzlich vorgesehen: eine Ausnahme für die Verarbeitung biometrischer Daten zur</w:t>
      </w:r>
      <w:r>
        <w:t xml:space="preserve"> </w:t>
      </w:r>
      <w:r>
        <w:rPr>
          <w:bCs/>
          <w:b/>
        </w:rPr>
        <w:t xml:space="preserve">Identitätsbestätigung</w:t>
      </w:r>
      <w:r>
        <w:t xml:space="preserve">, wenn die Daten oder die Mittel unter der alleinigen Kontrolle der betroffenen Person stehen.</w:t>
      </w:r>
      <w:r>
        <w:t xml:space="preserve"> </w:t>
      </w:r>
      <w:r>
        <w:rPr>
          <w:iCs/>
          <w:i/>
        </w:rPr>
        <w:t xml:space="preserve">[Vorschlag]</w:t>
      </w:r>
    </w:p>
    <w:p>
      <w:pPr>
        <w:pStyle w:val="BlockText"/>
      </w:pPr>
      <w:r>
        <w:rPr>
          <w:bCs/>
          <w:b/>
        </w:rPr>
        <w:t xml:space="preserve">Fundstelle:</w:t>
      </w:r>
      <w:r>
        <w:t xml:space="preserve"> </w:t>
      </w:r>
      <w:r>
        <w:t xml:space="preserve">COM(2025) 837 final, Art. 3 Nr. 3 — vorgeschlagene Art. 9 Abs. 2 lit. k und lit. l sowie Art. 9 Abs. 5 DSGVO.</w:t>
      </w:r>
    </w:p>
    <w:p>
      <w:pPr>
        <w:pStyle w:val="BlockText"/>
      </w:pPr>
      <w:r>
        <w:rPr>
          <w:bCs/>
          <w:b/>
        </w:rPr>
        <w:t xml:space="preserve">Abgrenzung zu Art. 4a KI-VO — nicht verwechseln:</w:t>
      </w:r>
      <w:r>
        <w:t xml:space="preserve"> </w:t>
      </w:r>
      <w:r>
        <w:rPr>
          <w:bCs/>
          <w:b/>
        </w:rPr>
        <w:t xml:space="preserve">Art. 4a der KI-Verordnung gilt bereits seit dem 27.07.2026</w:t>
      </w:r>
      <w:r>
        <w:t xml:space="preserve"> </w:t>
      </w:r>
      <w:r>
        <w:t xml:space="preserve">und erlaubt die Verarbeitung besonderer Datenkategorien</w:t>
      </w:r>
      <w:r>
        <w:t xml:space="preserve"> </w:t>
      </w:r>
      <w:r>
        <w:rPr>
          <w:bCs/>
          <w:b/>
        </w:rPr>
        <w:t xml:space="preserve">zu einem einzigen Zweck: der Erkennung und Korrektur von Verzerrungen</w:t>
      </w:r>
      <w:r>
        <w:t xml:space="preserve">, unter kumulativen Bedingungen. Der hier beschriebene Art. 9 Abs. 2 lit. k DSGVO würde etwas anderes regeln — das</w:t>
      </w:r>
      <w:r>
        <w:t xml:space="preserve"> </w:t>
      </w:r>
      <w:r>
        <w:rPr>
          <w:bCs/>
          <w:b/>
        </w:rPr>
        <w:t xml:space="preserve">beiläufige und unvermeidbare</w:t>
      </w:r>
      <w:r>
        <w:t xml:space="preserve"> </w:t>
      </w:r>
      <w:r>
        <w:t xml:space="preserve">Vorkommen solcher Daten bei Entwicklung und Betrieb, verbunden mit einer Entfernungs- beziehungsweise Abschirmungspflicht. Das eine ersetzt das andere nicht. Solange der Vorschlag nicht in Kraft ist, bleibt Art. 4a KI-VO die einzige KI-spezifische Rechtsgrundlage dieser Art.</w:t>
      </w:r>
    </w:p>
    <w:bookmarkEnd w:id="32"/>
    <w:bookmarkStart w:id="33" w:name="Xa02e898e87b181f47197f729ec1aa494fceab5a"/>
    <w:p>
      <w:pPr>
        <w:pStyle w:val="Heading3"/>
      </w:pPr>
      <w:r>
        <w:t xml:space="preserve">c) Der Begriff „personenbezogene Daten” — vorgeschlagener Art. 4 Nr. 1 DSGVO</w:t>
      </w:r>
    </w:p>
    <w:p>
      <w:pPr>
        <w:pStyle w:val="FirstParagraph"/>
      </w:pPr>
      <w:r>
        <w:t xml:space="preserve">Der Vorschlag will dem Begriff eine</w:t>
      </w:r>
      <w:r>
        <w:t xml:space="preserve"> </w:t>
      </w:r>
      <w:r>
        <w:rPr>
          <w:bCs/>
          <w:b/>
        </w:rPr>
        <w:t xml:space="preserve">relative Betrachtung</w:t>
      </w:r>
      <w:r>
        <w:t xml:space="preserve"> </w:t>
      </w:r>
      <w:r>
        <w:t xml:space="preserve">hinzufügen: Angaben sollen für eine bestimmte Stelle nicht personenbezogen sein, wenn diese Stelle die betroffene Person mit den von ihr mit hinreichender Wahrscheinlichkeit genutzten Mitteln nicht identifizieren kann — und sie sollen nicht allein deshalb personenbezogen werden, weil ein späterer Empfänger über solche Mittel verfügt.</w:t>
      </w:r>
      <w:r>
        <w:t xml:space="preserve"> </w:t>
      </w:r>
      <w:r>
        <w:rPr>
          <w:iCs/>
          <w:i/>
        </w:rPr>
        <w:t xml:space="preserve">[Vorschlag]</w:t>
      </w:r>
    </w:p>
    <w:p>
      <w:pPr>
        <w:pStyle w:val="BlockText"/>
      </w:pPr>
      <w:r>
        <w:rPr>
          <w:bCs/>
          <w:b/>
        </w:rPr>
        <w:t xml:space="preserve">Fundstelle:</w:t>
      </w:r>
      <w:r>
        <w:t xml:space="preserve"> </w:t>
      </w:r>
      <w:r>
        <w:t xml:space="preserve">COM(2025) 837 final, Art. 3 Nr. 1 lit. a — vorgeschlagene Ergänzung des Art. 4 Nr. 1 DSGVO.</w:t>
      </w:r>
    </w:p>
    <w:p>
      <w:pPr>
        <w:pStyle w:val="FirstParagraph"/>
      </w:pPr>
      <w:r>
        <w:rPr>
          <w:bCs/>
          <w:b/>
        </w:rPr>
        <w:t xml:space="preserve">Das ist der am stärksten umstrittene Punkt des gesamten Vorschlags.</w:t>
      </w:r>
      <w:r>
        <w:t xml:space="preserve"> </w:t>
      </w:r>
      <w:r>
        <w:t xml:space="preserve">Der Europäische Datenschutzausschuss und der Europäische Datenschutzbeauftragte fordern die Gesetzgeber in ihrer gemeinsamen Stellungnahme</w:t>
      </w:r>
      <w:r>
        <w:t xml:space="preserve"> </w:t>
      </w:r>
      <w:r>
        <w:rPr>
          <w:bCs/>
          <w:b/>
        </w:rPr>
        <w:t xml:space="preserve">ausdrücklich auf, diese Änderung nicht anzunehmen</w:t>
      </w:r>
      <w:r>
        <w:t xml:space="preserve">: Sie würde den Begriff erheblich verengen und über die Rechtsprechung des Gerichtshofs hinausgehen. Auch im Rat war der Punkt nicht konsensfähig; ein durchgesickerter Kompromisstext der Mitgliedstaaten soll die Neudefinition gestrichen haben.</w:t>
      </w:r>
      <w:r>
        <w:t xml:space="preserve"> </w:t>
      </w:r>
      <w:r>
        <w:rPr>
          <w:iCs/>
          <w:i/>
        </w:rPr>
        <w:t xml:space="preserve">[Verfahrensstand]</w:t>
      </w:r>
    </w:p>
    <w:p>
      <w:pPr>
        <w:pStyle w:val="BlockText"/>
      </w:pPr>
      <w:r>
        <w:rPr>
          <w:bCs/>
          <w:b/>
        </w:rPr>
        <w:t xml:space="preserve">Fundstelle:</w:t>
      </w:r>
      <w:r>
        <w:t xml:space="preserve"> </w:t>
      </w:r>
      <w:r>
        <w:t xml:space="preserve">EDSA-EDSB, Gemeinsame Stellungnahme 2/2026 vom 11.02.2026.</w:t>
      </w:r>
    </w:p>
    <w:p>
      <w:pPr>
        <w:pStyle w:val="FirstParagraph"/>
      </w:pPr>
      <w:r>
        <w:rPr>
          <w:bCs/>
          <w:b/>
        </w:rPr>
        <w:t xml:space="preserve">Warum das für KI-Projekte zählt:</w:t>
      </w:r>
      <w:r>
        <w:t xml:space="preserve"> </w:t>
      </w:r>
      <w:r>
        <w:t xml:space="preserve">Ob pseudonymisierte Trainingsdaten für den jeweiligen Verantwortlichen personenbezogen sind, entscheidet darüber, ob die DSGVO überhaupt greift. An dieser einen Definition hängt der halbe Compliance-Aufwand vieler KI-Vorhaben. Genau deshalb sollte man darauf</w:t>
      </w:r>
      <w:r>
        <w:t xml:space="preserve"> </w:t>
      </w:r>
      <w:r>
        <w:rPr>
          <w:bCs/>
          <w:b/>
        </w:rPr>
        <w:t xml:space="preserve">nicht</w:t>
      </w:r>
      <w:r>
        <w:t xml:space="preserve"> </w:t>
      </w:r>
      <w:r>
        <w:t xml:space="preserve">planen, bevor der Text steht.</w:t>
      </w:r>
    </w:p>
    <w:bookmarkEnd w:id="33"/>
    <w:bookmarkStart w:id="34" w:name="Xf6e31f8b045ef846bc53ce6796961994ef30f86"/>
    <w:p>
      <w:pPr>
        <w:pStyle w:val="Heading3"/>
      </w:pPr>
      <w:r>
        <w:t xml:space="preserve">d) Endeinrichtungen, Cookies und maschinenlesbare Einwilligung — vorgeschlagene Art. 88a und 88b DSGVO</w:t>
      </w:r>
    </w:p>
    <w:p>
      <w:pPr>
        <w:pStyle w:val="FirstParagraph"/>
      </w:pPr>
      <w:r>
        <w:t xml:space="preserve">Die Cookie-Regeln sollen aus der ePrivacy-Richtlinie in die DSGVO wandern. Vorgesehen sind unter anderem:</w:t>
      </w:r>
    </w:p>
    <w:p>
      <w:pPr>
        <w:numPr>
          <w:ilvl w:val="0"/>
          <w:numId w:val="1003"/>
        </w:numPr>
        <w:pStyle w:val="Compact"/>
      </w:pPr>
      <w:r>
        <w:t xml:space="preserve">ein</w:t>
      </w:r>
      <w:r>
        <w:t xml:space="preserve"> </w:t>
      </w:r>
      <w:r>
        <w:rPr>
          <w:bCs/>
          <w:b/>
        </w:rPr>
        <w:t xml:space="preserve">Ablehnen mit einem Klick</w:t>
      </w:r>
      <w:r>
        <w:t xml:space="preserve">;</w:t>
      </w:r>
    </w:p>
    <w:p>
      <w:pPr>
        <w:numPr>
          <w:ilvl w:val="0"/>
          <w:numId w:val="1003"/>
        </w:numPr>
        <w:pStyle w:val="Compact"/>
      </w:pPr>
      <w:r>
        <w:t xml:space="preserve">ein Verbot, nach einer erteilten Einwilligung für denselben Zweck erneut zu fragen, solange man sich darauf stützen kann;</w:t>
      </w:r>
    </w:p>
    <w:p>
      <w:pPr>
        <w:numPr>
          <w:ilvl w:val="0"/>
          <w:numId w:val="1003"/>
        </w:numPr>
        <w:pStyle w:val="Compact"/>
      </w:pPr>
      <w:r>
        <w:t xml:space="preserve">nach einer</w:t>
      </w:r>
      <w:r>
        <w:t xml:space="preserve"> </w:t>
      </w:r>
      <w:r>
        <w:rPr>
          <w:bCs/>
          <w:b/>
        </w:rPr>
        <w:t xml:space="preserve">Ablehnung</w:t>
      </w:r>
      <w:r>
        <w:t xml:space="preserve"> </w:t>
      </w:r>
      <w:r>
        <w:t xml:space="preserve">eine Sperrfrist von</w:t>
      </w:r>
      <w:r>
        <w:t xml:space="preserve"> </w:t>
      </w:r>
      <w:r>
        <w:rPr>
          <w:bCs/>
          <w:b/>
        </w:rPr>
        <w:t xml:space="preserve">mindestens sechs Monaten</w:t>
      </w:r>
      <w:r>
        <w:t xml:space="preserve"> </w:t>
      </w:r>
      <w:r>
        <w:t xml:space="preserve">für dieselbe Anfrage;</w:t>
      </w:r>
    </w:p>
    <w:p>
      <w:pPr>
        <w:numPr>
          <w:ilvl w:val="0"/>
          <w:numId w:val="1003"/>
        </w:numPr>
        <w:pStyle w:val="Compact"/>
      </w:pPr>
      <w:r>
        <w:t xml:space="preserve">vier einwilligungsfreie Zwecke: Übertragung der Kommunikation, ausdrücklich verlangte Dienstleistung,</w:t>
      </w:r>
      <w:r>
        <w:t xml:space="preserve"> </w:t>
      </w:r>
      <w:r>
        <w:rPr>
          <w:bCs/>
          <w:b/>
        </w:rPr>
        <w:t xml:space="preserve">eigene Reichweitenmessung</w:t>
      </w:r>
      <w:r>
        <w:t xml:space="preserve"> </w:t>
      </w:r>
      <w:r>
        <w:t xml:space="preserve">des Anbieters, Aufrechterhaltung oder Wiederherstellung der Sicherheit;</w:t>
      </w:r>
    </w:p>
    <w:p>
      <w:pPr>
        <w:numPr>
          <w:ilvl w:val="0"/>
          <w:numId w:val="1003"/>
        </w:numPr>
        <w:pStyle w:val="Compact"/>
      </w:pPr>
      <w:r>
        <w:rPr>
          <w:bCs/>
          <w:b/>
        </w:rPr>
        <w:t xml:space="preserve">maschinenlesbare Einwilligungssignale</w:t>
      </w:r>
      <w:r>
        <w:t xml:space="preserve">: Verantwortliche sollen automatisierte Zustimmung und Ablehnung entgegennehmen, Browser-Anbieter (außer KMU) die technischen Mittel bereitstellen; Konformitätsvermutung über harmonisierte Normen. Mediendiensteanbieter wären ausgenommen.</w:t>
      </w:r>
      <w:r>
        <w:t xml:space="preserve"> </w:t>
      </w:r>
      <w:r>
        <w:rPr>
          <w:iCs/>
          <w:i/>
        </w:rPr>
        <w:t xml:space="preserve">[Vorschlag]</w:t>
      </w:r>
    </w:p>
    <w:p>
      <w:pPr>
        <w:pStyle w:val="FirstParagraph"/>
      </w:pPr>
      <w:r>
        <w:t xml:space="preserve">Die Übergangsfristen im Vorschlag sind gestaffelt: sechs Monate für Art. 88a, 24 Monate für die Pflicht der Verantwortlichen nach Art. 88b, 48 Monate für die Pflicht der Browser-Anbieter — jeweils ab Inkrafttreten.</w:t>
      </w:r>
    </w:p>
    <w:p>
      <w:pPr>
        <w:pStyle w:val="BlockText"/>
      </w:pPr>
      <w:r>
        <w:rPr>
          <w:bCs/>
          <w:b/>
        </w:rPr>
        <w:t xml:space="preserve">Fundstelle:</w:t>
      </w:r>
      <w:r>
        <w:t xml:space="preserve"> </w:t>
      </w:r>
      <w:r>
        <w:t xml:space="preserve">COM(2025) 837 final, Art. 3 Nr. 14 — vorgeschlagene Art. 88a und 88b DSGVO; Art. 5 (Änderung der Richtlinie 2002/58/EG).</w:t>
      </w:r>
    </w:p>
    <w:p>
      <w:pPr>
        <w:pStyle w:val="FirstParagraph"/>
      </w:pPr>
      <w:r>
        <w:rPr>
          <w:bCs/>
          <w:b/>
        </w:rPr>
        <w:t xml:space="preserve">Verfahrenshinweis:</w:t>
      </w:r>
      <w:r>
        <w:t xml:space="preserve"> </w:t>
      </w:r>
      <w:r>
        <w:t xml:space="preserve">Der vorgeschlagene Art. 88b gehört zu den Punkten, deren</w:t>
      </w:r>
      <w:r>
        <w:t xml:space="preserve"> </w:t>
      </w:r>
      <w:r>
        <w:rPr>
          <w:bCs/>
          <w:b/>
        </w:rPr>
        <w:t xml:space="preserve">Streichung</w:t>
      </w:r>
      <w:r>
        <w:t xml:space="preserve"> </w:t>
      </w:r>
      <w:r>
        <w:t xml:space="preserve">im Rat diskutiert wurde. Der Datenschutzausschuss und der Datenschutzbeauftragte unterstützen das Ziel dagegen ausdrücklich.</w:t>
      </w:r>
      <w:r>
        <w:t xml:space="preserve"> </w:t>
      </w:r>
      <w:r>
        <w:rPr>
          <w:iCs/>
          <w:i/>
        </w:rPr>
        <w:t xml:space="preserve">[Verfahrensstand]</w:t>
      </w:r>
    </w:p>
    <w:bookmarkEnd w:id="34"/>
    <w:bookmarkStart w:id="35" w:name="Xc49824395bbe369aaaaac0b25573c9ab6e636a9"/>
    <w:p>
      <w:pPr>
        <w:pStyle w:val="Heading3"/>
      </w:pPr>
      <w:r>
        <w:t xml:space="preserve">e) Meldung von Datenschutzverletzungen — vorgeschlagener Art. 33 DSGVO</w:t>
      </w:r>
    </w:p>
    <w:p>
      <w:pPr>
        <w:pStyle w:val="FirstParagraph"/>
      </w:pPr>
      <w:r>
        <w:t xml:space="preserve">Zwei Erleichterungen sind vorgesehen: Die Meldeschwelle soll von „Risiko” auf</w:t>
      </w:r>
      <w:r>
        <w:t xml:space="preserve"> </w:t>
      </w:r>
      <w:r>
        <w:rPr>
          <w:bCs/>
          <w:b/>
        </w:rPr>
        <w:t xml:space="preserve">„hohes Risiko”</w:t>
      </w:r>
      <w:r>
        <w:t xml:space="preserve"> </w:t>
      </w:r>
      <w:r>
        <w:t xml:space="preserve">steigen, und die Frist soll von 72 auf</w:t>
      </w:r>
      <w:r>
        <w:t xml:space="preserve"> </w:t>
      </w:r>
      <w:r>
        <w:rPr>
          <w:bCs/>
          <w:b/>
        </w:rPr>
        <w:t xml:space="preserve">96 Stunden</w:t>
      </w:r>
      <w:r>
        <w:t xml:space="preserve"> </w:t>
      </w:r>
      <w:r>
        <w:t xml:space="preserve">verlängert werden. Gemeldet werden soll über eine</w:t>
      </w:r>
      <w:r>
        <w:t xml:space="preserve"> </w:t>
      </w:r>
      <w:r>
        <w:rPr>
          <w:bCs/>
          <w:b/>
        </w:rPr>
        <w:t xml:space="preserve">zentrale Anlaufstelle</w:t>
      </w:r>
      <w:r>
        <w:t xml:space="preserve"> </w:t>
      </w:r>
      <w:r>
        <w:t xml:space="preserve">nach dem neuen Art. 23a der NIS-2-Richtlinie — eine Meldung statt mehrerer nach verschiedenen Rechtsakten. Bis diese Stelle eingerichtet ist, bliebe es bei der Meldung an die zuständige Aufsichtsbehörde. Der Datenschutzausschuss soll binnen neun Monaten nach Inkrafttreten eine gemeinsame Meldevorlage und eine Liste der Fälle mit hohem Risiko vorschlagen; die Kommission könnte beides per Durchführungsrechtsakt annehmen.</w:t>
      </w:r>
      <w:r>
        <w:t xml:space="preserve"> </w:t>
      </w:r>
      <w:r>
        <w:rPr>
          <w:iCs/>
          <w:i/>
        </w:rPr>
        <w:t xml:space="preserve">[Vorschlag]</w:t>
      </w:r>
    </w:p>
    <w:p>
      <w:pPr>
        <w:pStyle w:val="BlockText"/>
      </w:pPr>
      <w:r>
        <w:rPr>
          <w:bCs/>
          <w:b/>
        </w:rPr>
        <w:t xml:space="preserve">Fundstelle:</w:t>
      </w:r>
      <w:r>
        <w:t xml:space="preserve"> </w:t>
      </w:r>
      <w:r>
        <w:t xml:space="preserve">COM(2025) 837 final, Art. 3 Nr. 8 — vorgeschlagener Art. 33 Abs. 1, 1a, 6 und 7 DSGVO; Art. 6 (Änderung der Richtlinie (EU) 2022/2555).</w:t>
      </w:r>
    </w:p>
    <w:p>
      <w:pPr>
        <w:pStyle w:val="FirstParagraph"/>
      </w:pPr>
      <w:r>
        <w:rPr>
          <w:bCs/>
          <w:b/>
        </w:rPr>
        <w:t xml:space="preserve">Einordnung:</w:t>
      </w:r>
      <w:r>
        <w:t xml:space="preserve"> </w:t>
      </w:r>
      <w:r>
        <w:t xml:space="preserve">Diesen Punkt unterstützen der Datenschutzausschuss und der Datenschutzbeauftragte — er verringere den Verwaltungsaufwand, ohne das Schutzniveau zu senken.</w:t>
      </w:r>
      <w:r>
        <w:t xml:space="preserve"> </w:t>
      </w:r>
      <w:r>
        <w:rPr>
          <w:iCs/>
          <w:i/>
        </w:rPr>
        <w:t xml:space="preserve">[Verfahrensstand]</w:t>
      </w:r>
    </w:p>
    <w:bookmarkEnd w:id="35"/>
    <w:bookmarkEnd w:id="36"/>
    <w:bookmarkStart w:id="37" w:name="weitere-punkte-in-kürze"/>
    <w:p>
      <w:pPr>
        <w:pStyle w:val="Heading2"/>
      </w:pPr>
      <w:r>
        <w:t xml:space="preserve">3.3 Weitere Punkte in Kürze</w:t>
      </w:r>
    </w:p>
    <w:tbl>
      <w:tblPr>
        <w:tblStyle w:val="Table"/>
        <w:tblW w:w="9638" w:type="dxa"/>
        <w:tblLayout w:type="fixed"/>
        <w:tblLook w:firstRow="1" w:lastRow="0" w:firstColumn="0" w:lastColumn="0" w:noHBand="0" w:noVBand="0" w:val="0020"/>
        <w:jc w:val="start"/>
      </w:tblPr>
      <w:tblGrid>
        <w:gridCol w:w="2736"/>
        <w:gridCol w:w="4098"/>
        <w:gridCol w:w="2804"/>
      </w:tblGrid>
      <w:tr>
        <w:trPr>
          <w:tblHeader/>
          <w:cantSplit/>
          <w:tblHeader w:val="true"/>
        </w:trPr>
        <w:tc>
          <w:tcPr>
            <w:shd w:val="clear" w:color="auto" w:fill="DCE4F2"/>
            <w:tcW w:w="2736" w:type="dxa"/>
          </w:tcPr>
          <w:tcPr/>
          <w:p>
            <w:pPr>
              <w:pStyle w:val="Compact"/>
              <w:jc w:val="left"/>
            </w:pPr>
            <w:r>
              <w:t xml:space="preserve">Gegenstand</w:t>
            </w:r>
          </w:p>
        </w:tc>
        <w:tc>
          <w:tcPr>
            <w:shd w:val="clear" w:color="auto" w:fill="DCE4F2"/>
            <w:tcW w:w="4098" w:type="dxa"/>
          </w:tcPr>
          <w:tcPr/>
          <w:p>
            <w:pPr>
              <w:pStyle w:val="Compact"/>
              <w:jc w:val="left"/>
            </w:pPr>
            <w:r>
              <w:t xml:space="preserve">Vorgesehene Änderung</w:t>
            </w:r>
          </w:p>
        </w:tc>
        <w:tc>
          <w:tcPr>
            <w:shd w:val="clear" w:color="auto" w:fill="DCE4F2"/>
            <w:tcW w:w="2804" w:type="dxa"/>
          </w:tcPr>
          <w:tcPr/>
          <w:p>
            <w:pPr>
              <w:pStyle w:val="Compact"/>
              <w:jc w:val="left"/>
            </w:pPr>
            <w:r>
              <w:t xml:space="preserve">Fundstelle im Vorschlag</w:t>
            </w:r>
          </w:p>
        </w:tc>
      </w:tr>
      <w:tr>
        <w:tc>
          <w:tcPr>
            <w:tcW w:w="2736" w:type="dxa"/>
          </w:tcPr>
          <w:tcPr/>
          <w:p>
            <w:pPr>
              <w:pStyle w:val="Compact"/>
              <w:jc w:val="left"/>
            </w:pPr>
            <w:r>
              <w:rPr>
                <w:bCs/>
                <w:b/>
              </w:rPr>
              <w:t xml:space="preserve">Missbräuchliche Betroffenenanfragen</w:t>
            </w:r>
          </w:p>
        </w:tc>
        <w:tc>
          <w:tcPr>
            <w:tcW w:w="4098" w:type="dxa"/>
          </w:tcPr>
          <w:tcPr/>
          <w:p>
            <w:pPr>
              <w:pStyle w:val="Compact"/>
              <w:jc w:val="left"/>
            </w:pPr>
            <w:r>
              <w:t xml:space="preserve">Entgelt oder Ablehnung auch dann möglich, wenn die betroffene Person ihre Rechte zu anderen Zwecken als dem Datenschutz missbraucht; Nachweislast beim Verantwortlichen</w:t>
            </w:r>
          </w:p>
        </w:tc>
        <w:tc>
          <w:tcPr>
            <w:tcW w:w="2804" w:type="dxa"/>
          </w:tcPr>
          <w:tcPr/>
          <w:p>
            <w:pPr>
              <w:pStyle w:val="Compact"/>
              <w:jc w:val="left"/>
            </w:pPr>
            <w:r>
              <w:t xml:space="preserve">Art. 3 Nr. 4 — Art. 12 Abs. 5 DSGVO</w:t>
            </w:r>
          </w:p>
        </w:tc>
      </w:tr>
      <w:tr>
        <w:tc>
          <w:tcPr>
            <w:tcW w:w="2736" w:type="dxa"/>
          </w:tcPr>
          <w:tcPr/>
          <w:p>
            <w:pPr>
              <w:pStyle w:val="Compact"/>
              <w:jc w:val="left"/>
            </w:pPr>
            <w:r>
              <w:rPr>
                <w:bCs/>
                <w:b/>
              </w:rPr>
              <w:t xml:space="preserve">Wissenschaftliche Forschung</w:t>
            </w:r>
          </w:p>
        </w:tc>
        <w:tc>
          <w:tcPr>
            <w:tcW w:w="4098" w:type="dxa"/>
          </w:tcPr>
          <w:tcPr/>
          <w:p>
            <w:pPr>
              <w:pStyle w:val="Compact"/>
              <w:jc w:val="left"/>
            </w:pPr>
            <w:r>
              <w:t xml:space="preserve">eigene Begriffsbestimmung, die technologische Entwicklung und Demonstration einschließt und gewerbliche Interessen nicht ausschließt; Weiterverarbeitung zu Forschungszwecken gilt unabhängig von Art. 6 Abs. 4 als vereinbar</w:t>
            </w:r>
          </w:p>
        </w:tc>
        <w:tc>
          <w:tcPr>
            <w:tcW w:w="2804" w:type="dxa"/>
          </w:tcPr>
          <w:tcPr/>
          <w:p>
            <w:pPr>
              <w:pStyle w:val="Compact"/>
              <w:jc w:val="left"/>
            </w:pPr>
            <w:r>
              <w:t xml:space="preserve">Art. 3 Nrn. 1 lit. b und 2 — Art. 4 Nr. 38 und Art. 5 Abs. 1 lit. b DSGVO</w:t>
            </w:r>
          </w:p>
        </w:tc>
      </w:tr>
      <w:tr>
        <w:tc>
          <w:tcPr>
            <w:tcW w:w="2736" w:type="dxa"/>
          </w:tcPr>
          <w:tcPr/>
          <w:p>
            <w:pPr>
              <w:pStyle w:val="Compact"/>
              <w:jc w:val="left"/>
            </w:pPr>
            <w:r>
              <w:rPr>
                <w:bCs/>
                <w:b/>
              </w:rPr>
              <w:t xml:space="preserve">Automatisierte Entscheidungen</w:t>
            </w:r>
          </w:p>
        </w:tc>
        <w:tc>
          <w:tcPr>
            <w:tcW w:w="4098" w:type="dxa"/>
          </w:tcPr>
          <w:tcPr/>
          <w:p>
            <w:pPr>
              <w:pStyle w:val="Compact"/>
              <w:jc w:val="left"/>
            </w:pPr>
            <w:r>
              <w:t xml:space="preserve">Neufassung des Art. 22 Abs. 1 und 2</w:t>
            </w:r>
          </w:p>
        </w:tc>
        <w:tc>
          <w:tcPr>
            <w:tcW w:w="2804" w:type="dxa"/>
          </w:tcPr>
          <w:tcPr/>
          <w:p>
            <w:pPr>
              <w:pStyle w:val="Compact"/>
              <w:jc w:val="left"/>
            </w:pPr>
            <w:r>
              <w:t xml:space="preserve">Art. 3 Nr. 7</w:t>
            </w:r>
          </w:p>
        </w:tc>
      </w:tr>
      <w:tr>
        <w:tc>
          <w:tcPr>
            <w:tcW w:w="2736" w:type="dxa"/>
          </w:tcPr>
          <w:tcPr/>
          <w:p>
            <w:pPr>
              <w:pStyle w:val="Compact"/>
              <w:jc w:val="left"/>
            </w:pPr>
            <w:r>
              <w:rPr>
                <w:bCs/>
                <w:b/>
              </w:rPr>
              <w:t xml:space="preserve">Datenverordnung</w:t>
            </w:r>
          </w:p>
        </w:tc>
        <w:tc>
          <w:tcPr>
            <w:tcW w:w="4098" w:type="dxa"/>
          </w:tcPr>
          <w:tcPr/>
          <w:p>
            <w:pPr>
              <w:pStyle w:val="Compact"/>
              <w:jc w:val="left"/>
            </w:pPr>
            <w:r>
              <w:t xml:space="preserve">Verweigerung der Offenlegung von Geschäftsgeheimnissen bei hohem Risiko rechtswidriger Nutzung durch Drittlandsakteure; Kapitel V auf</w:t>
            </w:r>
            <w:r>
              <w:t xml:space="preserve"> </w:t>
            </w:r>
            <w:r>
              <w:rPr>
                <w:bCs/>
                <w:b/>
              </w:rPr>
              <w:t xml:space="preserve">öffentliche Notstände</w:t>
            </w:r>
            <w:r>
              <w:t xml:space="preserve"> </w:t>
            </w:r>
            <w:r>
              <w:t xml:space="preserve">beschränkt (neuer Art. 15a); Erleichterungen beim Cloud-Wechsel für maßgeschneiderte Dienste und für KMU und kleine Midcaps bei Verträgen vor dem 12.09.2025</w:t>
            </w:r>
          </w:p>
        </w:tc>
        <w:tc>
          <w:tcPr>
            <w:tcW w:w="2804" w:type="dxa"/>
          </w:tcPr>
          <w:tcPr/>
          <w:p>
            <w:pPr>
              <w:pStyle w:val="Compact"/>
              <w:jc w:val="left"/>
            </w:pPr>
            <w:r>
              <w:t xml:space="preserve">Art. 1 Nrn. 3, 5–19, 20–22</w:t>
            </w:r>
          </w:p>
        </w:tc>
      </w:tr>
      <w:tr>
        <w:tc>
          <w:tcPr>
            <w:tcW w:w="2736" w:type="dxa"/>
          </w:tcPr>
          <w:tcPr/>
          <w:p>
            <w:pPr>
              <w:pStyle w:val="Compact"/>
              <w:jc w:val="left"/>
            </w:pPr>
            <w:r>
              <w:rPr>
                <w:bCs/>
                <w:b/>
              </w:rPr>
              <w:t xml:space="preserve">Konsolidierung</w:t>
            </w:r>
          </w:p>
        </w:tc>
        <w:tc>
          <w:tcPr>
            <w:tcW w:w="4098" w:type="dxa"/>
          </w:tcPr>
          <w:tcPr/>
          <w:p>
            <w:pPr>
              <w:pStyle w:val="Compact"/>
              <w:jc w:val="left"/>
            </w:pPr>
            <w:r>
              <w:t xml:space="preserve">Inhalte von Daten-Governance-Rechtsakt, Open-Data-Richtlinie, P2B-Verordnung und Verordnung über den freien Verkehr nicht-personenbezogener Daten wandern in die Datenverordnung (neue Art. 32a ff.)</w:t>
            </w:r>
          </w:p>
        </w:tc>
        <w:tc>
          <w:tcPr>
            <w:tcW w:w="2804" w:type="dxa"/>
          </w:tcPr>
          <w:tcPr/>
          <w:p>
            <w:pPr>
              <w:pStyle w:val="Compact"/>
              <w:jc w:val="left"/>
            </w:pPr>
            <w:r>
              <w:t xml:space="preserve">Art. 1; Art. 10 (Aufhebungen)</w:t>
            </w:r>
          </w:p>
        </w:tc>
      </w:tr>
    </w:tbl>
    <w:p>
      <w:pPr>
        <w:pStyle w:val="BodyText"/>
      </w:pPr>
      <w:r>
        <w:rPr>
          <w:iCs/>
          <w:i/>
        </w:rPr>
        <w:t xml:space="preserve">Sämtliche Angaben dieser Tabelle: [Vorschlag].</w:t>
      </w:r>
    </w:p>
    <w:bookmarkEnd w:id="37"/>
    <w:bookmarkStart w:id="38" w:name="verfahrensstand-am-29.07.2026"/>
    <w:p>
      <w:pPr>
        <w:pStyle w:val="Heading2"/>
      </w:pPr>
      <w:r>
        <w:t xml:space="preserve">3.4 Verfahrensstand am 29.07.2026</w:t>
      </w:r>
    </w:p>
    <w:tbl>
      <w:tblPr>
        <w:tblStyle w:val="Table"/>
        <w:tblW w:w="9638" w:type="dxa"/>
        <w:tblLayout w:type="fixed"/>
        <w:tblLook w:firstRow="1" w:lastRow="0" w:firstColumn="0" w:lastColumn="0" w:noHBand="0" w:noVBand="0" w:val="0020"/>
        <w:jc w:val="start"/>
      </w:tblPr>
      <w:tblGrid>
        <w:gridCol w:w="4664"/>
        <w:gridCol w:w="4974"/>
      </w:tblGrid>
      <w:tr>
        <w:trPr>
          <w:tblHeader/>
          <w:cantSplit/>
          <w:tblHeader w:val="true"/>
        </w:trPr>
        <w:tc>
          <w:tcPr>
            <w:shd w:val="clear" w:color="auto" w:fill="DCE4F2"/>
            <w:tcW w:w="4664" w:type="dxa"/>
          </w:tcPr>
          <w:tcPr/>
          <w:p>
            <w:pPr>
              <w:pStyle w:val="Compact"/>
              <w:jc w:val="left"/>
            </w:pPr>
            <w:r>
              <w:t xml:space="preserve">Datum</w:t>
            </w:r>
          </w:p>
        </w:tc>
        <w:tc>
          <w:tcPr>
            <w:shd w:val="clear" w:color="auto" w:fill="DCE4F2"/>
            <w:tcW w:w="4974" w:type="dxa"/>
          </w:tcPr>
          <w:tcPr/>
          <w:p>
            <w:pPr>
              <w:pStyle w:val="Compact"/>
              <w:jc w:val="left"/>
            </w:pPr>
            <w:r>
              <w:t xml:space="preserve">Ereignis</w:t>
            </w:r>
          </w:p>
        </w:tc>
      </w:tr>
      <w:tr>
        <w:tc>
          <w:tcPr>
            <w:tcW w:w="4664" w:type="dxa"/>
          </w:tcPr>
          <w:tcPr/>
          <w:p>
            <w:pPr>
              <w:pStyle w:val="Compact"/>
              <w:jc w:val="left"/>
            </w:pPr>
            <w:r>
              <w:t xml:space="preserve">19.11.2025</w:t>
            </w:r>
          </w:p>
        </w:tc>
        <w:tc>
          <w:tcPr>
            <w:tcW w:w="4974" w:type="dxa"/>
          </w:tcPr>
          <w:tcPr/>
          <w:p>
            <w:pPr>
              <w:pStyle w:val="Compact"/>
              <w:jc w:val="left"/>
            </w:pPr>
            <w:r>
              <w:t xml:space="preserve">Kommission legt COM(2025) 837 final vor, Verfahren</w:t>
            </w:r>
            <w:r>
              <w:t xml:space="preserve"> </w:t>
            </w:r>
            <w:r>
              <w:rPr>
                <w:bCs/>
                <w:b/>
              </w:rPr>
              <w:t xml:space="preserve">2025/0360(COD)</w:t>
            </w:r>
            <w:r>
              <w:t xml:space="preserve">, Titel im Parlament: „Simplification of the digital legislative framework – Digital Omnibus (Omnibus VII)“; Rechtsgrundlagen Art. 16 und Art. 114 AEUV</w:t>
            </w:r>
          </w:p>
        </w:tc>
      </w:tr>
      <w:tr>
        <w:tc>
          <w:tcPr>
            <w:tcW w:w="4664" w:type="dxa"/>
          </w:tcPr>
          <w:tcPr/>
          <w:p>
            <w:pPr>
              <w:pStyle w:val="Compact"/>
              <w:jc w:val="left"/>
            </w:pPr>
            <w:r>
              <w:t xml:space="preserve">21.11.2025</w:t>
            </w:r>
          </w:p>
        </w:tc>
        <w:tc>
          <w:tcPr>
            <w:tcW w:w="4974" w:type="dxa"/>
          </w:tcPr>
          <w:tcPr/>
          <w:p>
            <w:pPr>
              <w:pStyle w:val="Compact"/>
              <w:jc w:val="left"/>
            </w:pPr>
            <w:r>
              <w:t xml:space="preserve">Vorstellung in der Gruppe „Antici/Vereinfachung” des Rates</w:t>
            </w:r>
          </w:p>
        </w:tc>
      </w:tr>
      <w:tr>
        <w:tc>
          <w:tcPr>
            <w:tcW w:w="4664" w:type="dxa"/>
          </w:tcPr>
          <w:tcPr/>
          <w:p>
            <w:pPr>
              <w:pStyle w:val="Compact"/>
              <w:jc w:val="left"/>
            </w:pPr>
            <w:r>
              <w:t xml:space="preserve">19.01.2026</w:t>
            </w:r>
          </w:p>
        </w:tc>
        <w:tc>
          <w:tcPr>
            <w:tcW w:w="4974" w:type="dxa"/>
          </w:tcPr>
          <w:tcPr/>
          <w:p>
            <w:pPr>
              <w:pStyle w:val="Compact"/>
              <w:jc w:val="left"/>
            </w:pPr>
            <w:r>
              <w:t xml:space="preserve">Bekanntgabe der Ausschussbefassung im Europäischen Parlament, erste Lesung</w:t>
            </w:r>
          </w:p>
        </w:tc>
      </w:tr>
      <w:tr>
        <w:tc>
          <w:tcPr>
            <w:tcW w:w="4664" w:type="dxa"/>
          </w:tcPr>
          <w:tcPr/>
          <w:p>
            <w:pPr>
              <w:pStyle w:val="Compact"/>
              <w:jc w:val="left"/>
            </w:pPr>
            <w:r>
              <w:t xml:space="preserve">11.02.2026</w:t>
            </w:r>
          </w:p>
        </w:tc>
        <w:tc>
          <w:tcPr>
            <w:tcW w:w="4974" w:type="dxa"/>
          </w:tcPr>
          <w:tcPr/>
          <w:p>
            <w:pPr>
              <w:pStyle w:val="Compact"/>
              <w:jc w:val="left"/>
            </w:pPr>
            <w:r>
              <w:rPr>
                <w:bCs/>
                <w:b/>
              </w:rPr>
              <w:t xml:space="preserve">Gemeinsame Stellungnahme 2/2026</w:t>
            </w:r>
            <w:r>
              <w:t xml:space="preserve"> </w:t>
            </w:r>
            <w:r>
              <w:t xml:space="preserve">des Europäischen Datenschutzausschusses und des Europäischen Datenschutzbeauftragten</w:t>
            </w:r>
          </w:p>
        </w:tc>
      </w:tr>
      <w:tr>
        <w:tc>
          <w:tcPr>
            <w:tcW w:w="4664" w:type="dxa"/>
          </w:tcPr>
          <w:tcPr/>
          <w:p>
            <w:pPr>
              <w:pStyle w:val="Compact"/>
              <w:jc w:val="left"/>
            </w:pPr>
            <w:r>
              <w:t xml:space="preserve">24.02.2026</w:t>
            </w:r>
          </w:p>
        </w:tc>
        <w:tc>
          <w:tcPr>
            <w:tcW w:w="4974" w:type="dxa"/>
          </w:tcPr>
          <w:tcPr/>
          <w:p>
            <w:pPr>
              <w:pStyle w:val="Compact"/>
              <w:jc w:val="left"/>
            </w:pPr>
            <w:r>
              <w:t xml:space="preserve">Verfasser der Stellungnahme im Rechtsausschuss (JURI): Brando Benifei (S&amp;D)</w:t>
            </w:r>
          </w:p>
        </w:tc>
      </w:tr>
      <w:tr>
        <w:tc>
          <w:tcPr>
            <w:tcW w:w="4664" w:type="dxa"/>
          </w:tcPr>
          <w:tcPr/>
          <w:p>
            <w:pPr>
              <w:pStyle w:val="Compact"/>
              <w:jc w:val="left"/>
            </w:pPr>
            <w:r>
              <w:t xml:space="preserve">25.02.2026</w:t>
            </w:r>
          </w:p>
        </w:tc>
        <w:tc>
          <w:tcPr>
            <w:tcW w:w="4974" w:type="dxa"/>
          </w:tcPr>
          <w:tcPr/>
          <w:p>
            <w:pPr>
              <w:pStyle w:val="Compact"/>
              <w:jc w:val="left"/>
            </w:pPr>
            <w:r>
              <w:rPr>
                <w:bCs/>
                <w:b/>
              </w:rPr>
              <w:t xml:space="preserve">Berichterstatter benannt:</w:t>
            </w:r>
            <w:r>
              <w:t xml:space="preserve"> </w:t>
            </w:r>
            <w:r>
              <w:t xml:space="preserve">Aura Salla (EVP) für ITRE, Marina Kaljurand (S&amp;D) für LIBE — gemeinsame Ausschussbefassung ITRE/LIBE</w:t>
            </w:r>
          </w:p>
        </w:tc>
      </w:tr>
      <w:tr>
        <w:tc>
          <w:tcPr>
            <w:tcW w:w="4664" w:type="dxa"/>
          </w:tcPr>
          <w:tcPr/>
          <w:p>
            <w:pPr>
              <w:pStyle w:val="Compact"/>
              <w:jc w:val="left"/>
            </w:pPr>
            <w:r>
              <w:t xml:space="preserve">02.03.2026</w:t>
            </w:r>
          </w:p>
        </w:tc>
        <w:tc>
          <w:tcPr>
            <w:tcW w:w="4974" w:type="dxa"/>
          </w:tcPr>
          <w:tcPr/>
          <w:p>
            <w:pPr>
              <w:pStyle w:val="Compact"/>
              <w:jc w:val="left"/>
            </w:pPr>
            <w:r>
              <w:t xml:space="preserve">Verfasser der Stellungnahme im Binnenmarktausschuss (IMCO): Alex Agius Saliba (S&amp;D)</w:t>
            </w:r>
          </w:p>
        </w:tc>
      </w:tr>
      <w:tr>
        <w:tc>
          <w:tcPr>
            <w:tcW w:w="4664" w:type="dxa"/>
          </w:tcPr>
          <w:tcPr/>
          <w:p>
            <w:pPr>
              <w:pStyle w:val="Compact"/>
              <w:jc w:val="left"/>
            </w:pPr>
            <w:r>
              <w:t xml:space="preserve">18.03.2026</w:t>
            </w:r>
          </w:p>
        </w:tc>
        <w:tc>
          <w:tcPr>
            <w:tcW w:w="4974" w:type="dxa"/>
          </w:tcPr>
          <w:tcPr/>
          <w:p>
            <w:pPr>
              <w:pStyle w:val="Compact"/>
              <w:jc w:val="left"/>
            </w:pPr>
            <w:r>
              <w:t xml:space="preserve">Stellungnahme des Europäischen Wirtschafts- und Sozialausschusses</w:t>
            </w:r>
          </w:p>
        </w:tc>
      </w:tr>
      <w:tr>
        <w:tc>
          <w:tcPr>
            <w:tcW w:w="4664" w:type="dxa"/>
          </w:tcPr>
          <w:tcPr/>
          <w:p>
            <w:pPr>
              <w:pStyle w:val="Compact"/>
              <w:jc w:val="left"/>
            </w:pPr>
            <w:r>
              <w:t xml:space="preserve">02.06.2026</w:t>
            </w:r>
          </w:p>
        </w:tc>
        <w:tc>
          <w:tcPr>
            <w:tcW w:w="4974" w:type="dxa"/>
          </w:tcPr>
          <w:tcPr/>
          <w:p>
            <w:pPr>
              <w:pStyle w:val="Compact"/>
              <w:jc w:val="left"/>
            </w:pPr>
            <w:r>
              <w:t xml:space="preserve">Frist für schriftliche Stellungnahmen der Mitgliedstaaten zum überarbeiteten Kompromisstext der Präsidentschaft</w:t>
            </w:r>
          </w:p>
        </w:tc>
      </w:tr>
      <w:tr>
        <w:tc>
          <w:tcPr>
            <w:tcW w:w="4664" w:type="dxa"/>
          </w:tcPr>
          <w:tcPr/>
          <w:p>
            <w:pPr>
              <w:pStyle w:val="Compact"/>
              <w:jc w:val="left"/>
            </w:pPr>
            <w:r>
              <w:t xml:space="preserve">04.06.2026</w:t>
            </w:r>
          </w:p>
        </w:tc>
        <w:tc>
          <w:tcPr>
            <w:tcW w:w="4974" w:type="dxa"/>
          </w:tcPr>
          <w:tcPr/>
          <w:p>
            <w:pPr>
              <w:pStyle w:val="Compact"/>
              <w:jc w:val="left"/>
            </w:pPr>
            <w:r>
              <w:t xml:space="preserve">Ratsdokument WK 7876/2026: Zusammenstellung der Stellungnahmen von</w:t>
            </w:r>
            <w:r>
              <w:t xml:space="preserve"> </w:t>
            </w:r>
            <w:r>
              <w:rPr>
                <w:bCs/>
                <w:b/>
              </w:rPr>
              <w:t xml:space="preserve">20 Mitgliedstaaten</w:t>
            </w:r>
            <w:r>
              <w:t xml:space="preserve">; mehrere Punkte ausdrücklich als „rote Linien” markiert</w:t>
            </w:r>
          </w:p>
        </w:tc>
      </w:tr>
      <w:tr>
        <w:tc>
          <w:tcPr>
            <w:tcW w:w="4664" w:type="dxa"/>
          </w:tcPr>
          <w:tcPr/>
          <w:p>
            <w:pPr>
              <w:pStyle w:val="Compact"/>
              <w:jc w:val="left"/>
            </w:pPr>
            <w:r>
              <w:t xml:space="preserve">Ende Juni 2026</w:t>
            </w:r>
          </w:p>
        </w:tc>
        <w:tc>
          <w:tcPr>
            <w:tcW w:w="4974" w:type="dxa"/>
          </w:tcPr>
          <w:tcPr/>
          <w:p>
            <w:pPr>
              <w:pStyle w:val="Compact"/>
              <w:jc w:val="left"/>
            </w:pPr>
            <w:r>
              <w:t xml:space="preserve">Berichtsentwurf der Berichterstatterinnen Salla und Kaljurand im Parlament veröffentlicht</w:t>
            </w:r>
          </w:p>
        </w:tc>
      </w:tr>
      <w:tr>
        <w:tc>
          <w:tcPr>
            <w:tcW w:w="4664" w:type="dxa"/>
          </w:tcPr>
          <w:tcPr/>
          <w:p>
            <w:pPr>
              <w:pStyle w:val="Compact"/>
              <w:jc w:val="left"/>
            </w:pPr>
            <w:r>
              <w:t xml:space="preserve">26.06.2026</w:t>
            </w:r>
          </w:p>
        </w:tc>
        <w:tc>
          <w:tcPr>
            <w:tcW w:w="4974" w:type="dxa"/>
          </w:tcPr>
          <w:tcPr/>
          <w:p>
            <w:pPr>
              <w:pStyle w:val="Compact"/>
              <w:jc w:val="left"/>
            </w:pPr>
            <w:r>
              <w:rPr>
                <w:bCs/>
                <w:b/>
              </w:rPr>
              <w:t xml:space="preserve">Die zyprische Ratspräsidentschaft gibt die Datei ohne Einigung an Irland ab</w:t>
            </w:r>
            <w:r>
              <w:t xml:space="preserve"> </w:t>
            </w:r>
            <w:r>
              <w:t xml:space="preserve">— für den Kompromisstext fand sich keine qualifizierte Mehrheit; es sei „weitere technische Arbeit” nötig</w:t>
            </w:r>
          </w:p>
        </w:tc>
      </w:tr>
      <w:tr>
        <w:tc>
          <w:tcPr>
            <w:tcW w:w="4664" w:type="dxa"/>
          </w:tcPr>
          <w:tcPr/>
          <w:p>
            <w:pPr>
              <w:pStyle w:val="Compact"/>
              <w:jc w:val="left"/>
            </w:pPr>
            <w:r>
              <w:t xml:space="preserve">01.07.2026</w:t>
            </w:r>
          </w:p>
        </w:tc>
        <w:tc>
          <w:tcPr>
            <w:tcW w:w="4974" w:type="dxa"/>
          </w:tcPr>
          <w:tcPr/>
          <w:p>
            <w:pPr>
              <w:pStyle w:val="Compact"/>
              <w:jc w:val="left"/>
            </w:pPr>
            <w:r>
              <w:t xml:space="preserve">Übernahme durch die</w:t>
            </w:r>
            <w:r>
              <w:t xml:space="preserve"> </w:t>
            </w:r>
            <w:r>
              <w:rPr>
                <w:bCs/>
                <w:b/>
              </w:rPr>
              <w:t xml:space="preserve">irische Ratspräsidentschaft</w:t>
            </w:r>
            <w:r>
              <w:t xml:space="preserve">; erklärtes Ziel: Einigung zwischen Rat und Parlament</w:t>
            </w:r>
            <w:r>
              <w:t xml:space="preserve"> </w:t>
            </w:r>
            <w:r>
              <w:rPr>
                <w:bCs/>
                <w:b/>
              </w:rPr>
              <w:t xml:space="preserve">bis Jahresende 2026</w:t>
            </w:r>
          </w:p>
        </w:tc>
      </w:tr>
      <w:tr>
        <w:tc>
          <w:tcPr>
            <w:tcW w:w="4664" w:type="dxa"/>
          </w:tcPr>
          <w:tcPr/>
          <w:p>
            <w:pPr>
              <w:pStyle w:val="Compact"/>
              <w:jc w:val="left"/>
            </w:pPr>
            <w:r>
              <w:rPr>
                <w:bCs/>
                <w:b/>
              </w:rPr>
              <w:t xml:space="preserve">29.07.2026</w:t>
            </w:r>
          </w:p>
        </w:tc>
        <w:tc>
          <w:tcPr>
            <w:tcW w:w="4974" w:type="dxa"/>
          </w:tcPr>
          <w:tcPr/>
          <w:p>
            <w:pPr>
              <w:pStyle w:val="Compact"/>
              <w:jc w:val="left"/>
            </w:pPr>
            <w:r>
              <w:rPr>
                <w:bCs/>
                <w:b/>
              </w:rPr>
              <w:t xml:space="preserve">Stand:</w:t>
            </w:r>
            <w:r>
              <w:t xml:space="preserve"> </w:t>
            </w:r>
            <w:r>
              <w:t xml:space="preserve">Der Rat hat</w:t>
            </w:r>
            <w:r>
              <w:t xml:space="preserve"> </w:t>
            </w:r>
            <w:r>
              <w:rPr>
                <w:bCs/>
                <w:b/>
              </w:rPr>
              <w:t xml:space="preserve">keine</w:t>
            </w:r>
            <w:r>
              <w:t xml:space="preserve"> </w:t>
            </w:r>
            <w:r>
              <w:t xml:space="preserve">allgemeine Ausrichtung. Im Parlament laufen die Ausschussberatungen; das Verfahrensregister weist „Awaiting committee decision” aus. Die Verhandlungen ruhen über die Sommerpause.</w:t>
            </w:r>
          </w:p>
        </w:tc>
      </w:tr>
    </w:tbl>
    <w:p>
      <w:pPr>
        <w:pStyle w:val="BodyText"/>
      </w:pPr>
      <w:r>
        <w:rPr>
          <w:iCs/>
          <w:i/>
        </w:rPr>
        <w:t xml:space="preserve">Sämtliche Angaben dieser Tabelle: [Verfahrensstand].</w:t>
      </w:r>
    </w:p>
    <w:p>
      <w:pPr>
        <w:pStyle w:val="BlockText"/>
      </w:pPr>
      <w:r>
        <w:rPr>
          <w:bCs/>
          <w:b/>
        </w:rPr>
        <w:t xml:space="preserve">Fundstelle:</w:t>
      </w:r>
      <w:r>
        <w:t xml:space="preserve"> </w:t>
      </w:r>
      <w:r>
        <w:t xml:space="preserve">Verfahrensakte 2025/0360(COD) im Legislativen Observatorium des Europäischen Parlaments; Legislative Train Schedule, Stand der Seite 22.05.2026; Ratsdokument WK 7876/2026 vom 04.06.2026; Pressebericht Agence Europe vom 26.06.2026; Lagebericht Privacy Next vom 08.07.2026; Lagebericht EDRi vom 16.07.2026. Die beiden zuletzt genannten Quellen sind Interessenvertretungen mit gegenläufiger Ausrichtung und wurden bewusst beide herangezogen.</w:t>
      </w:r>
    </w:p>
    <w:p>
      <w:pPr>
        <w:pStyle w:val="FirstParagraph"/>
      </w:pPr>
      <w:r>
        <w:rPr>
          <w:bCs/>
          <w:b/>
        </w:rPr>
        <w:t xml:space="preserve">Strittig sind nach übereinstimmenden Berichten:</w:t>
      </w:r>
      <w:r>
        <w:t xml:space="preserve"> </w:t>
      </w:r>
      <w:r>
        <w:t xml:space="preserve">der Begriff der personenbezogenen Daten und sein Verhältnis zur Pseudonymisierung; der vorgeschlagene Art. 88c zum KI-Training; die Streichung des vorgeschlagenen Art. 88b zur automatisierten Einwilligung; die Schwelle und Frist bei der Meldung von Datenschutzverletzungen; missbräuchliche Betroffenenanfragen; die ePrivacy- und Cybersicherheitsteile; die Regelungen zur Weiterverwendung von Daten des öffentlichen Sektors.</w:t>
      </w:r>
      <w:r>
        <w:t xml:space="preserve"> </w:t>
      </w:r>
      <w:r>
        <w:rPr>
          <w:iCs/>
          <w:i/>
        </w:rPr>
        <w:t xml:space="preserve">[Verfahrensstand]</w:t>
      </w:r>
    </w:p>
    <w:p>
      <w:pPr>
        <w:pStyle w:val="BodyText"/>
      </w:pPr>
      <w:r>
        <w:rPr>
          <w:bCs/>
          <w:b/>
        </w:rPr>
        <w:t xml:space="preserve">Eine Einschätzung, ausdrücklich als solche gekennzeichnet:</w:t>
      </w:r>
      <w:r>
        <w:t xml:space="preserve"> </w:t>
      </w:r>
      <w:r>
        <w:t xml:space="preserve">Ein Vorschlag, für den sich nach sieben Monaten im Rat keine qualifizierte Mehrheit findet und dessen umstrittenster Punkt in Kompromisstexten bereits gestrichen wurde, wird das Verfahren mit hoher Wahrscheinlichkeit</w:t>
      </w:r>
      <w:r>
        <w:t xml:space="preserve"> </w:t>
      </w:r>
      <w:r>
        <w:rPr>
          <w:bCs/>
          <w:b/>
        </w:rPr>
        <w:t xml:space="preserve">deutlich verändert</w:t>
      </w:r>
      <w:r>
        <w:t xml:space="preserve"> </w:t>
      </w:r>
      <w:r>
        <w:t xml:space="preserve">verlassen. Das Ziel der irischen Präsidentschaft, bis Jahresende 2026 eine Einigung zu erreichen, ist ambitioniert. Für die Planung heißt das: Mit einer Anwendbarkeit ist</w:t>
      </w:r>
      <w:r>
        <w:t xml:space="preserve"> </w:t>
      </w:r>
      <w:r>
        <w:rPr>
          <w:bCs/>
          <w:b/>
        </w:rPr>
        <w:t xml:space="preserve">frühestens 2027</w:t>
      </w:r>
      <w:r>
        <w:t xml:space="preserve"> </w:t>
      </w:r>
      <w:r>
        <w:t xml:space="preserve">zu rechnen, und der Inhalt steht nicht fest.</w:t>
      </w:r>
    </w:p>
    <w:p>
      <w:r>
        <w:pict>
          <v:rect style="width:0;height:1.5pt" o:hralign="center" o:hrstd="t" o:hr="t"/>
        </w:pict>
      </w:r>
    </w:p>
    <w:bookmarkEnd w:id="38"/>
    <w:bookmarkEnd w:id="39"/>
    <w:bookmarkStart w:id="42" w:name="teil-c-was-sie-jetzt-tun-sollten"/>
    <w:p>
      <w:pPr>
        <w:pStyle w:val="Heading1"/>
      </w:pPr>
      <w:r>
        <w:t xml:space="preserve">4. Teil C — Was Sie jetzt tun sollten</w:t>
      </w:r>
    </w:p>
    <w:bookmarkStart w:id="40" w:name="beobachtungsliste"/>
    <w:p>
      <w:pPr>
        <w:pStyle w:val="Heading2"/>
      </w:pPr>
      <w:r>
        <w:t xml:space="preserve">4.1 Beobachtungsliste</w:t>
      </w:r>
    </w:p>
    <w:tbl>
      <w:tblPr>
        <w:tblStyle w:val="Table"/>
        <w:tblW w:w="9638" w:type="dxa"/>
        <w:tblLayout w:type="fixed"/>
        <w:tblLook w:firstRow="1" w:lastRow="0" w:firstColumn="0" w:lastColumn="0" w:noHBand="0" w:noVBand="0" w:val="0020"/>
        <w:jc w:val="start"/>
      </w:tblPr>
      <w:tblGrid>
        <w:gridCol w:w="1493"/>
        <w:gridCol w:w="2018"/>
        <w:gridCol w:w="1820"/>
        <w:gridCol w:w="2073"/>
        <w:gridCol w:w="2234"/>
      </w:tblGrid>
      <w:tr>
        <w:trPr>
          <w:tblHeader/>
          <w:cantSplit/>
          <w:tblHeader w:val="true"/>
        </w:trPr>
        <w:tc>
          <w:tcPr>
            <w:shd w:val="clear" w:color="auto" w:fill="DCE4F2"/>
            <w:tcW w:w="1493" w:type="dxa"/>
          </w:tcPr>
          <w:tcPr/>
          <w:p>
            <w:pPr>
              <w:pStyle w:val="Compact"/>
              <w:jc w:val="left"/>
            </w:pPr>
            <w:r>
              <w:t xml:space="preserve">Nr.</w:t>
            </w:r>
          </w:p>
        </w:tc>
        <w:tc>
          <w:tcPr>
            <w:shd w:val="clear" w:color="auto" w:fill="DCE4F2"/>
            <w:tcW w:w="2018" w:type="dxa"/>
          </w:tcPr>
          <w:tcPr/>
          <w:p>
            <w:pPr>
              <w:pStyle w:val="Compact"/>
              <w:jc w:val="left"/>
            </w:pPr>
            <w:r>
              <w:t xml:space="preserve">Gegenstand</w:t>
            </w:r>
          </w:p>
        </w:tc>
        <w:tc>
          <w:tcPr>
            <w:shd w:val="clear" w:color="auto" w:fill="DCE4F2"/>
            <w:tcW w:w="1820" w:type="dxa"/>
          </w:tcPr>
          <w:tcPr/>
          <w:p>
            <w:pPr>
              <w:pStyle w:val="Compact"/>
              <w:jc w:val="left"/>
            </w:pPr>
            <w:r>
              <w:t xml:space="preserve">Frühestens wirksam</w:t>
            </w:r>
          </w:p>
        </w:tc>
        <w:tc>
          <w:tcPr>
            <w:shd w:val="clear" w:color="auto" w:fill="DCE4F2"/>
            <w:tcW w:w="2073" w:type="dxa"/>
          </w:tcPr>
          <w:tcPr/>
          <w:p>
            <w:pPr>
              <w:pStyle w:val="Compact"/>
              <w:jc w:val="left"/>
            </w:pPr>
            <w:r>
              <w:t xml:space="preserve">Auswirkung auf uns</w:t>
            </w:r>
          </w:p>
        </w:tc>
        <w:tc>
          <w:tcPr>
            <w:shd w:val="clear" w:color="auto" w:fill="DCE4F2"/>
            <w:tcW w:w="2234" w:type="dxa"/>
          </w:tcPr>
          <w:tcPr/>
          <w:p>
            <w:pPr>
              <w:pStyle w:val="Compact"/>
              <w:jc w:val="left"/>
            </w:pPr>
            <w:r>
              <w:t xml:space="preserve">Was jetzt zu tun ist</w:t>
            </w:r>
          </w:p>
        </w:tc>
      </w:tr>
      <w:tr>
        <w:tc>
          <w:tcPr>
            <w:tcW w:w="1493" w:type="dxa"/>
          </w:tcPr>
          <w:tcPr/>
          <w:p>
            <w:pPr>
              <w:pStyle w:val="Compact"/>
              <w:jc w:val="left"/>
            </w:pPr>
            <w:r>
              <w:t xml:space="preserve">1</w:t>
            </w:r>
          </w:p>
        </w:tc>
        <w:tc>
          <w:tcPr>
            <w:tcW w:w="2018" w:type="dxa"/>
          </w:tcPr>
          <w:tcPr/>
          <w:p>
            <w:pPr>
              <w:pStyle w:val="Compact"/>
              <w:jc w:val="left"/>
            </w:pPr>
            <w:r>
              <w:t xml:space="preserve">Delegierte Rechtsakte nach Art. 2 Abs. 13 KI-VO</w:t>
            </w:r>
          </w:p>
        </w:tc>
        <w:tc>
          <w:tcPr>
            <w:tcW w:w="1820" w:type="dxa"/>
          </w:tcPr>
          <w:tcPr/>
          <w:p>
            <w:pPr>
              <w:pStyle w:val="Compact"/>
              <w:jc w:val="left"/>
            </w:pPr>
            <w:r>
              <w:t xml:space="preserve">bis 02.08.2027 zu erlassen</w:t>
            </w:r>
          </w:p>
        </w:tc>
        <w:tc>
          <w:tcPr>
            <w:tcW w:w="2073" w:type="dxa"/>
          </w:tcPr>
          <w:tcPr/>
          <w:p>
            <w:pPr>
              <w:pStyle w:val="Compact"/>
              <w:jc w:val="left"/>
            </w:pPr>
            <w:r>
              <w:t xml:space="preserve">Kann den Pflichtenumfang für</w:t>
            </w:r>
            <w:r>
              <w:t xml:space="preserve"> </w:t>
            </w:r>
            <w:r>
              <w:rPr>
                <w:bCs/>
                <w:b/>
              </w:rPr>
              <w:t xml:space="preserve">Anhang-I-Systeme</w:t>
            </w:r>
            <w:r>
              <w:t xml:space="preserve"> </w:t>
            </w:r>
            <w:r>
              <w:t xml:space="preserve">verringern</w:t>
            </w:r>
          </w:p>
        </w:tc>
        <w:tc>
          <w:tcPr>
            <w:tcW w:w="2234" w:type="dxa"/>
          </w:tcPr>
          <w:tcPr/>
          <w:p>
            <w:pPr>
              <w:pStyle w:val="Compact"/>
              <w:jc w:val="left"/>
            </w:pPr>
            <w:r>
              <w:t xml:space="preserve">Anhang-I-Systeme im Inventar markieren; Planung für 02.08.2028</w:t>
            </w:r>
            <w:r>
              <w:t xml:space="preserve"> </w:t>
            </w:r>
            <w:r>
              <w:rPr>
                <w:bCs/>
                <w:b/>
              </w:rPr>
              <w:t xml:space="preserve">nicht</w:t>
            </w:r>
            <w:r>
              <w:t xml:space="preserve"> </w:t>
            </w:r>
            <w:r>
              <w:t xml:space="preserve">aussetzen</w:t>
            </w:r>
          </w:p>
        </w:tc>
      </w:tr>
      <w:tr>
        <w:tc>
          <w:tcPr>
            <w:tcW w:w="1493" w:type="dxa"/>
          </w:tcPr>
          <w:tcPr/>
          <w:p>
            <w:pPr>
              <w:pStyle w:val="Compact"/>
              <w:jc w:val="left"/>
            </w:pPr>
            <w:r>
              <w:t xml:space="preserve">2</w:t>
            </w:r>
          </w:p>
        </w:tc>
        <w:tc>
          <w:tcPr>
            <w:tcW w:w="2018" w:type="dxa"/>
          </w:tcPr>
          <w:tcPr/>
          <w:p>
            <w:pPr>
              <w:pStyle w:val="Compact"/>
              <w:jc w:val="left"/>
            </w:pPr>
            <w:r>
              <w:t xml:space="preserve">Anhang III der Maschinenverordnung</w:t>
            </w:r>
          </w:p>
        </w:tc>
        <w:tc>
          <w:tcPr>
            <w:tcW w:w="1820" w:type="dxa"/>
          </w:tcPr>
          <w:tcPr/>
          <w:p>
            <w:pPr>
              <w:pStyle w:val="Compact"/>
              <w:jc w:val="left"/>
            </w:pPr>
            <w:r>
              <w:t xml:space="preserve">gilt ab 02.08.2028</w:t>
            </w:r>
          </w:p>
        </w:tc>
        <w:tc>
          <w:tcPr>
            <w:tcW w:w="2073" w:type="dxa"/>
          </w:tcPr>
          <w:tcPr/>
          <w:p>
            <w:pPr>
              <w:pStyle w:val="Compact"/>
              <w:jc w:val="left"/>
            </w:pPr>
            <w:r>
              <w:t xml:space="preserve">Bestimmt die Anforderungen für</w:t>
            </w:r>
            <w:r>
              <w:t xml:space="preserve"> </w:t>
            </w:r>
            <w:r>
              <w:rPr>
                <w:bCs/>
                <w:b/>
              </w:rPr>
              <w:t xml:space="preserve">KI in Maschinen</w:t>
            </w:r>
            <w:r>
              <w:t xml:space="preserve"> </w:t>
            </w:r>
            <w:r>
              <w:t xml:space="preserve">vollständig neu</w:t>
            </w:r>
          </w:p>
        </w:tc>
        <w:tc>
          <w:tcPr>
            <w:tcW w:w="2234" w:type="dxa"/>
          </w:tcPr>
          <w:tcPr/>
          <w:p>
            <w:pPr>
              <w:pStyle w:val="Compact"/>
              <w:jc w:val="left"/>
            </w:pPr>
            <w:r>
              <w:t xml:space="preserve">Bei Anhang I Abschnitt B: Sektorrecht statt KI-VO verfolgen; Konstruktions- und Normenarbeit vorbereiten</w:t>
            </w:r>
          </w:p>
        </w:tc>
      </w:tr>
      <w:tr>
        <w:tc>
          <w:tcPr>
            <w:tcW w:w="1493" w:type="dxa"/>
          </w:tcPr>
          <w:tcPr/>
          <w:p>
            <w:pPr>
              <w:pStyle w:val="Compact"/>
              <w:jc w:val="left"/>
            </w:pPr>
            <w:r>
              <w:t xml:space="preserve">3</w:t>
            </w:r>
          </w:p>
        </w:tc>
        <w:tc>
          <w:tcPr>
            <w:tcW w:w="2018" w:type="dxa"/>
          </w:tcPr>
          <w:tcPr/>
          <w:p>
            <w:pPr>
              <w:pStyle w:val="Compact"/>
              <w:jc w:val="left"/>
            </w:pPr>
            <w:r>
              <w:t xml:space="preserve">Leitlinien zur Hochrisiko-Einstufung, Art. 6 Abs. 5</w:t>
            </w:r>
          </w:p>
        </w:tc>
        <w:tc>
          <w:tcPr>
            <w:tcW w:w="1820" w:type="dxa"/>
          </w:tcPr>
          <w:tcPr/>
          <w:p>
            <w:pPr>
              <w:pStyle w:val="Compact"/>
              <w:jc w:val="left"/>
            </w:pPr>
            <w:r>
              <w:t xml:space="preserve">überfällig</w:t>
            </w:r>
          </w:p>
        </w:tc>
        <w:tc>
          <w:tcPr>
            <w:tcW w:w="2073" w:type="dxa"/>
          </w:tcPr>
          <w:tcPr/>
          <w:p>
            <w:pPr>
              <w:pStyle w:val="Compact"/>
              <w:jc w:val="left"/>
            </w:pPr>
            <w:r>
              <w:t xml:space="preserve">Kann Grenzfälle der Einstufung klären</w:t>
            </w:r>
          </w:p>
        </w:tc>
        <w:tc>
          <w:tcPr>
            <w:tcW w:w="2234" w:type="dxa"/>
          </w:tcPr>
          <w:tcPr/>
          <w:p>
            <w:pPr>
              <w:pStyle w:val="Compact"/>
              <w:jc w:val="left"/>
            </w:pPr>
            <w:r>
              <w:t xml:space="preserve">Grenzfälle dokumentiert offenhalten und nach Veröffentlichung erneut bewerten</w:t>
            </w:r>
          </w:p>
        </w:tc>
      </w:tr>
      <w:tr>
        <w:tc>
          <w:tcPr>
            <w:tcW w:w="1493" w:type="dxa"/>
          </w:tcPr>
          <w:tcPr/>
          <w:p>
            <w:pPr>
              <w:pStyle w:val="Compact"/>
              <w:jc w:val="left"/>
            </w:pPr>
            <w:r>
              <w:t xml:space="preserve">4</w:t>
            </w:r>
          </w:p>
        </w:tc>
        <w:tc>
          <w:tcPr>
            <w:tcW w:w="2018" w:type="dxa"/>
          </w:tcPr>
          <w:tcPr/>
          <w:p>
            <w:pPr>
              <w:pStyle w:val="Compact"/>
              <w:jc w:val="left"/>
            </w:pPr>
            <w:r>
              <w:t xml:space="preserve">Leitlinien zur Komplementarität, Art. 96 Abs. 1 lit. g</w:t>
            </w:r>
          </w:p>
        </w:tc>
        <w:tc>
          <w:tcPr>
            <w:tcW w:w="1820" w:type="dxa"/>
          </w:tcPr>
          <w:tcPr/>
          <w:p>
            <w:pPr>
              <w:pStyle w:val="Compact"/>
              <w:jc w:val="left"/>
            </w:pPr>
            <w:r>
              <w:t xml:space="preserve">bis 01.08.2027</w:t>
            </w:r>
          </w:p>
        </w:tc>
        <w:tc>
          <w:tcPr>
            <w:tcW w:w="2073" w:type="dxa"/>
          </w:tcPr>
          <w:tcPr/>
          <w:p>
            <w:pPr>
              <w:pStyle w:val="Compact"/>
              <w:jc w:val="left"/>
            </w:pPr>
            <w:r>
              <w:t xml:space="preserve">Verringert Doppelarbeit für Anhang-I-Hersteller</w:t>
            </w:r>
          </w:p>
        </w:tc>
        <w:tc>
          <w:tcPr>
            <w:tcW w:w="2234" w:type="dxa"/>
          </w:tcPr>
          <w:tcPr/>
          <w:p>
            <w:pPr>
              <w:pStyle w:val="Compact"/>
              <w:jc w:val="left"/>
            </w:pPr>
            <w:r>
              <w:t xml:space="preserve">Bestehende Risiko- und Qualitätsmanagementsysteme jetzt so aufbauen, dass KI-Aspekte integrierbar sind</w:t>
            </w:r>
          </w:p>
        </w:tc>
      </w:tr>
      <w:tr>
        <w:tc>
          <w:tcPr>
            <w:tcW w:w="1493" w:type="dxa"/>
          </w:tcPr>
          <w:tcPr/>
          <w:p>
            <w:pPr>
              <w:pStyle w:val="Compact"/>
              <w:jc w:val="left"/>
            </w:pPr>
            <w:r>
              <w:t xml:space="preserve">5</w:t>
            </w:r>
          </w:p>
        </w:tc>
        <w:tc>
          <w:tcPr>
            <w:tcW w:w="2018" w:type="dxa"/>
          </w:tcPr>
          <w:tcPr/>
          <w:p>
            <w:pPr>
              <w:pStyle w:val="Compact"/>
              <w:jc w:val="left"/>
            </w:pPr>
            <w:r>
              <w:t xml:space="preserve">Leitlinien und Muster zum Beobachtungsplan, Art. 72 Abs. 3</w:t>
            </w:r>
          </w:p>
        </w:tc>
        <w:tc>
          <w:tcPr>
            <w:tcW w:w="1820" w:type="dxa"/>
          </w:tcPr>
          <w:tcPr/>
          <w:p>
            <w:pPr>
              <w:pStyle w:val="Compact"/>
              <w:jc w:val="left"/>
            </w:pPr>
            <w:r>
              <w:t xml:space="preserve">bis 02.09.2027</w:t>
            </w:r>
          </w:p>
        </w:tc>
        <w:tc>
          <w:tcPr>
            <w:tcW w:w="2073" w:type="dxa"/>
          </w:tcPr>
          <w:tcPr/>
          <w:p>
            <w:pPr>
              <w:pStyle w:val="Compact"/>
              <w:jc w:val="left"/>
            </w:pPr>
            <w:r>
              <w:t xml:space="preserve">Bestimmt die Form des PMM-Plans</w:t>
            </w:r>
          </w:p>
        </w:tc>
        <w:tc>
          <w:tcPr>
            <w:tcW w:w="2234" w:type="dxa"/>
          </w:tcPr>
          <w:tcPr/>
          <w:p>
            <w:pPr>
              <w:pStyle w:val="Compact"/>
              <w:jc w:val="left"/>
            </w:pPr>
            <w:r>
              <w:t xml:space="preserve">Eigenen Plan aufsetzen, aber anpassbar halten</w:t>
            </w:r>
          </w:p>
        </w:tc>
      </w:tr>
      <w:tr>
        <w:tc>
          <w:tcPr>
            <w:tcW w:w="1493" w:type="dxa"/>
          </w:tcPr>
          <w:tcPr/>
          <w:p>
            <w:pPr>
              <w:pStyle w:val="Compact"/>
              <w:jc w:val="left"/>
            </w:pPr>
            <w:r>
              <w:t xml:space="preserve">6</w:t>
            </w:r>
          </w:p>
        </w:tc>
        <w:tc>
          <w:tcPr>
            <w:tcW w:w="2018" w:type="dxa"/>
          </w:tcPr>
          <w:tcPr/>
          <w:p>
            <w:pPr>
              <w:pStyle w:val="Compact"/>
              <w:jc w:val="left"/>
            </w:pPr>
            <w:r>
              <w:t xml:space="preserve">Jährliche Prüfung von Anhang III und der Verbotsliste, Art. 112 Abs. 1</w:t>
            </w:r>
          </w:p>
        </w:tc>
        <w:tc>
          <w:tcPr>
            <w:tcW w:w="1820" w:type="dxa"/>
          </w:tcPr>
          <w:tcPr/>
          <w:p>
            <w:pPr>
              <w:pStyle w:val="Compact"/>
              <w:jc w:val="left"/>
            </w:pPr>
            <w:r>
              <w:t xml:space="preserve">laufend</w:t>
            </w:r>
          </w:p>
        </w:tc>
        <w:tc>
          <w:tcPr>
            <w:tcW w:w="2073" w:type="dxa"/>
          </w:tcPr>
          <w:tcPr/>
          <w:p>
            <w:pPr>
              <w:pStyle w:val="Compact"/>
              <w:jc w:val="left"/>
            </w:pPr>
            <w:r>
              <w:t xml:space="preserve">Systeme können neu erfasst werden</w:t>
            </w:r>
          </w:p>
        </w:tc>
        <w:tc>
          <w:tcPr>
            <w:tcW w:w="2234" w:type="dxa"/>
          </w:tcPr>
          <w:tcPr/>
          <w:p>
            <w:pPr>
              <w:pStyle w:val="Compact"/>
              <w:jc w:val="left"/>
            </w:pPr>
            <w:r>
              <w:t xml:space="preserve">KI-Inventar</w:t>
            </w:r>
            <w:r>
              <w:t xml:space="preserve"> </w:t>
            </w:r>
            <w:r>
              <w:rPr>
                <w:bCs/>
                <w:b/>
              </w:rPr>
              <w:t xml:space="preserve">jährlich</w:t>
            </w:r>
            <w:r>
              <w:t xml:space="preserve"> </w:t>
            </w:r>
            <w:r>
              <w:t xml:space="preserve">gegen den geltenden Anhang III abgleichen</w:t>
            </w:r>
          </w:p>
        </w:tc>
      </w:tr>
      <w:tr>
        <w:tc>
          <w:tcPr>
            <w:tcW w:w="1493" w:type="dxa"/>
          </w:tcPr>
          <w:tcPr/>
          <w:p>
            <w:pPr>
              <w:pStyle w:val="Compact"/>
              <w:jc w:val="left"/>
            </w:pPr>
            <w:r>
              <w:t xml:space="preserve">7</w:t>
            </w:r>
          </w:p>
        </w:tc>
        <w:tc>
          <w:tcPr>
            <w:tcW w:w="2018" w:type="dxa"/>
          </w:tcPr>
          <w:tcPr/>
          <w:p>
            <w:pPr>
              <w:pStyle w:val="Compact"/>
              <w:jc w:val="left"/>
            </w:pPr>
            <w:r>
              <w:t xml:space="preserve">Deutsches Durchführungsrecht</w:t>
            </w:r>
          </w:p>
        </w:tc>
        <w:tc>
          <w:tcPr>
            <w:tcW w:w="1820" w:type="dxa"/>
          </w:tcPr>
          <w:tcPr/>
          <w:p>
            <w:pPr>
              <w:pStyle w:val="Compact"/>
              <w:jc w:val="left"/>
            </w:pPr>
            <w:r>
              <w:t xml:space="preserve">offen</w:t>
            </w:r>
          </w:p>
        </w:tc>
        <w:tc>
          <w:tcPr>
            <w:tcW w:w="2073" w:type="dxa"/>
          </w:tcPr>
          <w:tcPr/>
          <w:p>
            <w:pPr>
              <w:pStyle w:val="Compact"/>
              <w:jc w:val="left"/>
            </w:pPr>
            <w:r>
              <w:t xml:space="preserve">Zuständige Behörde, Meldewege, nationale Sanktionen</w:t>
            </w:r>
          </w:p>
        </w:tc>
        <w:tc>
          <w:tcPr>
            <w:tcW w:w="2234" w:type="dxa"/>
          </w:tcPr>
          <w:tcPr/>
          <w:p>
            <w:pPr>
              <w:pStyle w:val="Compact"/>
              <w:jc w:val="left"/>
            </w:pPr>
            <w:r>
              <w:t xml:space="preserve">Meldeprozess so gestalten, dass der Adressat austauschbar ist</w:t>
            </w:r>
          </w:p>
        </w:tc>
      </w:tr>
      <w:tr>
        <w:tc>
          <w:tcPr>
            <w:tcW w:w="1493" w:type="dxa"/>
          </w:tcPr>
          <w:tcPr/>
          <w:p>
            <w:pPr>
              <w:pStyle w:val="Compact"/>
              <w:jc w:val="left"/>
            </w:pPr>
            <w:r>
              <w:t xml:space="preserve">8</w:t>
            </w:r>
          </w:p>
        </w:tc>
        <w:tc>
          <w:tcPr>
            <w:tcW w:w="2018" w:type="dxa"/>
          </w:tcPr>
          <w:tcPr/>
          <w:p>
            <w:pPr>
              <w:pStyle w:val="Compact"/>
              <w:jc w:val="left"/>
            </w:pPr>
            <w:r>
              <w:t xml:space="preserve">Art. 88c DSGVO-E — berechtigtes Interesse für KI</w:t>
            </w:r>
          </w:p>
        </w:tc>
        <w:tc>
          <w:tcPr>
            <w:tcW w:w="1820" w:type="dxa"/>
          </w:tcPr>
          <w:tcPr/>
          <w:p>
            <w:pPr>
              <w:pStyle w:val="Compact"/>
              <w:jc w:val="left"/>
            </w:pPr>
            <w:r>
              <w:t xml:space="preserve">frühestens 2027, Inhalt offen</w:t>
            </w:r>
          </w:p>
        </w:tc>
        <w:tc>
          <w:tcPr>
            <w:tcW w:w="2073" w:type="dxa"/>
          </w:tcPr>
          <w:tcPr/>
          <w:p>
            <w:pPr>
              <w:pStyle w:val="Compact"/>
              <w:jc w:val="left"/>
            </w:pPr>
            <w:r>
              <w:t xml:space="preserve">Rechtsgrundlage für Training und Betrieb</w:t>
            </w:r>
          </w:p>
        </w:tc>
        <w:tc>
          <w:tcPr>
            <w:tcW w:w="2234" w:type="dxa"/>
          </w:tcPr>
          <w:tcPr/>
          <w:p>
            <w:pPr>
              <w:pStyle w:val="Compact"/>
              <w:jc w:val="left"/>
            </w:pPr>
            <w:r>
              <w:t xml:space="preserve">Heute belastbare Rechtsgrundlage nach geltendem Recht dokumentieren — nicht auf den Vorschlag warten</w:t>
            </w:r>
          </w:p>
        </w:tc>
      </w:tr>
      <w:tr>
        <w:tc>
          <w:tcPr>
            <w:tcW w:w="1493" w:type="dxa"/>
          </w:tcPr>
          <w:tcPr/>
          <w:p>
            <w:pPr>
              <w:pStyle w:val="Compact"/>
              <w:jc w:val="left"/>
            </w:pPr>
            <w:r>
              <w:t xml:space="preserve">9</w:t>
            </w:r>
          </w:p>
        </w:tc>
        <w:tc>
          <w:tcPr>
            <w:tcW w:w="2018" w:type="dxa"/>
          </w:tcPr>
          <w:tcPr/>
          <w:p>
            <w:pPr>
              <w:pStyle w:val="Compact"/>
              <w:jc w:val="left"/>
            </w:pPr>
            <w:r>
              <w:t xml:space="preserve">Art. 9 Abs. 2 lit. k und Abs. 5 DSGVO-E</w:t>
            </w:r>
          </w:p>
        </w:tc>
        <w:tc>
          <w:tcPr>
            <w:tcW w:w="1820" w:type="dxa"/>
          </w:tcPr>
          <w:tcPr/>
          <w:p>
            <w:pPr>
              <w:pStyle w:val="Compact"/>
              <w:jc w:val="left"/>
            </w:pPr>
            <w:r>
              <w:t xml:space="preserve">frühestens 2027, Inhalt offen</w:t>
            </w:r>
          </w:p>
        </w:tc>
        <w:tc>
          <w:tcPr>
            <w:tcW w:w="2073" w:type="dxa"/>
          </w:tcPr>
          <w:tcPr/>
          <w:p>
            <w:pPr>
              <w:pStyle w:val="Compact"/>
              <w:jc w:val="left"/>
            </w:pPr>
            <w:r>
              <w:t xml:space="preserve">Umgang mit</w:t>
            </w:r>
            <w:r>
              <w:t xml:space="preserve"> </w:t>
            </w:r>
            <w:r>
              <w:rPr>
                <w:bCs/>
                <w:b/>
              </w:rPr>
              <w:t xml:space="preserve">beiläufigen</w:t>
            </w:r>
            <w:r>
              <w:t xml:space="preserve"> </w:t>
            </w:r>
            <w:r>
              <w:t xml:space="preserve">sensiblen Daten in Trainingsdaten</w:t>
            </w:r>
          </w:p>
        </w:tc>
        <w:tc>
          <w:tcPr>
            <w:tcW w:w="2234" w:type="dxa"/>
          </w:tcPr>
          <w:tcPr/>
          <w:p>
            <w:pPr>
              <w:pStyle w:val="Compact"/>
              <w:jc w:val="left"/>
            </w:pPr>
            <w:r>
              <w:t xml:space="preserve">Bereits jetzt technisch vermeiden, erkennen, entfernen — das verlangt die Sorgfalt ohnehin</w:t>
            </w:r>
          </w:p>
        </w:tc>
      </w:tr>
      <w:tr>
        <w:tc>
          <w:tcPr>
            <w:tcW w:w="1493" w:type="dxa"/>
          </w:tcPr>
          <w:tcPr/>
          <w:p>
            <w:pPr>
              <w:pStyle w:val="Compact"/>
              <w:jc w:val="left"/>
            </w:pPr>
            <w:r>
              <w:t xml:space="preserve">10</w:t>
            </w:r>
          </w:p>
        </w:tc>
        <w:tc>
          <w:tcPr>
            <w:tcW w:w="2018" w:type="dxa"/>
          </w:tcPr>
          <w:tcPr/>
          <w:p>
            <w:pPr>
              <w:pStyle w:val="Compact"/>
              <w:jc w:val="left"/>
            </w:pPr>
            <w:r>
              <w:t xml:space="preserve">Begriff „personenbezogene Daten”, Art. 4 Nr. 1 DSGVO-E</w:t>
            </w:r>
          </w:p>
        </w:tc>
        <w:tc>
          <w:tcPr>
            <w:tcW w:w="1820" w:type="dxa"/>
          </w:tcPr>
          <w:tcPr/>
          <w:p>
            <w:pPr>
              <w:pStyle w:val="Compact"/>
              <w:jc w:val="left"/>
            </w:pPr>
            <w:r>
              <w:t xml:space="preserve">ungewiss, im Rat umstritten</w:t>
            </w:r>
          </w:p>
        </w:tc>
        <w:tc>
          <w:tcPr>
            <w:tcW w:w="2073" w:type="dxa"/>
          </w:tcPr>
          <w:tcPr/>
          <w:p>
            <w:pPr>
              <w:pStyle w:val="Compact"/>
              <w:jc w:val="left"/>
            </w:pPr>
            <w:r>
              <w:t xml:space="preserve">Entscheidet über die Anwendbarkeit der DSGVO auf pseudonymisierte Trainingsdaten</w:t>
            </w:r>
          </w:p>
        </w:tc>
        <w:tc>
          <w:tcPr>
            <w:tcW w:w="2234" w:type="dxa"/>
          </w:tcPr>
          <w:tcPr/>
          <w:p>
            <w:pPr>
              <w:pStyle w:val="Compact"/>
              <w:jc w:val="left"/>
            </w:pPr>
            <w:r>
              <w:rPr>
                <w:bCs/>
                <w:b/>
              </w:rPr>
              <w:t xml:space="preserve">Nicht</w:t>
            </w:r>
            <w:r>
              <w:t xml:space="preserve"> </w:t>
            </w:r>
            <w:r>
              <w:t xml:space="preserve">darauf planen. Weiter vom geltenden Begriff ausgehen</w:t>
            </w:r>
          </w:p>
        </w:tc>
      </w:tr>
      <w:tr>
        <w:tc>
          <w:tcPr>
            <w:tcW w:w="1493" w:type="dxa"/>
          </w:tcPr>
          <w:tcPr/>
          <w:p>
            <w:pPr>
              <w:pStyle w:val="Compact"/>
              <w:jc w:val="left"/>
            </w:pPr>
            <w:r>
              <w:t xml:space="preserve">11</w:t>
            </w:r>
          </w:p>
        </w:tc>
        <w:tc>
          <w:tcPr>
            <w:tcW w:w="2018" w:type="dxa"/>
          </w:tcPr>
          <w:tcPr/>
          <w:p>
            <w:pPr>
              <w:pStyle w:val="Compact"/>
              <w:jc w:val="left"/>
            </w:pPr>
            <w:r>
              <w:t xml:space="preserve">Art. 88a und 88b DSGVO-E — Cookies, maschinenlesbare Einwilligung</w:t>
            </w:r>
          </w:p>
        </w:tc>
        <w:tc>
          <w:tcPr>
            <w:tcW w:w="1820" w:type="dxa"/>
          </w:tcPr>
          <w:tcPr/>
          <w:p>
            <w:pPr>
              <w:pStyle w:val="Compact"/>
              <w:jc w:val="left"/>
            </w:pPr>
            <w:r>
              <w:t xml:space="preserve">gestaffelt 6/24/48 Monate nach Inkrafttreten</w:t>
            </w:r>
          </w:p>
        </w:tc>
        <w:tc>
          <w:tcPr>
            <w:tcW w:w="2073" w:type="dxa"/>
          </w:tcPr>
          <w:tcPr/>
          <w:p>
            <w:pPr>
              <w:pStyle w:val="Compact"/>
              <w:jc w:val="left"/>
            </w:pPr>
            <w:r>
              <w:t xml:space="preserve">Betrifft alle Online-Auftritte, nicht nur KI</w:t>
            </w:r>
          </w:p>
        </w:tc>
        <w:tc>
          <w:tcPr>
            <w:tcW w:w="2234" w:type="dxa"/>
          </w:tcPr>
          <w:tcPr/>
          <w:p>
            <w:pPr>
              <w:pStyle w:val="Compact"/>
              <w:jc w:val="left"/>
            </w:pPr>
            <w:r>
              <w:t xml:space="preserve">Einwilligungsverwaltung so gestalten, dass Signale technisch entgegengenommen werden können</w:t>
            </w:r>
          </w:p>
        </w:tc>
      </w:tr>
      <w:tr>
        <w:tc>
          <w:tcPr>
            <w:tcW w:w="1493" w:type="dxa"/>
          </w:tcPr>
          <w:tcPr/>
          <w:p>
            <w:pPr>
              <w:pStyle w:val="Compact"/>
              <w:jc w:val="left"/>
            </w:pPr>
            <w:r>
              <w:t xml:space="preserve">12</w:t>
            </w:r>
          </w:p>
        </w:tc>
        <w:tc>
          <w:tcPr>
            <w:tcW w:w="2018" w:type="dxa"/>
          </w:tcPr>
          <w:tcPr/>
          <w:p>
            <w:pPr>
              <w:pStyle w:val="Compact"/>
              <w:jc w:val="left"/>
            </w:pPr>
            <w:r>
              <w:t xml:space="preserve">Art. 33 DSGVO-E — 96 Stunden, hohe Risikoschwelle, zentrale Anlaufstelle</w:t>
            </w:r>
          </w:p>
        </w:tc>
        <w:tc>
          <w:tcPr>
            <w:tcW w:w="1820" w:type="dxa"/>
          </w:tcPr>
          <w:tcPr/>
          <w:p>
            <w:pPr>
              <w:pStyle w:val="Compact"/>
              <w:jc w:val="left"/>
            </w:pPr>
            <w:r>
              <w:t xml:space="preserve">frühestens 2027</w:t>
            </w:r>
          </w:p>
        </w:tc>
        <w:tc>
          <w:tcPr>
            <w:tcW w:w="2073" w:type="dxa"/>
          </w:tcPr>
          <w:tcPr/>
          <w:p>
            <w:pPr>
              <w:pStyle w:val="Compact"/>
              <w:jc w:val="left"/>
            </w:pPr>
            <w:r>
              <w:t xml:space="preserve">Meldeprozess</w:t>
            </w:r>
          </w:p>
        </w:tc>
        <w:tc>
          <w:tcPr>
            <w:tcW w:w="2234" w:type="dxa"/>
          </w:tcPr>
          <w:tcPr/>
          <w:p>
            <w:pPr>
              <w:pStyle w:val="Compact"/>
              <w:jc w:val="left"/>
            </w:pPr>
            <w:r>
              <w:t xml:space="preserve">Weiterhin auf</w:t>
            </w:r>
            <w:r>
              <w:t xml:space="preserve"> </w:t>
            </w:r>
            <w:r>
              <w:rPr>
                <w:bCs/>
                <w:b/>
              </w:rPr>
              <w:t xml:space="preserve">72 Stunden</w:t>
            </w:r>
            <w:r>
              <w:t xml:space="preserve"> </w:t>
            </w:r>
            <w:r>
              <w:t xml:space="preserve">und die geltende Schwelle auslegen</w:t>
            </w:r>
          </w:p>
        </w:tc>
      </w:tr>
    </w:tbl>
    <w:bookmarkEnd w:id="40"/>
    <w:bookmarkStart w:id="41" w:name="X1db7ef0e140a9f1bbb92c72abfefbb39bf0f285"/>
    <w:p>
      <w:pPr>
        <w:pStyle w:val="Heading2"/>
      </w:pPr>
      <w:r>
        <w:t xml:space="preserve">4.2 Drei Regeln für den Umgang mit Vorschlägen</w:t>
      </w:r>
    </w:p>
    <w:p>
      <w:pPr>
        <w:pStyle w:val="FirstParagraph"/>
      </w:pPr>
      <w:r>
        <w:rPr>
          <w:bCs/>
          <w:b/>
        </w:rPr>
        <w:t xml:space="preserve">Erstens: Geltendes Recht wird nicht durch Vorschläge suspendiert.</w:t>
      </w:r>
      <w:r>
        <w:t xml:space="preserve"> </w:t>
      </w:r>
      <w:r>
        <w:t xml:space="preserve">Wer die Meldefrist von 72 Stunden reißt, weil 96 Stunden „ja bald kommen”, hat einen Verstoß begangen — unabhängig davon, was später in Kraft tritt.</w:t>
      </w:r>
    </w:p>
    <w:p>
      <w:pPr>
        <w:pStyle w:val="BodyText"/>
      </w:pPr>
      <w:r>
        <w:rPr>
          <w:bCs/>
          <w:b/>
        </w:rPr>
        <w:t xml:space="preserve">Zweitens: Anpassbarkeit ist billiger als Abwarten.</w:t>
      </w:r>
      <w:r>
        <w:t xml:space="preserve"> </w:t>
      </w:r>
      <w:r>
        <w:t xml:space="preserve">Wer heute einen Prozess baut, sollte die Stellschrauben, die sich ändern könnten, konfigurierbar halten: Meldefristen, Meldeadressaten, Aufbewahrungsdauern, Einwilligungstexte. Das kostet wenig und erspart einen zweiten Aufbau.</w:t>
      </w:r>
    </w:p>
    <w:p>
      <w:pPr>
        <w:pStyle w:val="BodyText"/>
      </w:pPr>
      <w:r>
        <w:rPr>
          <w:bCs/>
          <w:b/>
        </w:rPr>
        <w:t xml:space="preserve">Drittens: Dokumentieren Sie, worauf Sie sich stützen.</w:t>
      </w:r>
      <w:r>
        <w:t xml:space="preserve"> </w:t>
      </w:r>
      <w:r>
        <w:t xml:space="preserve">Wenn Sie eine Einstufung oder eine Rechtsgrundlage auf eine Auslegung stützen, halten Sie fest: welcher Wortlaut, welche Auslegung, wer hat geprüft, wann. Ändert sich die Rechtslage, wissen Sie dann, welche Entscheidungen erneut anzusehen sind. Die Arbeitshilfe dieses Pakets sieht dafür auf Blatt 03 die Spalten „Juristisch bestätigt?</w:t>
      </w:r>
      <w:r>
        <w:t xml:space="preserve">“</w:t>
      </w:r>
      <w:r>
        <w:t xml:space="preserve">, „Geprüft am</w:t>
      </w:r>
      <w:r>
        <w:t xml:space="preserve">”</w:t>
      </w:r>
      <w:r>
        <w:t xml:space="preserve">, „Geprüft von” und „Prüfgrundlage” vor.</w:t>
      </w:r>
    </w:p>
    <w:p>
      <w:r>
        <w:pict>
          <v:rect style="width:0;height:1.5pt" o:hralign="center" o:hrstd="t" o:hr="t"/>
        </w:pict>
      </w:r>
    </w:p>
    <w:bookmarkEnd w:id="41"/>
    <w:bookmarkEnd w:id="42"/>
    <w:bookmarkStart w:id="43" w:name="wie-dieses-dokument-fortgeschrieben-wird"/>
    <w:p>
      <w:pPr>
        <w:pStyle w:val="Heading1"/>
      </w:pPr>
      <w:r>
        <w:t xml:space="preserve">5. Wie dieses Dokument fortgeschrieben wird</w:t>
      </w:r>
    </w:p>
    <w:p>
      <w:pPr>
        <w:pStyle w:val="FirstParagraph"/>
      </w:pPr>
      <w:r>
        <w:t xml:space="preserve">Der Stand ist der 29.07.2026. Empfohlener Prüfrhythmus:</w:t>
      </w:r>
      <w:r>
        <w:t xml:space="preserve"> </w:t>
      </w:r>
      <w:r>
        <w:rPr>
          <w:bCs/>
          <w:b/>
        </w:rPr>
        <w:t xml:space="preserve">quartalsweise</w:t>
      </w:r>
      <w:r>
        <w:t xml:space="preserve">, nächste turnusmäßige Prüfung</w:t>
      </w:r>
      <w:r>
        <w:t xml:space="preserve"> </w:t>
      </w:r>
      <w:r>
        <w:rPr>
          <w:bCs/>
          <w:b/>
        </w:rPr>
        <w:t xml:space="preserve">Oktober 2026</w:t>
      </w:r>
      <w:r>
        <w:t xml:space="preserve">.</w:t>
      </w:r>
    </w:p>
    <w:p>
      <w:pPr>
        <w:pStyle w:val="BodyText"/>
      </w:pPr>
      <w:r>
        <w:t xml:space="preserve">Anlässe für eine sofortige Aktualisierung:</w:t>
      </w:r>
    </w:p>
    <w:p>
      <w:pPr>
        <w:numPr>
          <w:ilvl w:val="0"/>
          <w:numId w:val="1004"/>
        </w:numPr>
        <w:pStyle w:val="Compact"/>
      </w:pPr>
      <w:r>
        <w:t xml:space="preserve">allgemeine Ausrichtung des Rates oder Ausschussvotum im Parlament zur Digital-Omnibus-Verordnung;</w:t>
      </w:r>
    </w:p>
    <w:p>
      <w:pPr>
        <w:numPr>
          <w:ilvl w:val="0"/>
          <w:numId w:val="1004"/>
        </w:numPr>
        <w:pStyle w:val="Compact"/>
      </w:pPr>
      <w:r>
        <w:t xml:space="preserve">Veröffentlichung eines der in Ziffer 2.2 genannten Leitlinien oder Muster;</w:t>
      </w:r>
    </w:p>
    <w:p>
      <w:pPr>
        <w:numPr>
          <w:ilvl w:val="0"/>
          <w:numId w:val="1004"/>
        </w:numPr>
        <w:pStyle w:val="Compact"/>
      </w:pPr>
      <w:r>
        <w:t xml:space="preserve">Erlass eines delegierten Rechtsakts nach Art. 2 Abs. 13 KI-VO oder zu Anhang III der Maschinenverordnung;</w:t>
      </w:r>
    </w:p>
    <w:p>
      <w:pPr>
        <w:numPr>
          <w:ilvl w:val="0"/>
          <w:numId w:val="1004"/>
        </w:numPr>
        <w:pStyle w:val="Compact"/>
      </w:pPr>
      <w:r>
        <w:t xml:space="preserve">Ergebnis der jährlichen Prüfung nach Art. 112 Abs. 1 KI-VO;</w:t>
      </w:r>
    </w:p>
    <w:p>
      <w:pPr>
        <w:numPr>
          <w:ilvl w:val="0"/>
          <w:numId w:val="1004"/>
        </w:numPr>
        <w:pStyle w:val="Compact"/>
      </w:pPr>
      <w:r>
        <w:t xml:space="preserve">deutsches Durchführungsgesetz.</w:t>
      </w:r>
    </w:p>
    <w:p>
      <w:pPr>
        <w:pStyle w:val="FirstParagraph"/>
      </w:pPr>
      <w:r>
        <w:t xml:space="preserve">Zu prüfende Stellen: Verfahrensakte 2025/0360(COD) im Legislativen Observatorium, Legislative Train Schedule des Europäischen Parlaments, öffentliches Dokumentenregister des Rates, Amtsblatt der Europäischen Union.</w:t>
      </w:r>
    </w:p>
    <w:p>
      <w:r>
        <w:pict>
          <v:rect style="width:0;height:1.5pt" o:hralign="center" o:hrstd="t" o:hr="t"/>
        </w:pict>
      </w:r>
    </w:p>
    <w:bookmarkEnd w:id="43"/>
    <w:bookmarkStart w:id="44" w:name="quellen"/>
    <w:p>
      <w:pPr>
        <w:pStyle w:val="Heading1"/>
      </w:pPr>
      <w:r>
        <w:t xml:space="preserve">6. Quellen</w:t>
      </w:r>
    </w:p>
    <w:p>
      <w:pPr>
        <w:pStyle w:val="FirstParagraph"/>
      </w:pPr>
      <w:r>
        <w:rPr>
          <w:bCs/>
          <w:b/>
        </w:rPr>
        <w:t xml:space="preserve">Primärquellen</w:t>
      </w:r>
      <w:r>
        <w:t xml:space="preserve"> </w:t>
      </w:r>
      <w:r>
        <w:t xml:space="preserve">— maßgeblich für jeden Wortlaut:</w:t>
      </w:r>
    </w:p>
    <w:p>
      <w:pPr>
        <w:numPr>
          <w:ilvl w:val="0"/>
          <w:numId w:val="1005"/>
        </w:numPr>
        <w:pStyle w:val="Compact"/>
      </w:pPr>
      <w:r>
        <w:t xml:space="preserve">Verordnung (EU) 2024/1689 (KI-Verordnung), ABl. L, 2024/1689, 12.07.2024, CELEX 32024R1689</w:t>
      </w:r>
    </w:p>
    <w:p>
      <w:pPr>
        <w:numPr>
          <w:ilvl w:val="0"/>
          <w:numId w:val="1005"/>
        </w:numPr>
        <w:pStyle w:val="Compact"/>
      </w:pPr>
      <w:r>
        <w:t xml:space="preserve">Verordnung (EU) 2026/1744 (Digital-Omnibus-Verordnung zur KI), ABl. 24.07.2026, CELEX 32026R1744</w:t>
      </w:r>
    </w:p>
    <w:p>
      <w:pPr>
        <w:numPr>
          <w:ilvl w:val="0"/>
          <w:numId w:val="1005"/>
        </w:numPr>
        <w:pStyle w:val="Compact"/>
      </w:pPr>
      <w:r>
        <w:rPr>
          <w:bCs/>
          <w:b/>
        </w:rPr>
        <w:t xml:space="preserve">COM(2025) 837 final vom 19.11.2025</w:t>
      </w:r>
      <w:r>
        <w:t xml:space="preserve">, Verfahren 2025/0360(COD) — Vorschlag für die Digital-Omnibus-Verordnung; amtlicher deutscher Volltext über das Cellar-Repository des Amts für Veröffentlichungen der Europäischen Union bezogen</w:t>
      </w:r>
    </w:p>
    <w:p>
      <w:pPr>
        <w:numPr>
          <w:ilvl w:val="0"/>
          <w:numId w:val="1005"/>
        </w:numPr>
        <w:pStyle w:val="Compact"/>
      </w:pPr>
      <w:r>
        <w:t xml:space="preserve">Verordnung (EU) 2023/1230 (Maschinenverordnung) in der Fassung der VO (EU) 2026/1744</w:t>
      </w:r>
    </w:p>
    <w:p>
      <w:pPr>
        <w:pStyle w:val="FirstParagraph"/>
      </w:pPr>
      <w:r>
        <w:rPr>
          <w:bCs/>
          <w:b/>
        </w:rPr>
        <w:t xml:space="preserve">Verfahrensquellen:</w:t>
      </w:r>
    </w:p>
    <w:p>
      <w:pPr>
        <w:numPr>
          <w:ilvl w:val="0"/>
          <w:numId w:val="1006"/>
        </w:numPr>
        <w:pStyle w:val="Compact"/>
      </w:pPr>
      <w:r>
        <w:t xml:space="preserve">Legislatives Observatorium des Europäischen Parlaments, Verfahrensakte 2025/0360(COD)</w:t>
      </w:r>
    </w:p>
    <w:p>
      <w:pPr>
        <w:numPr>
          <w:ilvl w:val="0"/>
          <w:numId w:val="1006"/>
        </w:numPr>
        <w:pStyle w:val="Compact"/>
      </w:pPr>
      <w:r>
        <w:t xml:space="preserve">Legislative Train Schedule des Europäischen Parlaments, „The Digital Omnibus Regulation Proposal”, Seitenstand 22.05.2026</w:t>
      </w:r>
    </w:p>
    <w:p>
      <w:pPr>
        <w:numPr>
          <w:ilvl w:val="0"/>
          <w:numId w:val="1006"/>
        </w:numPr>
        <w:pStyle w:val="Compact"/>
      </w:pPr>
      <w:r>
        <w:t xml:space="preserve">Rat der Europäischen Union, Dokument WK 7876/2026 vom 04.06.2026, interinstitutionelles Dossier 2025/0360(COD)</w:t>
      </w:r>
    </w:p>
    <w:p>
      <w:pPr>
        <w:numPr>
          <w:ilvl w:val="0"/>
          <w:numId w:val="1006"/>
        </w:numPr>
        <w:pStyle w:val="Compact"/>
      </w:pPr>
      <w:r>
        <w:t xml:space="preserve">Europäischer Datenschutzausschuss und Europäischer Datenschutzbeauftragter,</w:t>
      </w:r>
      <w:r>
        <w:t xml:space="preserve"> </w:t>
      </w:r>
      <w:r>
        <w:rPr>
          <w:bCs/>
          <w:b/>
        </w:rPr>
        <w:t xml:space="preserve">Gemeinsame Stellungnahme 2/2026 vom 11.02.2026</w:t>
      </w:r>
      <w:r>
        <w:t xml:space="preserve"> </w:t>
      </w:r>
      <w:r>
        <w:t xml:space="preserve">zur Digital-Omnibus-Verordnung</w:t>
      </w:r>
    </w:p>
    <w:p>
      <w:pPr>
        <w:numPr>
          <w:ilvl w:val="0"/>
          <w:numId w:val="1006"/>
        </w:numPr>
        <w:pStyle w:val="Compact"/>
      </w:pPr>
      <w:r>
        <w:t xml:space="preserve">Europäische Kommission, Pressemitteilung IP/25/2718 vom 19.11.2025</w:t>
      </w:r>
    </w:p>
    <w:p>
      <w:pPr>
        <w:pStyle w:val="FirstParagraph"/>
      </w:pPr>
      <w:r>
        <w:rPr>
          <w:bCs/>
          <w:b/>
        </w:rPr>
        <w:t xml:space="preserve">Sekundärquellen — nur zur Einordnung des Verfahrensstands, nicht als Beleg für einen Rechtssatz:</w:t>
      </w:r>
    </w:p>
    <w:p>
      <w:pPr>
        <w:numPr>
          <w:ilvl w:val="0"/>
          <w:numId w:val="1007"/>
        </w:numPr>
        <w:pStyle w:val="Compact"/>
      </w:pPr>
      <w:r>
        <w:t xml:space="preserve">Agence Europe, Bericht vom 26.06.2026 zur Übergabe der Datei von Zypern an Irland</w:t>
      </w:r>
    </w:p>
    <w:p>
      <w:pPr>
        <w:numPr>
          <w:ilvl w:val="0"/>
          <w:numId w:val="1007"/>
        </w:numPr>
        <w:pStyle w:val="Compact"/>
      </w:pPr>
      <w:r>
        <w:t xml:space="preserve">Privacy Next, Lagebericht vom 08.07.2026</w:t>
      </w:r>
    </w:p>
    <w:p>
      <w:pPr>
        <w:numPr>
          <w:ilvl w:val="0"/>
          <w:numId w:val="1007"/>
        </w:numPr>
        <w:pStyle w:val="Compact"/>
      </w:pPr>
      <w:r>
        <w:t xml:space="preserve">European Digital Rights (EDRi), Lagebericht vom 16.07.2026</w:t>
      </w:r>
    </w:p>
    <w:p>
      <w:pPr>
        <w:pStyle w:val="FirstParagraph"/>
      </w:pPr>
      <w:r>
        <w:t xml:space="preserve">Die beiden zuletzt genannten Quellen vertreten gegenläufige Interessen — die eine wirtschaftsnah, die andere grundrechtsorientiert. Sie wurden bewusst beide herangezogen und nur dort verwendet, wo sich ihre Tatsachenangaben decken.</w:t>
      </w:r>
    </w:p>
    <w:p>
      <w:pPr>
        <w:pStyle w:val="BodyText"/>
      </w:pPr>
      <w:r>
        <w:rPr>
          <w:bCs/>
          <w:b/>
        </w:rPr>
        <w:t xml:space="preserve">Nicht verifiziert:</w:t>
      </w:r>
    </w:p>
    <w:p>
      <w:pPr>
        <w:numPr>
          <w:ilvl w:val="0"/>
          <w:numId w:val="1008"/>
        </w:numPr>
        <w:pStyle w:val="Compact"/>
      </w:pPr>
      <w:r>
        <w:t xml:space="preserve">Ob und wann die Leitlinien nach Art. 6 Abs. 5 KI-VO veröffentlicht wurden.</w:t>
      </w:r>
    </w:p>
    <w:p>
      <w:pPr>
        <w:numPr>
          <w:ilvl w:val="0"/>
          <w:numId w:val="1008"/>
        </w:numPr>
        <w:pStyle w:val="Compact"/>
      </w:pPr>
      <w:r>
        <w:t xml:space="preserve">Der Stand des deutschen Durchführungsrechts.</w:t>
      </w:r>
    </w:p>
    <w:p>
      <w:pPr>
        <w:numPr>
          <w:ilvl w:val="0"/>
          <w:numId w:val="1008"/>
        </w:numPr>
        <w:pStyle w:val="Compact"/>
      </w:pPr>
      <w:r>
        <w:t xml:space="preserve">Ob im Rat nach dem 26.06.2026 weitere Kompromisstexte zirkuliert sind; die Verhandlungen ruhen über die Sommerpause.</w:t>
      </w:r>
    </w:p>
    <w:p>
      <w:pPr>
        <w:numPr>
          <w:ilvl w:val="0"/>
          <w:numId w:val="1008"/>
        </w:numPr>
        <w:pStyle w:val="Compact"/>
      </w:pPr>
      <w:r>
        <w:t xml:space="preserve">Die Zusammensetzung der Sperrminorität im Rat. Sie wird in Sekundärquellen benannt, ist aber nicht amtlich dokumentiert und wird hier deshalb nicht wiedergegeben.</w:t>
      </w:r>
    </w:p>
    <w:p>
      <w:r>
        <w:pict>
          <v:rect style="width:0;height:1.5pt" o:hralign="center" o:hrstd="t" o:hr="t"/>
        </w:pict>
      </w:r>
    </w:p>
    <w:p>
      <w:pPr>
        <w:pStyle w:val="FirstParagraph"/>
      </w:pPr>
      <w:r>
        <w:rPr>
          <w:iCs/>
          <w:i/>
        </w:rPr>
        <w:t xml:space="preserve">Fassung 1.0 · Erstellt am 29.07.2026 · Stand des Gesetzgebungsverfahrens: 29.07.2026</w:t>
      </w:r>
      <w:r>
        <w:t xml:space="preserve"> </w:t>
      </w:r>
      <w:r>
        <w:rPr>
          <w:iCs/>
          <w:i/>
        </w:rPr>
        <w:t xml:space="preserve">Dieses Dokument beschreibt Vorhaben, keine geltende Rechtslage. Es ersetzt keine Rechtsberatung im Einzelfall.</w:t>
      </w:r>
      <w:r>
        <w:t xml:space="preserve"> </w:t>
      </w:r>
      <w:r>
        <w:rPr>
          <w:iCs/>
          <w:i/>
        </w:rPr>
        <w:t xml:space="preserve">Nutzung unter CC BY 4.0 — bei Weitergabe bitte Stand und vorgenommene Änderungen kennzeichnen.</w:t>
      </w:r>
    </w:p>
    <w:bookmarkEnd w:id="44"/>
    <w:sectPr>
      <w:pgSz w:w="11906" w:h="16838"/>
      <w:pgMar w:top="1134" w:right="1134" w:bottom="1134" w:left="1134" w:header="567" w:footer="567"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F3864"/>
      <w:sz w:val="44"/>
      <w:szCs w:val="44"/>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color w:val="44546A"/>
      <w:sz w:val="28"/>
      <w:szCs w:val="28"/>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F3864"/>
      <w:sz w:val="32"/>
      <w:szCs w:val="32"/>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2E5496"/>
      <w:sz w:val="26"/>
      <w:szCs w:val="26"/>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2E5496"/>
      <w:sz w:val="22"/>
      <w:szCs w:val="22"/>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44546A"/>
      <w:sz w:val="21"/>
      <w:szCs w:val="21"/>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496" w:space="8" w:sz="18" w:val="single"/>
      </w:pBdr>
      <w:shd w:color="auto" w:fill="F2F5FA" w:val="clear"/>
      <w:spacing w:after="120" w:before="120"/>
      <w:ind w:left="200" w:right="120"/>
      <w:spacing w:after="100" w:before="100"/>
      <w:ind w:firstLine="0" w:left="480" w:right="480"/>
    </w:pPr>
    <w:rPr>
      <w:sz w:val="19"/>
      <w:szCs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90"/>
        <w:bottom w:type="dxa" w:w="60"/>
        <w:right w:type="dxa" w:w="90"/>
      </w:tblCellMar>
    </w:tblPr>
    <w:tblStylePr w:type="firstRow">
      <w:tblPr>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90"/>
          <w:bottom w:type="dxa" w:w="60"/>
          <w:right w:type="dxa" w:w="90"/>
        </w:tblCellMar>
      </w:tblPr>
      <w:trPr>
        <w:jc w:val="left"/>
      </w:trPr>
      <w:tcPr>
        <w:vAlign w:val="bottom"/>
        <w:tcBorders>
          <w:bottom w:val="single"/>
        </w:tcBorders>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2026-07-29T14:17:35Z</dcterms:created>
  <dcterms:modified xsi:type="dcterms:W3CDTF">2026-07-29T14:17:35Z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Inhaltsverzeichnis</vt:lpwstr>
  </property>
</Properties>
</file>