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Quarterly Investment Update</w:t>
      </w:r>
    </w:p>
    <w:p>
      <w:r>
        <w:t>Sent to all advised clients on the Holloway platform. This note is general market commentary and does not relate to any individual client's accounts or recommendations.</w:t>
      </w:r>
    </w:p>
    <w:p>
      <w:r>
        <w:t>Equity markets recovered over the quarter, led by developed-market shares, while fixed income steadied after a volatile end to last year. Inflation continued to ease across most major economies, and central banks left policy rates broadly unchanged.</w:t>
      </w:r>
    </w:p>
    <w:p>
      <w:r>
        <w:t>Our in-house Aldgate Growth Portfolio, published as an illustrative model allocation across the platform, returned 6.4 per cent over the quarter and stood at around £312,000 in aggregate at quarter-end. This is an illustrative platform figure and is not a holding in any individual client's portfolio.</w:t>
      </w:r>
    </w:p>
    <w:p>
      <w:r>
        <w:t>Clients sometimes ask whether they should react to short-term market movements. Our general guidance remains to stay invested in line with an agreed risk profile and to review at the scheduled annual meeting rather than trading on headlines. Capital is at risk and the value of investments may go down as well as up.</w:t>
      </w:r>
    </w:p>
    <w:p>
      <w:r>
        <w:t>If you would like to discuss how the wider market backdrop affects your own plan, your adviser will be glad to talk it through at your next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