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Report Requirement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Adviser</w:t>
            </w:r>
          </w:p>
        </w:tc>
        <w:tc>
          <w:tcPr>
            <w:tcW w:type="dxa" w:w="4320"/>
          </w:tcPr>
          <w:p>
            <w:r>
              <w:t>Daniel Reeves</w:t>
            </w:r>
          </w:p>
        </w:tc>
      </w:tr>
      <w:tr>
        <w:tc>
          <w:tcPr>
            <w:tcW w:type="dxa" w:w="4320"/>
          </w:tcPr>
          <w:p>
            <w:r>
              <w:t>Accounts covered</w:t>
            </w:r>
          </w:p>
        </w:tc>
        <w:tc>
          <w:tcPr>
            <w:tcW w:type="dxa" w:w="4320"/>
          </w:tcPr>
          <w:p>
            <w:r>
              <w:t>Holloway ISAs (Robert and Jean), the joint GIA, and a new joint account</w:t>
            </w:r>
          </w:p>
        </w:tc>
      </w:tr>
      <w:tr>
        <w:tc>
          <w:tcPr>
            <w:tcW w:type="dxa" w:w="4320"/>
          </w:tcPr>
          <w:p>
            <w:r>
              <w:t>Investment amount</w:t>
            </w:r>
          </w:p>
        </w:tc>
        <w:tc>
          <w:tcPr>
            <w:tcW w:type="dxa" w:w="4320"/>
          </w:tcPr>
          <w:p>
            <w:r>
              <w:t>GBP 120,000 inheritance plus the full joint GIA value</w:t>
            </w:r>
          </w:p>
        </w:tc>
      </w:tr>
      <w:tr>
        <w:tc>
          <w:tcPr>
            <w:tcW w:type="dxa" w:w="4320"/>
          </w:tcPr>
          <w:p>
            <w:r>
              <w:t>Source of funds</w:t>
            </w:r>
          </w:p>
        </w:tc>
        <w:tc>
          <w:tcPr>
            <w:tcW w:type="dxa" w:w="4320"/>
          </w:tcPr>
          <w:p>
            <w:r>
              <w:t>Inheritance (Jean) and the joint General Investment Account</w:t>
            </w:r>
          </w:p>
        </w:tc>
      </w:tr>
      <w:tr>
        <w:tc>
          <w:tcPr>
            <w:tcW w:type="dxa" w:w="4320"/>
          </w:tcPr>
          <w:p>
            <w:r>
              <w:t>Selling existing investments?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Product recommended</w:t>
            </w:r>
          </w:p>
        </w:tc>
        <w:tc>
          <w:tcPr>
            <w:tcW w:type="dxa" w:w="4320"/>
          </w:tcPr>
          <w:p>
            <w:r>
              <w:t>ISA top-ups and a new joint investment account</w:t>
            </w:r>
          </w:p>
        </w:tc>
      </w:tr>
      <w:tr>
        <w:tc>
          <w:tcPr>
            <w:tcW w:type="dxa" w:w="4320"/>
          </w:tcPr>
          <w:p>
            <w:r>
              <w:t>Held in single or joint name?</w:t>
            </w:r>
          </w:p>
        </w:tc>
        <w:tc>
          <w:tcPr>
            <w:tcW w:type="dxa" w:w="4320"/>
          </w:tcPr>
          <w:p>
            <w:r>
              <w:t>Joint clients, individual ISAs plus a joint account</w:t>
            </w:r>
          </w:p>
        </w:tc>
      </w:tr>
      <w:tr>
        <w:tc>
          <w:tcPr>
            <w:tcW w:type="dxa" w:w="4320"/>
          </w:tcPr>
          <w:p>
            <w:r>
              <w:t>Agreed risk profile</w:t>
            </w:r>
          </w:p>
        </w:tc>
        <w:tc>
          <w:tcPr>
            <w:tcW w:type="dxa" w:w="4320"/>
          </w:tcPr>
          <w:p>
            <w:r>
              <w:t>4 (moderate)</w:t>
            </w:r>
          </w:p>
        </w:tc>
      </w:tr>
      <w:tr>
        <w:tc>
          <w:tcPr>
            <w:tcW w:type="dxa" w:w="4320"/>
          </w:tcPr>
          <w:p>
            <w:r>
              <w:t>Initial charge</w:t>
            </w:r>
          </w:p>
        </w:tc>
        <w:tc>
          <w:tcPr>
            <w:tcW w:type="dxa" w:w="4320"/>
          </w:tcPr>
          <w:p>
            <w:r>
              <w:t>0.5%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