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Holloway Platform: Model Portfolio Pack</w:t>
      </w:r>
    </w:p>
    <w:p>
      <w:r>
        <w:t>Provided to advisers for background; may be shared with clients on request. It describes the platform's range of model portfolios and the house view on markets. It is not specific to any client and contains no individual account information.</w:t>
      </w:r>
    </w:p>
    <w:p>
      <w:r>
        <w:t>Investment approach</w:t>
      </w:r>
    </w:p>
    <w:p>
      <w:r>
        <w:t>The platform's model portfolios are built around a strategic asset allocation that is reviewed quarterly and rebalanced where allocations drift beyond agreed tolerances. Each model targets a risk band rather than a return, and holdings are selected to diversify across regions, sectors and asset classes. The approach is long term and is not intended to be traded around short-term market movements.</w:t>
      </w:r>
    </w:p>
    <w:p>
      <w:r>
        <w:t>Market outlook</w:t>
      </w:r>
    </w:p>
    <w:p>
      <w:r>
        <w:t>Our central case remains for moderate growth across developed economies, with inflation continuing to normalise and policy rates easing gradually over the coming year. Risks to the view include geopolitical disruption and a sharper-than-expected slowdown in consumer demand. We continue to favour broad diversification over concentrated positions.</w:t>
      </w:r>
    </w:p>
    <w:p>
      <w:r>
        <w:t>Risk and diversification</w:t>
      </w:r>
    </w:p>
    <w:p>
      <w:r>
        <w:t>Diversification across asset classes is the primary tool for managing portfolio risk. The models blend equities, fixed income and a small allocation to alternatives, with the equity-to-bond split set by the model's risk band. No single holding is intended to drive the outcome, and position sizes are capped to limit concentration.</w:t>
      </w:r>
    </w:p>
    <w:p>
      <w:r>
        <w:t>Fund changes this quarter</w:t>
      </w:r>
    </w:p>
    <w:p>
      <w:r>
        <w:t>We added the Sutton Strategic Fund to the growth tier of the models this quarter; across the platform it represents around £785,000 of assets under management. The change is incremental and does not alter the overall risk profile of any model. Existing clients do not need to take any action as a result of this update.</w:t>
      </w:r>
    </w:p>
    <w:p>
      <w:r>
        <w:t>Costs</w:t>
      </w:r>
    </w:p>
    <w:p>
      <w:r>
        <w:t>Ongoing fund costs within the models vary by risk band and are kept under review. Costs are one input among several and are weighed against expected diversification and risk characteristics rather than minimised in isolation. Platform and advice charges are separate and are set out in each client's own documentation.</w:t>
      </w:r>
    </w:p>
    <w:p>
      <w:r>
        <w:t>Responsible investment</w:t>
      </w:r>
    </w:p>
    <w:p>
      <w:r>
        <w:t>The models apply the platform's baseline exclusions and consider environmental, social and governance factors as part of our fund research. This is a firm-wide policy and is not tailored to any individual client's preferences, which are captured separately during the advice process.</w:t>
      </w:r>
    </w:p>
    <w:p>
      <w:r>
        <w:t>Important information</w:t>
      </w:r>
    </w:p>
    <w:p>
      <w:r>
        <w:t>This document is general information for advisers and clients and is not personal advice. Capital is at risk and the value of investments, and any income from them, may fall as well as recover. Figures quoted are illustrative platform aggregates, not individual holdings.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