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Annual review meeting with Margaret Hughes, held 12 May 2026 at our offices.</w:t>
      </w:r>
    </w:p>
    <w:p>
      <w:r>
        <w:t>Margaret is retired and confirmed there have been no changes to her circumstances or objectives since last year's review. She remains comfortable with the moderate approach to risk we agreed previously and was happy that the portfolio had performed in line with that.</w:t>
      </w:r>
    </w:p>
    <w:p>
      <w:r>
        <w:t>We spent a little time talking through the market commentary I had sent ahead of the meeting; Margaret had read it and had no concerns or questions arising from it.</w:t>
      </w:r>
    </w:p>
    <w:p>
      <w:r>
        <w:t>Her main point for the meeting was that she has cash sitting on deposit in her Holloway cash account and would like to use this year's ISA allowance by moving some of it into her Stocks &amp; Shares ISA.</w:t>
      </w:r>
    </w:p>
    <w:p>
      <w:r>
        <w:t>We agreed she would move £20,000 from the cash account into the Stocks &amp; Shares ISA. No investments are being sold to do this — it is simply moving available cash into the ISA wrapper, so there is no disposal involved.</w:t>
      </w:r>
    </w:p>
    <w:p>
      <w:r>
        <w:t>Margaret has no income requirement from the portfolio at present and does not expect that to change in the near term.</w:t>
      </w:r>
    </w:p>
    <w:p>
      <w:r>
        <w:t>She mentioned she may want to discuss gifting to her grandchildren at some point in the future, but was clear that is not for today and nothing should be actioned on it now.</w:t>
      </w:r>
    </w:p>
    <w:p>
      <w:r>
        <w:t>Next steps: I will prepare the advice report covering the ISA top-up and confirm the ongoing charges with her once the report is issued.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