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Planning meeting with James and Caroline Whitmore, held 20 May 2026. This was a long meeting covering the recent sale of James's business and what to do with the proceeds.</w:t>
      </w:r>
    </w:p>
    <w:p>
      <w:r>
        <w:t>By way of background: James completed the sale of his company in April. It has been a busy and slightly emotional period for them both, having built the business over many years.</w:t>
      </w:r>
    </w:p>
    <w:p>
      <w:r>
        <w:t>The headline structure of the deal: a completion payment of £850,000 was received on completion and is currently sitting in a solicitor's client account ready to be moved.</w:t>
      </w:r>
    </w:p>
    <w:p>
      <w:r>
        <w:t>On top of the completion payment, the deal includes a deferred earnout of up to £400,000, payable over the next two years and contingent on the business hitting agreed revenue targets. None of the earnout has been received yet, and James was clear it is not guaranteed — it depends entirely on how the business performs under the new owners.</w:t>
      </w:r>
    </w:p>
    <w:p>
      <w:r>
        <w:t>Important point on the completion money: £200,000 of the £850,000 is already committed to repaying a bridging loan James took out last year against the business. That repayment is due shortly. So the amount genuinely free to invest from the completion payment is what is left once the bridging loan is cleared.</w:t>
      </w:r>
    </w:p>
    <w:p>
      <w:r>
        <w:t>We agreed the report should deal only with the money that is actually available now. The earnout will be looked at separately, as and when each instalment is received and confirmed.</w:t>
      </w:r>
    </w:p>
    <w:p>
      <w:r>
        <w:t>James and Caroline's objectives are long-term growth with a balanced-to-moderate risk appetite. They have no income requirement from the portfolio currently; James may do some consultancy work but nothing is settled.</w:t>
      </w:r>
    </w:p>
    <w:p>
      <w:r>
        <w:t>They mentioned they would like, at some stage, to help with school fees for their grandchildren and possibly make a charitable donation. Both were clear these are aspirations for the future and nothing should be actioned on them in this report.</w:t>
      </w:r>
    </w:p>
    <w:p>
      <w:r>
        <w:t>We then went through the existing portfolio, which is spread across three platforms. I had the latest snapshot in front of me but we cross-checked some of it live.</w:t>
      </w:r>
    </w:p>
    <w:p>
      <w:r>
        <w:t>On the Holloway platform they each hold a Stocks &amp; Shares ISA, and there is a jointly-held General Investment Account. The joint GIA is the one that has moved most: pulling it up live, it was showing around £255,000. That is noticeably higher than the figure on the snapshot I had, which was struck back in February before the spring run-up.</w:t>
      </w:r>
    </w:p>
    <w:p>
      <w:r>
        <w:t>On the Brightwell platform James holds a SIPP and Caroline holds a SIPP. There is also a second jointly-held General Investment Account on Brightwell. These were all in line with the snapshot and we did not see any need to revise them.</w:t>
      </w:r>
    </w:p>
    <w:p>
      <w:r>
        <w:t>On the Meridian platform there is a jointly-held offshore investment bond, and James holds a cash account there. Caroline also has a cash account on Meridian, but she could not remember the balance and thought it might be fairly small; she will confirm it for us.</w:t>
      </w:r>
    </w:p>
    <w:p>
      <w:r>
        <w:t>Caroline also mentioned an old Meridian account in her name that was closed last year — that one has nothing in it and can be disregarded; I noted it only so we do not chase a balance that does not exist.</w:t>
      </w:r>
    </w:p>
    <w:p>
      <w:r>
        <w:t>On the plan for the available proceeds: we agreed to use both ISA allowances for the new tax year, make pension contributions into both SIPPs up to the appropriate level, add to the Holloway joint GIA, and place the remaining balance into a new jointly-held investment account.</w:t>
      </w:r>
    </w:p>
    <w:p>
      <w:r>
        <w:t>As part of tidying up, we agreed to disinvest a portion of the Holloway joint GIA and rebalance it; that sale is a disposal and will have a capital gains position to set out.</w:t>
      </w:r>
    </w:p>
    <w:p>
      <w:r>
        <w:t>We discussed the order of events: the bridging loan must be repaid from the completion money first, and only the net amount after that is what we are investing now.</w:t>
      </w:r>
    </w:p>
    <w:p>
      <w:r>
        <w:t>Caroline asked about the total ongoing cost of all this across the three platforms. I said I would set out the charges in the report once I had verified each platform's figures rather than estimate them in the meeting.</w:t>
      </w:r>
    </w:p>
    <w:p>
      <w:r>
        <w:t>We also briefly discussed the offshore bond and whether it still suited them; we agreed to leave it as it is for now and revisit at the next review.</w:t>
      </w:r>
    </w:p>
    <w:p>
      <w:r>
        <w:t>James raised that he had read something about pension allowances in the press and was worried about over-contributing. I reassured him we would size the SIPP contributions appropriately and that the report would not commit to a figure that breached the limits.</w:t>
      </w:r>
    </w:p>
    <w:p>
      <w:r>
        <w:t>There was a tangent about a property in France they had once considered buying; this is not being pursued and has no bearing on the advice.</w:t>
      </w:r>
    </w:p>
    <w:p>
      <w:r>
        <w:t>To summarise the actions I noted: confirm Caroline's Meridian cash balance; confirm the timing of the bridging-loan repayment; and treat the earnout separately as each instalment is received.</w:t>
      </w:r>
    </w:p>
    <w:p>
      <w:r>
        <w:t>Next steps: prepare the advice report covering the ISAs, the SIPPs, the joint GIAs, the offshore bond and the new joint account, and the investment of the net completion proceeds.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