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Report Requirement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Adviser</w:t>
            </w:r>
          </w:p>
        </w:tc>
        <w:tc>
          <w:tcPr>
            <w:tcW w:type="dxa" w:w="4320"/>
          </w:tcPr>
          <w:p>
            <w:r>
              <w:t>Daniel Reeves</w:t>
            </w:r>
          </w:p>
        </w:tc>
      </w:tr>
      <w:tr>
        <w:tc>
          <w:tcPr>
            <w:tcW w:type="dxa" w:w="4320"/>
          </w:tcPr>
          <w:p>
            <w:r>
              <w:t>Accounts covered</w:t>
            </w:r>
          </w:p>
        </w:tc>
        <w:tc>
          <w:tcPr>
            <w:tcW w:type="dxa" w:w="4320"/>
          </w:tcPr>
          <w:p>
            <w:r>
              <w:t>Holloway ISAs (James and Caroline), Brightwell SIPPs (James and Caroline), the joint GIAs (Holloway and Brightwell), the Meridian offshore bond, plus a new joint account for the proceeds</w:t>
            </w:r>
          </w:p>
        </w:tc>
      </w:tr>
      <w:tr>
        <w:tc>
          <w:tcPr>
            <w:tcW w:type="dxa" w:w="4320"/>
          </w:tcPr>
          <w:p>
            <w:r>
              <w:t>Investment amount</w:t>
            </w:r>
          </w:p>
        </w:tc>
        <w:tc>
          <w:tcPr>
            <w:tcW w:type="dxa" w:w="4320"/>
          </w:tcPr>
          <w:p>
            <w:r>
              <w:t>Net completion proceeds after repaying the bridging loan; deferred earnout to be reviewed separately as received</w:t>
            </w:r>
          </w:p>
        </w:tc>
      </w:tr>
      <w:tr>
        <w:tc>
          <w:tcPr>
            <w:tcW w:type="dxa" w:w="4320"/>
          </w:tcPr>
          <w:p>
            <w:r>
              <w:t>Source of funds</w:t>
            </w:r>
          </w:p>
        </w:tc>
        <w:tc>
          <w:tcPr>
            <w:tcW w:type="dxa" w:w="4320"/>
          </w:tcPr>
          <w:p>
            <w:r>
              <w:t>Proceeds from the sale of the client's business</w:t>
            </w:r>
          </w:p>
        </w:tc>
      </w:tr>
      <w:tr>
        <w:tc>
          <w:tcPr>
            <w:tcW w:type="dxa" w:w="4320"/>
          </w:tcPr>
          <w:p>
            <w:r>
              <w:t>Selling existing investments?</w:t>
            </w:r>
          </w:p>
        </w:tc>
        <w:tc>
          <w:tcPr>
            <w:tcW w:type="dxa" w:w="4320"/>
          </w:tcPr>
          <w:p>
            <w:r>
              <w:t>Yes (partial rebalance of the Holloway joint GIA)</w:t>
            </w:r>
          </w:p>
        </w:tc>
      </w:tr>
      <w:tr>
        <w:tc>
          <w:tcPr>
            <w:tcW w:type="dxa" w:w="4320"/>
          </w:tcPr>
          <w:p>
            <w:r>
              <w:t>Product recommended</w:t>
            </w:r>
          </w:p>
        </w:tc>
        <w:tc>
          <w:tcPr>
            <w:tcW w:type="dxa" w:w="4320"/>
          </w:tcPr>
          <w:p>
            <w:r>
              <w:t>ISA and SIPP top-ups, contribution to the joint GIA, and a new joint investment account</w:t>
            </w:r>
          </w:p>
        </w:tc>
      </w:tr>
      <w:tr>
        <w:tc>
          <w:tcPr>
            <w:tcW w:type="dxa" w:w="4320"/>
          </w:tcPr>
          <w:p>
            <w:r>
              <w:t>Held in single or joint name?</w:t>
            </w:r>
          </w:p>
        </w:tc>
        <w:tc>
          <w:tcPr>
            <w:tcW w:type="dxa" w:w="4320"/>
          </w:tcPr>
          <w:p>
            <w:r>
              <w:t>Joint clients; a mix of individual and joint accounts</w:t>
            </w:r>
          </w:p>
        </w:tc>
      </w:tr>
      <w:tr>
        <w:tc>
          <w:tcPr>
            <w:tcW w:type="dxa" w:w="4320"/>
          </w:tcPr>
          <w:p>
            <w:r>
              <w:t>Agreed risk profile</w:t>
            </w:r>
          </w:p>
        </w:tc>
        <w:tc>
          <w:tcPr>
            <w:tcW w:type="dxa" w:w="4320"/>
          </w:tcPr>
          <w:p>
            <w:r>
              <w:t>4 (balanced to moderate)</w:t>
            </w:r>
          </w:p>
        </w:tc>
      </w:tr>
      <w:tr>
        <w:tc>
          <w:tcPr>
            <w:tcW w:type="dxa" w:w="4320"/>
          </w:tcPr>
          <w:p>
            <w:r>
              <w:t>Initial charge</w:t>
            </w:r>
          </w:p>
        </w:tc>
        <w:tc>
          <w:tcPr>
            <w:tcW w:type="dxa" w:w="4320"/>
          </w:tcPr>
          <w:p>
            <w:r>
              <w:t>0.5%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