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Archive of analyses from earlier designs</w:t>
      </w:r>
    </w:p>
    <w:p>
      <w:pPr>
        <w:pStyle w:val="FirstParagraph"/>
      </w:pPr>
      <w:r>
        <w:t xml:space="preserve">This file archives Appendices L to V of an earlier draft of the online appendix, with their original lettering and table numbering, so that the analyses from the earlier designs of this work remain available (Section 4.1 of the article). It is not part of the Online Appendix. Section references in the headings refer to the numbering of earlier versions of the main text. The analyses use other alliance definitions, populations, and outcomes than the article and are not robustness checks of its final design. Appendix K of the Online Appendix states how each analysis was specified.</w:t>
      </w:r>
    </w:p>
    <w:p>
      <w:pPr>
        <w:pStyle w:val="FirstParagraph"/>
      </w:pPr>
      <w:r>
        <w:t xml:space="preserve">Terms follow Section 4.1 of the main text: an alliance is a defence pact (Correlates of War Type I), two states are allied in a year if one alliance covers both, a pact is a multilateral alliance, a tie partner is a third state with an alliance or a dispute with the state, and an embedded pair is a pair that shares at least one tie partner. The main text analyses all dyad-years; embedded pairs are used for descriptive comparisons and are analysed separately in Appendices A and B. Alliances are defence pacts unless a row says otherwise.</w:t>
      </w:r>
    </w:p>
    <w:p>
      <w:pPr>
        <w:pStyle w:val="Heading1"/>
      </w:pPr>
      <w:r>
        <w:t xml:space="preserve">Part II: Supplementary analyses from earlier designs that the main text cites (Appendices L to Q)</w:t>
      </w:r>
    </w:p>
    <w:p>
      <w:pPr>
        <w:pStyle w:val="FirstParagraph"/>
      </w:pPr>
      <w:r>
        <w:t xml:space="preserve">Signed-network and allied-dyad analyses. In Appendices L, M, N, O, and P,</w:t>
      </w:r>
      <w:r>
        <w:t xml:space="preserve"> </w:t>
      </w:r>
      <m:oMath>
        <m:r>
          <m:t>U</m:t>
        </m:r>
      </m:oMath>
      <w:r>
        <w:t xml:space="preserve"> </w:t>
      </w:r>
      <w:r>
        <w:t xml:space="preserve">and</w:t>
      </w:r>
      <w:r>
        <w:t xml:space="preserve"> </w:t>
      </w:r>
      <m:oMath>
        <m:r>
          <m:t>B</m:t>
        </m:r>
      </m:oMath>
      <w:r>
        <w:t xml:space="preserve"> </w:t>
      </w:r>
      <w:r>
        <w:t xml:space="preserve">are the pressure counts of the signed-network design and</w:t>
      </w:r>
      <w:r>
        <w:t xml:space="preserve"> </w:t>
      </w:r>
      <w:r>
        <w:t xml:space="preserve">“inside an alliance”</w:t>
      </w:r>
      <w:r>
        <w:t xml:space="preserve"> </w:t>
      </w:r>
      <w:r>
        <w:t xml:space="preserve">means between allied states.</w:t>
      </w:r>
    </w:p>
    <w:p>
      <w:pPr>
        <w:pStyle w:val="Heading1"/>
      </w:pPr>
      <w:r>
        <w:t xml:space="preserve">Appendix L: Dyad-year hazard models, robustness details (Section 5)</w:t>
      </w:r>
    </w:p>
    <w:p>
      <w:pPr>
        <w:pStyle w:val="FirstParagraph"/>
      </w:pPr>
      <w:r>
        <w:t xml:space="preserve">Note on parameterisation. All models in this appendix enter the larger of the two states’ trade shares (maximum exposure) and the smaller share, as in the main text, and coefficients are per standard deviation of the larger share within the sample (0.119 for disputes, 0.103 for alliances), except where a row says it is the asymmetry measure (larger minus smaller share; standard deviation 0.110 and 0.097). With the smaller share included, the coefficient on asymmetry is the coefficient on the larger share up to that scale. An earlier version of these analyses used asymmetry as the primary predictor; the conclusions are unchanged and estimates differ by about 7% (for example 0.376 and 0.405 for the baseline for disputes). Alliances are defence pacts unless a row says otherwise.</w:t>
      </w:r>
    </w:p>
    <w:p>
      <w:pPr>
        <w:pStyle w:val="BodyText"/>
      </w:pPr>
      <w:r>
        <w:t xml:space="preserve">All models are logit models of the outcome for the tie type shown, with the larger share, the smaller share, capability asymmetry, log duration, and</w:t>
      </w:r>
      <w:r>
        <w:t xml:space="preserve"> </w:t>
      </w:r>
      <m:oMath>
        <m:r>
          <m:rPr>
            <m:sty m:val="p"/>
          </m:rPr>
          <m:t>log</m:t>
        </m:r>
        <m:r>
          <m:rPr>
            <m:sty m:val="p"/>
          </m:rPr>
          <m:t>(</m:t>
        </m:r>
        <m:r>
          <m:t>1</m:t>
        </m:r>
        <m:r>
          <m:rPr>
            <m:sty m:val="p"/>
          </m:rPr>
          <m:t>+</m:t>
        </m:r>
        <m:r>
          <m:t>U</m:t>
        </m:r>
        <m:r>
          <m:rPr>
            <m:sty m:val="p"/>
          </m:rPr>
          <m:t>)</m:t>
        </m:r>
      </m:oMath>
      <w:r>
        <w:t xml:space="preserve"> </w:t>
      </w:r>
      <w:r>
        <w:t xml:space="preserve">and</w:t>
      </w:r>
      <w:r>
        <w:t xml:space="preserve"> </w:t>
      </w:r>
      <m:oMath>
        <m:r>
          <m:rPr>
            <m:sty m:val="p"/>
          </m:rPr>
          <m:t>log</m:t>
        </m:r>
        <m:r>
          <m:rPr>
            <m:sty m:val="p"/>
          </m:rPr>
          <m:t>(</m:t>
        </m:r>
        <m:r>
          <m:t>1</m:t>
        </m:r>
        <m:r>
          <m:rPr>
            <m:sty m:val="p"/>
          </m:rPr>
          <m:t>+</m:t>
        </m:r>
        <m:r>
          <m:t>B</m:t>
        </m:r>
        <m:r>
          <m:rPr>
            <m:sty m:val="p"/>
          </m:rPr>
          <m:t>)</m:t>
        </m:r>
      </m:oMath>
      <w:r>
        <w:t xml:space="preserve"> </w:t>
      </w:r>
      <w:r>
        <w:t xml:space="preserve">as predictors, standard errors clustered by dyad unless stated. Scripts:</w:t>
      </w:r>
      <w:r>
        <w:t xml:space="preserve"> </w:t>
      </w:r>
      <w:r>
        <w:rPr>
          <w:rStyle w:val="VerbatimChar"/>
        </w:rPr>
        <w:t xml:space="preserve">35</w:t>
      </w:r>
      <w:r>
        <w:t xml:space="preserve"> </w:t>
      </w:r>
      <w:r>
        <w:t xml:space="preserve">to</w:t>
      </w:r>
      <w:r>
        <w:t xml:space="preserve"> </w:t>
      </w:r>
      <w:r>
        <w:rPr>
          <w:rStyle w:val="VerbatimChar"/>
        </w:rPr>
        <w:t xml:space="preserve">47</w:t>
      </w:r>
      <w:r>
        <w:t xml:space="preserve"> </w:t>
      </w:r>
      <w:r>
        <w:t xml:space="preserve">and</w:t>
      </w:r>
      <w:r>
        <w:t xml:space="preserve"> </w:t>
      </w:r>
      <w:r>
        <w:rPr>
          <w:rStyle w:val="VerbatimChar"/>
        </w:rPr>
        <w:t xml:space="preserve">50</w:t>
      </w:r>
      <w:r>
        <w:t xml:space="preserve"> </w:t>
      </w:r>
      <w:r>
        <w:t xml:space="preserve">to</w:t>
      </w:r>
      <w:r>
        <w:t xml:space="preserve"> </w:t>
      </w:r>
      <w:r>
        <w:rPr>
          <w:rStyle w:val="VerbatimChar"/>
        </w:rPr>
        <w:t xml:space="preserve">65</w:t>
      </w:r>
      <w:r>
        <w:t xml:space="preserve">.</w:t>
      </w:r>
    </w:p>
    <w:p>
      <w:pPr>
        <w:pStyle w:val="Heading2"/>
      </w:pPr>
      <w:r>
        <w:t xml:space="preserve">L.1 Full robustness table</w:t>
      </w:r>
    </w:p>
    <w:p>
      <w:pPr>
        <w:pStyle w:val="TableCaption"/>
      </w:pPr>
      <w:r>
        <w:t xml:space="preserve">Coefficient on the larger trade share, by specification (</w:t>
      </w:r>
      <m:oMath>
        <m:r>
          <m:t>p</m:t>
        </m:r>
      </m:oMath>
      <w:r>
        <w:t xml:space="preserve">-value in parentheses)</w:t>
      </w:r>
    </w:p>
    <w:tbl>
      <w:tblPr>
        <w:tblLayout w:type="autofit"/>
        <w:tblStyle w:val="Table"/>
        <w:tblW w:type="pct" w:w="5000"/>
        <w:tblLook w:firstRow="1" w:lastRow="0" w:firstColumn="0" w:lastColumn="0" w:noHBand="0" w:noVBand="0" w:val="0020"/>
        <w:tblCaption w:val="Coefficient on the larger trade share, by specification (p-value in parentheses)"/>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Disputes</w:t>
            </w:r>
          </w:p>
        </w:tc>
        <w:tc>
          <w:tcPr>
            <w:gridSpan w:val="2"/>
          </w:tcPr>
          <w:p>
            <w:pPr>
              <w:pStyle w:val="Compact"/>
              <w:jc w:val="center"/>
            </w:pPr>
            <w:r>
              <w:t xml:space="preserve">Alliances</w:t>
            </w:r>
          </w:p>
        </w:tc>
      </w:tr>
      <w:tr>
        <w:tc>
          <w:tcPr/>
          <w:p>
            <w:pPr>
              <w:pStyle w:val="Compact"/>
              <w:jc w:val="left"/>
            </w:pPr>
            <w:r>
              <w:t xml:space="preserve">2-3</w:t>
            </w:r>
            <w:r>
              <w:t xml:space="preserve">(lr)</w:t>
            </w:r>
            <w:r>
              <w:t xml:space="preserve">4-5</w:t>
            </w:r>
            <w:r>
              <w:t xml:space="preserve"> </w:t>
            </w:r>
            <w:r>
              <w:t xml:space="preserve">Specification</w:t>
            </w:r>
          </w:p>
        </w:tc>
        <w:tc>
          <w:tcPr/>
          <w:p>
            <w:pPr>
              <w:pStyle w:val="Compact"/>
              <w:jc w:val="center"/>
            </w:pPr>
            <w:r>
              <w:t xml:space="preserve">Sign change</w:t>
            </w:r>
          </w:p>
        </w:tc>
        <w:tc>
          <w:tcPr/>
          <w:p>
            <w:pPr>
              <w:pStyle w:val="Compact"/>
              <w:jc w:val="center"/>
            </w:pPr>
            <w:r>
              <w:t xml:space="preserve">Ends</w:t>
            </w:r>
          </w:p>
        </w:tc>
        <w:tc>
          <w:tcPr/>
          <w:p>
            <w:pPr>
              <w:pStyle w:val="Compact"/>
              <w:jc w:val="center"/>
            </w:pPr>
            <w:r>
              <w:t xml:space="preserve">Sign change</w:t>
            </w:r>
          </w:p>
        </w:tc>
        <w:tc>
          <w:tcPr/>
          <w:p>
            <w:pPr>
              <w:pStyle w:val="Compact"/>
              <w:jc w:val="center"/>
            </w:pPr>
            <w:r>
              <w:t xml:space="preserve">Ends</w:t>
            </w:r>
          </w:p>
        </w:tc>
      </w:tr>
      <w:tr>
        <w:tc>
          <w:tcPr/>
          <w:p>
            <w:pPr>
              <w:pStyle w:val="Compact"/>
              <w:jc w:val="left"/>
            </w:pPr>
            <w:r>
              <w:t xml:space="preserve">Baseline (defence pacts)</w:t>
            </w:r>
          </w:p>
        </w:tc>
        <w:tc>
          <w:tcPr/>
          <w:p>
            <w:pPr>
              <w:pStyle w:val="Compact"/>
              <w:jc w:val="center"/>
            </w:pPr>
            <w:r>
              <w:t xml:space="preserve">0.405 (.001)</w:t>
            </w:r>
          </w:p>
        </w:tc>
        <w:tc>
          <w:tcPr/>
          <w:p>
            <w:pPr>
              <w:pStyle w:val="Compact"/>
              <w:jc w:val="center"/>
            </w:pPr>
            <m:oMath>
              <m:r>
                <m:rPr>
                  <m:sty m:val="p"/>
                </m:rPr>
                <m:t>−</m:t>
              </m:r>
            </m:oMath>
            <w:r>
              <w:t xml:space="preserve">0.073 (.204)</w:t>
            </w:r>
          </w:p>
        </w:tc>
        <w:tc>
          <w:tcPr/>
          <w:p>
            <w:pPr>
              <w:pStyle w:val="Compact"/>
              <w:jc w:val="center"/>
            </w:pPr>
            <w:r>
              <w:t xml:space="preserve">0.347 (</w:t>
            </w:r>
            <m:oMath>
              <m:r>
                <m:rPr>
                  <m:sty m:val="p"/>
                </m:rPr>
                <m:t>&lt;</m:t>
              </m:r>
            </m:oMath>
            <w:r>
              <w:t xml:space="preserve">.001)</w:t>
            </w:r>
          </w:p>
        </w:tc>
        <w:tc>
          <w:tcPr/>
          <w:p>
            <w:pPr>
              <w:pStyle w:val="Compact"/>
              <w:jc w:val="center"/>
            </w:pPr>
            <m:oMath>
              <m:r>
                <m:rPr>
                  <m:sty m:val="p"/>
                </m:rPr>
                <m:t>−</m:t>
              </m:r>
            </m:oMath>
            <w:r>
              <w:t xml:space="preserve">0.325 (.011)</w:t>
            </w:r>
          </w:p>
        </w:tc>
      </w:tr>
      <w:tr>
        <w:tc>
          <w:tcPr/>
          <w:p>
            <w:pPr>
              <w:pStyle w:val="Compact"/>
              <w:jc w:val="left"/>
            </w:pPr>
            <w:r>
              <w:t xml:space="preserve">All four treaty types (neutrality, non-aggression, entente included)</w:t>
            </w:r>
          </w:p>
        </w:tc>
        <w:tc>
          <w:tcPr/>
          <w:p>
            <w:pPr>
              <w:pStyle w:val="Compact"/>
              <w:jc w:val="center"/>
            </w:pPr>
            <w:r>
              <w:t xml:space="preserve">0.315 (.001)</w:t>
            </w:r>
          </w:p>
        </w:tc>
        <w:tc>
          <w:tcPr/>
          <w:p>
            <w:pPr>
              <w:pStyle w:val="Compact"/>
              <w:jc w:val="center"/>
            </w:pPr>
            <m:oMath>
              <m:r>
                <m:rPr>
                  <m:sty m:val="p"/>
                </m:rPr>
                <m:t>−</m:t>
              </m:r>
            </m:oMath>
            <w:r>
              <w:t xml:space="preserve">0.093 (.088)</w:t>
            </w:r>
          </w:p>
        </w:tc>
        <w:tc>
          <w:tcPr/>
          <w:p>
            <w:pPr>
              <w:pStyle w:val="Compact"/>
              <w:jc w:val="center"/>
            </w:pPr>
            <w:r>
              <w:t xml:space="preserve">0.317 (</w:t>
            </w:r>
            <m:oMath>
              <m:r>
                <m:rPr>
                  <m:sty m:val="p"/>
                </m:rPr>
                <m:t>&lt;</m:t>
              </m:r>
            </m:oMath>
            <w:r>
              <w:t xml:space="preserve">.001)</w:t>
            </w:r>
          </w:p>
        </w:tc>
        <w:tc>
          <w:tcPr/>
          <w:p>
            <w:pPr>
              <w:pStyle w:val="Compact"/>
              <w:jc w:val="center"/>
            </w:pPr>
            <m:oMath>
              <m:r>
                <m:rPr>
                  <m:sty m:val="p"/>
                </m:rPr>
                <m:t>−</m:t>
              </m:r>
            </m:oMath>
            <w:r>
              <w:t xml:space="preserve">0.136 (.067)</w:t>
            </w:r>
          </w:p>
        </w:tc>
      </w:tr>
      <w:tr>
        <w:tc>
          <w:tcPr/>
          <w:p>
            <w:pPr>
              <w:pStyle w:val="Compact"/>
              <w:jc w:val="left"/>
            </w:pPr>
            <w:r>
              <w:t xml:space="preserve">+ Decade and bloc fixed effects</w:t>
            </w:r>
          </w:p>
        </w:tc>
        <w:tc>
          <w:tcPr/>
          <w:p>
            <w:pPr>
              <w:pStyle w:val="Compact"/>
              <w:jc w:val="center"/>
            </w:pPr>
            <w:r>
              <w:t xml:space="preserve">0.477 (</w:t>
            </w:r>
            <m:oMath>
              <m:r>
                <m:rPr>
                  <m:sty m:val="p"/>
                </m:rPr>
                <m:t>&lt;</m:t>
              </m:r>
            </m:oMath>
            <w:r>
              <w:t xml:space="preserve">.001)</w:t>
            </w:r>
          </w:p>
        </w:tc>
        <w:tc>
          <w:tcPr/>
          <w:p>
            <w:pPr>
              <w:pStyle w:val="Compact"/>
              <w:jc w:val="center"/>
            </w:pPr>
            <m:oMath>
              <m:r>
                <m:rPr>
                  <m:sty m:val="p"/>
                </m:rPr>
                <m:t>−</m:t>
              </m:r>
            </m:oMath>
            <w:r>
              <w:t xml:space="preserve">0.112 (.067)</w:t>
            </w:r>
          </w:p>
        </w:tc>
        <w:tc>
          <w:tcPr/>
          <w:p>
            <w:pPr>
              <w:pStyle w:val="Compact"/>
              <w:jc w:val="center"/>
            </w:pPr>
            <w:r>
              <w:t xml:space="preserve">0.368 (</w:t>
            </w:r>
            <m:oMath>
              <m:r>
                <m:rPr>
                  <m:sty m:val="p"/>
                </m:rPr>
                <m:t>&lt;</m:t>
              </m:r>
            </m:oMath>
            <w:r>
              <w:t xml:space="preserve">.001)</w:t>
            </w:r>
          </w:p>
        </w:tc>
        <w:tc>
          <w:tcPr/>
          <w:p>
            <w:pPr>
              <w:pStyle w:val="Compact"/>
              <w:jc w:val="center"/>
            </w:pPr>
            <m:oMath>
              <m:r>
                <m:rPr>
                  <m:sty m:val="p"/>
                </m:rPr>
                <m:t>−</m:t>
              </m:r>
            </m:oMath>
            <w:r>
              <w:t xml:space="preserve">0.216 (.035)</w:t>
            </w:r>
          </w:p>
        </w:tc>
      </w:tr>
      <w:tr>
        <w:tc>
          <w:tcPr/>
          <w:p>
            <w:pPr>
              <w:pStyle w:val="Compact"/>
              <w:jc w:val="left"/>
            </w:pPr>
            <w:r>
              <w:t xml:space="preserve">Larger share lagged 1 year</w:t>
            </w:r>
          </w:p>
        </w:tc>
        <w:tc>
          <w:tcPr/>
          <w:p>
            <w:pPr>
              <w:pStyle w:val="Compact"/>
              <w:jc w:val="center"/>
            </w:pPr>
            <w:r>
              <w:t xml:space="preserve">0.350 (.005)</w:t>
            </w:r>
          </w:p>
        </w:tc>
        <w:tc>
          <w:tcPr/>
          <w:p>
            <w:pPr>
              <w:pStyle w:val="Compact"/>
              <w:jc w:val="center"/>
            </w:pPr>
            <m:oMath>
              <m:r>
                <m:rPr>
                  <m:sty m:val="p"/>
                </m:rPr>
                <m:t>−</m:t>
              </m:r>
            </m:oMath>
            <w:r>
              <w:t xml:space="preserve">0.146 (.006)</w:t>
            </w:r>
          </w:p>
        </w:tc>
        <w:tc>
          <w:tcPr/>
          <w:p>
            <w:pPr>
              <w:pStyle w:val="Compact"/>
              <w:jc w:val="center"/>
            </w:pPr>
            <w:r>
              <w:t xml:space="preserve">0.352 (</w:t>
            </w:r>
            <m:oMath>
              <m:r>
                <m:rPr>
                  <m:sty m:val="p"/>
                </m:rPr>
                <m:t>&lt;</m:t>
              </m:r>
            </m:oMath>
            <w:r>
              <w:t xml:space="preserve">.001)</w:t>
            </w:r>
          </w:p>
        </w:tc>
        <w:tc>
          <w:tcPr/>
          <w:p>
            <w:pPr>
              <w:pStyle w:val="Compact"/>
              <w:jc w:val="center"/>
            </w:pPr>
            <m:oMath>
              <m:r>
                <m:rPr>
                  <m:sty m:val="p"/>
                </m:rPr>
                <m:t>−</m:t>
              </m:r>
            </m:oMath>
            <w:r>
              <w:t xml:space="preserve">0.241 (.055)</w:t>
            </w:r>
          </w:p>
        </w:tc>
      </w:tr>
      <w:tr>
        <w:tc>
          <w:tcPr/>
          <w:p>
            <w:pPr>
              <w:pStyle w:val="Compact"/>
              <w:jc w:val="left"/>
            </w:pPr>
            <w:r>
              <w:t xml:space="preserve">Larger share lagged 3 years</w:t>
            </w:r>
          </w:p>
        </w:tc>
        <w:tc>
          <w:tcPr/>
          <w:p>
            <w:pPr>
              <w:pStyle w:val="Compact"/>
              <w:jc w:val="center"/>
            </w:pPr>
            <w:r>
              <w:t xml:space="preserve">0.301 (.034)</w:t>
            </w:r>
          </w:p>
        </w:tc>
        <w:tc>
          <w:tcPr/>
          <w:p>
            <w:pPr>
              <w:pStyle w:val="Compact"/>
              <w:jc w:val="center"/>
            </w:pPr>
            <m:oMath>
              <m:r>
                <m:rPr>
                  <m:sty m:val="p"/>
                </m:rPr>
                <m:t>−</m:t>
              </m:r>
            </m:oMath>
            <w:r>
              <w:t xml:space="preserve">0.165 (.002)</w:t>
            </w:r>
          </w:p>
        </w:tc>
        <w:tc>
          <w:tcPr/>
          <w:p>
            <w:pPr>
              <w:pStyle w:val="Compact"/>
              <w:jc w:val="center"/>
            </w:pPr>
            <w:r>
              <w:t xml:space="preserve">0.356 (</w:t>
            </w:r>
            <m:oMath>
              <m:r>
                <m:rPr>
                  <m:sty m:val="p"/>
                </m:rPr>
                <m:t>&lt;</m:t>
              </m:r>
            </m:oMath>
            <w:r>
              <w:t xml:space="preserve">.001)</w:t>
            </w:r>
          </w:p>
        </w:tc>
        <w:tc>
          <w:tcPr/>
          <w:p>
            <w:pPr>
              <w:pStyle w:val="Compact"/>
              <w:jc w:val="center"/>
            </w:pPr>
            <m:oMath>
              <m:r>
                <m:rPr>
                  <m:sty m:val="p"/>
                </m:rPr>
                <m:t>−</m:t>
              </m:r>
            </m:oMath>
            <w:r>
              <w:t xml:space="preserve">0.221 (.080)</w:t>
            </w:r>
          </w:p>
        </w:tc>
      </w:tr>
      <w:tr>
        <w:tc>
          <w:tcPr/>
          <w:p>
            <w:pPr>
              <w:pStyle w:val="Compact"/>
              <w:jc w:val="left"/>
            </w:pPr>
            <w:r>
              <w:t xml:space="preserve">Larger share lagged 5 years</w:t>
            </w:r>
          </w:p>
        </w:tc>
        <w:tc>
          <w:tcPr/>
          <w:p>
            <w:pPr>
              <w:pStyle w:val="Compact"/>
              <w:jc w:val="center"/>
            </w:pPr>
            <w:r>
              <w:t xml:space="preserve">0.215 (.135)</w:t>
            </w:r>
          </w:p>
        </w:tc>
        <w:tc>
          <w:tcPr/>
          <w:p>
            <w:pPr>
              <w:pStyle w:val="Compact"/>
              <w:jc w:val="center"/>
            </w:pPr>
            <m:oMath>
              <m:r>
                <m:rPr>
                  <m:sty m:val="p"/>
                </m:rPr>
                <m:t>−</m:t>
              </m:r>
            </m:oMath>
            <w:r>
              <w:t xml:space="preserve">0.111 (.052)</w:t>
            </w:r>
          </w:p>
        </w:tc>
        <w:tc>
          <w:tcPr/>
          <w:p>
            <w:pPr>
              <w:pStyle w:val="Compact"/>
              <w:jc w:val="center"/>
            </w:pPr>
            <w:r>
              <w:t xml:space="preserve">0.320 (</w:t>
            </w:r>
            <m:oMath>
              <m:r>
                <m:rPr>
                  <m:sty m:val="p"/>
                </m:rPr>
                <m:t>&lt;</m:t>
              </m:r>
            </m:oMath>
            <w:r>
              <w:t xml:space="preserve">.001)</w:t>
            </w:r>
          </w:p>
        </w:tc>
        <w:tc>
          <w:tcPr/>
          <w:p>
            <w:pPr>
              <w:pStyle w:val="Compact"/>
              <w:jc w:val="center"/>
            </w:pPr>
            <m:oMath>
              <m:r>
                <m:rPr>
                  <m:sty m:val="p"/>
                </m:rPr>
                <m:t>−</m:t>
              </m:r>
            </m:oMath>
            <w:r>
              <w:t xml:space="preserve">0.116 (.325)</w:t>
            </w:r>
          </w:p>
        </w:tc>
      </w:tr>
      <w:tr>
        <w:tc>
          <w:tcPr/>
          <w:p>
            <w:pPr>
              <w:pStyle w:val="Compact"/>
              <w:jc w:val="left"/>
            </w:pPr>
            <w:r>
              <w:t xml:space="preserve">Lag 1 year + bloc + decade FE</w:t>
            </w:r>
          </w:p>
        </w:tc>
        <w:tc>
          <w:tcPr/>
          <w:p>
            <w:pPr>
              <w:pStyle w:val="Compact"/>
              <w:jc w:val="center"/>
            </w:pPr>
            <w:r>
              <w:t xml:space="preserve">0.413 (.001)</w:t>
            </w:r>
          </w:p>
        </w:tc>
        <w:tc>
          <w:tcPr/>
          <w:p>
            <w:pPr>
              <w:pStyle w:val="Compact"/>
              <w:jc w:val="center"/>
            </w:pPr>
            <m:oMath>
              <m:r>
                <m:rPr>
                  <m:sty m:val="p"/>
                </m:rPr>
                <m:t>−</m:t>
              </m:r>
            </m:oMath>
            <w:r>
              <w:t xml:space="preserve">0.171 (.002)</w:t>
            </w:r>
          </w:p>
        </w:tc>
        <w:tc>
          <w:tcPr/>
          <w:p>
            <w:pPr>
              <w:pStyle w:val="Compact"/>
              <w:jc w:val="center"/>
            </w:pPr>
            <w:r>
              <w:t xml:space="preserve">0.372 (</w:t>
            </w:r>
            <m:oMath>
              <m:r>
                <m:rPr>
                  <m:sty m:val="p"/>
                </m:rPr>
                <m:t>&lt;</m:t>
              </m:r>
            </m:oMath>
            <w:r>
              <w:t xml:space="preserve">.001)</w:t>
            </w:r>
          </w:p>
        </w:tc>
        <w:tc>
          <w:tcPr/>
          <w:p>
            <w:pPr>
              <w:pStyle w:val="Compact"/>
              <w:jc w:val="center"/>
            </w:pPr>
            <m:oMath>
              <m:r>
                <m:rPr>
                  <m:sty m:val="p"/>
                </m:rPr>
                <m:t>−</m:t>
              </m:r>
            </m:oMath>
            <w:r>
              <w:t xml:space="preserve">0.153 (.142)</w:t>
            </w:r>
          </w:p>
        </w:tc>
      </w:tr>
      <w:tr>
        <w:tc>
          <w:tcPr/>
          <w:p>
            <w:pPr>
              <w:pStyle w:val="Compact"/>
              <w:jc w:val="left"/>
            </w:pPr>
            <w:r>
              <w:t xml:space="preserve">Complementary log-log</w:t>
            </w:r>
          </w:p>
        </w:tc>
        <w:tc>
          <w:tcPr/>
          <w:p>
            <w:pPr>
              <w:pStyle w:val="Compact"/>
              <w:jc w:val="center"/>
            </w:pPr>
            <w:r>
              <w:t xml:space="preserve">0.198 (.158)</w:t>
            </w:r>
          </w:p>
        </w:tc>
        <w:tc>
          <w:tcPr/>
          <w:p>
            <w:pPr>
              <w:pStyle w:val="Compact"/>
              <w:jc w:val="center"/>
            </w:pPr>
            <m:oMath>
              <m:r>
                <m:rPr>
                  <m:sty m:val="p"/>
                </m:rPr>
                <m:t>−</m:t>
              </m:r>
            </m:oMath>
            <w:r>
              <w:t xml:space="preserve">0.064 (.138)</w:t>
            </w:r>
          </w:p>
        </w:tc>
        <w:tc>
          <w:tcPr/>
          <w:p>
            <w:pPr>
              <w:pStyle w:val="Compact"/>
              <w:jc w:val="center"/>
            </w:pPr>
            <w:r>
              <w:t xml:space="preserve">0.334 (</w:t>
            </w:r>
            <m:oMath>
              <m:r>
                <m:rPr>
                  <m:sty m:val="p"/>
                </m:rPr>
                <m:t>&lt;</m:t>
              </m:r>
            </m:oMath>
            <w:r>
              <w:t xml:space="preserve">.001)</w:t>
            </w:r>
          </w:p>
        </w:tc>
        <w:tc>
          <w:tcPr/>
          <w:p>
            <w:pPr>
              <w:pStyle w:val="Compact"/>
              <w:jc w:val="center"/>
            </w:pPr>
            <m:oMath>
              <m:r>
                <m:rPr>
                  <m:sty m:val="p"/>
                </m:rPr>
                <m:t>−</m:t>
              </m:r>
            </m:oMath>
            <w:r>
              <w:t xml:space="preserve">0.313 (.012)</w:t>
            </w:r>
          </w:p>
        </w:tc>
      </w:tr>
      <w:tr>
        <w:tc>
          <w:tcPr/>
          <w:p>
            <w:pPr>
              <w:pStyle w:val="Compact"/>
              <w:jc w:val="left"/>
            </w:pPr>
            <w:r>
              <w:t xml:space="preserve">Cox (counting process)</w:t>
            </w:r>
          </w:p>
        </w:tc>
        <w:tc>
          <w:tcPr/>
          <w:p>
            <w:pPr>
              <w:pStyle w:val="Compact"/>
              <w:jc w:val="center"/>
            </w:pPr>
            <w:r>
              <w:t xml:space="preserve">0.174 (.036)</w:t>
            </w:r>
          </w:p>
        </w:tc>
        <w:tc>
          <w:tcPr/>
          <w:p>
            <w:pPr>
              <w:pStyle w:val="Compact"/>
              <w:jc w:val="center"/>
            </w:pPr>
            <m:oMath>
              <m:r>
                <m:rPr>
                  <m:sty m:val="p"/>
                </m:rPr>
                <m:t>−</m:t>
              </m:r>
            </m:oMath>
            <w:r>
              <w:t xml:space="preserve">0.063 (.116)</w:t>
            </w:r>
          </w:p>
        </w:tc>
        <w:tc>
          <w:tcPr/>
          <w:p>
            <w:pPr>
              <w:pStyle w:val="Compact"/>
              <w:jc w:val="center"/>
            </w:pPr>
            <w:r>
              <w:t xml:space="preserve">0.336 (</w:t>
            </w:r>
            <m:oMath>
              <m:r>
                <m:rPr>
                  <m:sty m:val="p"/>
                </m:rPr>
                <m:t>&lt;</m:t>
              </m:r>
            </m:oMath>
            <w:r>
              <w:t xml:space="preserve">.001)</w:t>
            </w:r>
          </w:p>
        </w:tc>
        <w:tc>
          <w:tcPr/>
          <w:p>
            <w:pPr>
              <w:pStyle w:val="Compact"/>
              <w:jc w:val="center"/>
            </w:pPr>
            <m:oMath>
              <m:r>
                <m:rPr>
                  <m:sty m:val="p"/>
                </m:rPr>
                <m:t>−</m:t>
              </m:r>
            </m:oMath>
            <w:r>
              <w:t xml:space="preserve">0.270 (.030)</w:t>
            </w:r>
          </w:p>
        </w:tc>
      </w:tr>
      <w:tr>
        <w:tc>
          <w:tcPr/>
          <w:p>
            <w:pPr>
              <w:pStyle w:val="Compact"/>
              <w:jc w:val="left"/>
            </w:pPr>
            <w:r>
              <w:t xml:space="preserve">+ Log(1 + prior spells)</w:t>
            </w:r>
          </w:p>
        </w:tc>
        <w:tc>
          <w:tcPr/>
          <w:p>
            <w:pPr>
              <w:pStyle w:val="Compact"/>
              <w:jc w:val="center"/>
            </w:pPr>
            <w:r>
              <w:t xml:space="preserve">0.428 (</w:t>
            </w:r>
            <m:oMath>
              <m:r>
                <m:rPr>
                  <m:sty m:val="p"/>
                </m:rPr>
                <m:t>&lt;</m:t>
              </m:r>
            </m:oMath>
            <w:r>
              <w:t xml:space="preserve">.001)</w:t>
            </w:r>
          </w:p>
        </w:tc>
        <w:tc>
          <w:tcPr/>
          <w:p>
            <w:pPr>
              <w:pStyle w:val="Compact"/>
              <w:jc w:val="center"/>
            </w:pPr>
            <m:oMath>
              <m:r>
                <m:rPr>
                  <m:sty m:val="p"/>
                </m:rPr>
                <m:t>−</m:t>
              </m:r>
            </m:oMath>
            <w:r>
              <w:t xml:space="preserve">0.063 (.285)</w:t>
            </w:r>
          </w:p>
        </w:tc>
        <w:tc>
          <w:tcPr/>
          <w:p>
            <w:pPr>
              <w:pStyle w:val="Compact"/>
              <w:jc w:val="center"/>
            </w:pPr>
            <w:r>
              <w:t xml:space="preserve">0.153 (.010)</w:t>
            </w:r>
          </w:p>
        </w:tc>
        <w:tc>
          <w:tcPr/>
          <w:p>
            <w:pPr>
              <w:pStyle w:val="Compact"/>
              <w:jc w:val="center"/>
            </w:pPr>
            <m:oMath>
              <m:r>
                <m:rPr>
                  <m:sty m:val="p"/>
                </m:rPr>
                <m:t>−</m:t>
              </m:r>
            </m:oMath>
            <w:r>
              <w:t xml:space="preserve">0.332 (.010)</w:t>
            </w:r>
          </w:p>
        </w:tc>
      </w:tr>
      <w:tr>
        <w:tc>
          <w:tcPr/>
          <w:p>
            <w:pPr>
              <w:pStyle w:val="Compact"/>
              <w:jc w:val="left"/>
            </w:pPr>
            <w:r>
              <w:t xml:space="preserve">Dyadic-robust (shared-state) SEs</w:t>
            </w:r>
          </w:p>
        </w:tc>
        <w:tc>
          <w:tcPr/>
          <w:p>
            <w:pPr>
              <w:pStyle w:val="Compact"/>
              <w:jc w:val="center"/>
            </w:pPr>
            <w:r>
              <w:t xml:space="preserve">0.405 (.001)</w:t>
            </w:r>
          </w:p>
        </w:tc>
        <w:tc>
          <w:tcPr/>
          <w:p>
            <w:pPr>
              <w:pStyle w:val="Compact"/>
              <w:jc w:val="center"/>
            </w:pPr>
            <m:oMath>
              <m:r>
                <m:rPr>
                  <m:sty m:val="p"/>
                </m:rPr>
                <m:t>−</m:t>
              </m:r>
            </m:oMath>
            <w:r>
              <w:t xml:space="preserve">0.073 (.165)</w:t>
            </w:r>
          </w:p>
        </w:tc>
        <w:tc>
          <w:tcPr/>
          <w:p>
            <w:pPr>
              <w:pStyle w:val="Compact"/>
              <w:jc w:val="center"/>
            </w:pPr>
            <w:r>
              <w:t xml:space="preserve">0.347 (</w:t>
            </w:r>
            <m:oMath>
              <m:r>
                <m:rPr>
                  <m:sty m:val="p"/>
                </m:rPr>
                <m:t>&lt;</m:t>
              </m:r>
            </m:oMath>
            <w:r>
              <w:t xml:space="preserve">.001)</w:t>
            </w:r>
          </w:p>
        </w:tc>
        <w:tc>
          <w:tcPr/>
          <w:p>
            <w:pPr>
              <w:pStyle w:val="Compact"/>
              <w:jc w:val="center"/>
            </w:pPr>
            <m:oMath>
              <m:r>
                <m:rPr>
                  <m:sty m:val="p"/>
                </m:rPr>
                <m:t>−</m:t>
              </m:r>
            </m:oMath>
            <w:r>
              <w:t xml:space="preserve">0.325 (.066)</w:t>
            </w:r>
          </w:p>
        </w:tc>
      </w:tr>
      <w:tr>
        <w:tc>
          <w:tcPr/>
          <w:p>
            <w:pPr>
              <w:pStyle w:val="Compact"/>
              <w:jc w:val="left"/>
            </w:pPr>
            <w:r>
              <w:t xml:space="preserve">Hostility level</w:t>
            </w:r>
            <w:r>
              <w:t xml:space="preserve"> </w:t>
            </w:r>
            <m:oMath>
              <m:r>
                <m:rPr>
                  <m:sty m:val="p"/>
                </m:rPr>
                <m:t>≥</m:t>
              </m:r>
            </m:oMath>
            <w:r>
              <w:t xml:space="preserve"> </w:t>
            </w:r>
            <w:r>
              <w:t xml:space="preserve">4</w:t>
            </w:r>
          </w:p>
        </w:tc>
        <w:tc>
          <w:tcPr/>
          <w:p>
            <w:pPr>
              <w:pStyle w:val="Compact"/>
              <w:jc w:val="center"/>
            </w:pPr>
            <w:r>
              <w:t xml:space="preserve">0.378 (.008)</w:t>
            </w:r>
          </w:p>
        </w:tc>
        <w:tc>
          <w:tcPr/>
          <w:p>
            <w:pPr>
              <w:pStyle w:val="Compact"/>
              <w:jc w:val="center"/>
            </w:pPr>
            <m:oMath>
              <m:r>
                <m:rPr>
                  <m:sty m:val="p"/>
                </m:rPr>
                <m:t>−</m:t>
              </m:r>
            </m:oMath>
            <w:r>
              <w:t xml:space="preserve">0.058 (.353)</w:t>
            </w:r>
          </w:p>
        </w:tc>
        <w:tc>
          <w:tcPr/>
          <w:p>
            <w:pPr>
              <w:pStyle w:val="Compact"/>
              <w:jc w:val="center"/>
            </w:pPr>
            <w:r>
              <w:t xml:space="preserve">0.371 (</w:t>
            </w:r>
            <m:oMath>
              <m:r>
                <m:rPr>
                  <m:sty m:val="p"/>
                </m:rPr>
                <m:t>&lt;</m:t>
              </m:r>
            </m:oMath>
            <w:r>
              <w:t xml:space="preserve">.001)</w:t>
            </w:r>
          </w:p>
        </w:tc>
        <w:tc>
          <w:tcPr/>
          <w:p>
            <w:pPr>
              <w:pStyle w:val="Compact"/>
              <w:jc w:val="center"/>
            </w:pPr>
            <m:oMath>
              <m:r>
                <m:rPr>
                  <m:sty m:val="p"/>
                </m:rPr>
                <m:t>−</m:t>
              </m:r>
            </m:oMath>
            <w:r>
              <w:t xml:space="preserve">0.304 (.014)</w:t>
            </w:r>
          </w:p>
        </w:tc>
      </w:tr>
      <w:tr>
        <w:tc>
          <w:tcPr/>
          <w:p>
            <w:pPr>
              <w:pStyle w:val="Compact"/>
              <w:jc w:val="left"/>
            </w:pPr>
            <w:r>
              <w:t xml:space="preserve">Any event within 3 years</w:t>
            </w:r>
          </w:p>
        </w:tc>
        <w:tc>
          <w:tcPr/>
          <w:p>
            <w:pPr>
              <w:pStyle w:val="Compact"/>
              <w:jc w:val="center"/>
            </w:pPr>
            <w:r>
              <w:t xml:space="preserve">0.403 (.005)</w:t>
            </w:r>
          </w:p>
        </w:tc>
        <w:tc>
          <w:tcPr/>
          <w:p>
            <w:pPr>
              <w:pStyle w:val="Compact"/>
              <w:jc w:val="center"/>
            </w:pPr>
            <m:oMath>
              <m:r>
                <m:rPr>
                  <m:sty m:val="p"/>
                </m:rPr>
                <m:t>−</m:t>
              </m:r>
            </m:oMath>
            <w:r>
              <w:t xml:space="preserve">0.063 (.377)</w:t>
            </w:r>
          </w:p>
        </w:tc>
        <w:tc>
          <w:tcPr/>
          <w:p>
            <w:pPr>
              <w:pStyle w:val="Compact"/>
              <w:jc w:val="center"/>
            </w:pPr>
            <w:r>
              <w:t xml:space="preserve">0.392 (</w:t>
            </w:r>
            <m:oMath>
              <m:r>
                <m:rPr>
                  <m:sty m:val="p"/>
                </m:rPr>
                <m:t>&lt;</m:t>
              </m:r>
            </m:oMath>
            <w:r>
              <w:t xml:space="preserve">.001)</w:t>
            </w:r>
          </w:p>
        </w:tc>
        <w:tc>
          <w:tcPr/>
          <w:p>
            <w:pPr>
              <w:pStyle w:val="Compact"/>
              <w:jc w:val="center"/>
            </w:pPr>
            <m:oMath>
              <m:r>
                <m:rPr>
                  <m:sty m:val="p"/>
                </m:rPr>
                <m:t>−</m:t>
              </m:r>
            </m:oMath>
            <w:r>
              <w:t xml:space="preserve">0.405 (.005)</w:t>
            </w:r>
          </w:p>
        </w:tc>
      </w:tr>
      <w:tr>
        <w:tc>
          <w:tcPr/>
          <w:p>
            <w:pPr>
              <w:pStyle w:val="Compact"/>
              <w:jc w:val="left"/>
            </w:pPr>
            <w:r>
              <w:t xml:space="preserve">Dyad fixed effects</w:t>
            </w:r>
          </w:p>
        </w:tc>
        <w:tc>
          <w:tcPr/>
          <w:p>
            <w:pPr>
              <w:pStyle w:val="Compact"/>
              <w:jc w:val="center"/>
            </w:pPr>
            <w:r>
              <w:t xml:space="preserve">0.323 (.164)</w:t>
            </w:r>
          </w:p>
        </w:tc>
        <w:tc>
          <w:tcPr/>
          <w:p>
            <w:pPr>
              <w:pStyle w:val="Compact"/>
              <w:jc w:val="center"/>
            </w:pPr>
            <m:oMath>
              <m:r>
                <m:rPr>
                  <m:sty m:val="p"/>
                </m:rPr>
                <m:t>−</m:t>
              </m:r>
            </m:oMath>
            <w:r>
              <w:t xml:space="preserve">0.063 (.553)</w:t>
            </w:r>
          </w:p>
        </w:tc>
        <w:tc>
          <w:tcPr/>
          <w:p>
            <w:pPr>
              <w:pStyle w:val="Compact"/>
              <w:jc w:val="center"/>
            </w:pPr>
            <w:r>
              <w:t xml:space="preserve">0.172 (.102)</w:t>
            </w:r>
          </w:p>
        </w:tc>
        <w:tc>
          <w:tcPr/>
          <w:p>
            <w:pPr>
              <w:pStyle w:val="Compact"/>
              <w:jc w:val="center"/>
            </w:pPr>
            <w:r>
              <w:t xml:space="preserve">0.095 (.736)</w:t>
            </w:r>
          </w:p>
        </w:tc>
      </w:tr>
      <w:tr>
        <w:tc>
          <w:tcPr/>
          <w:p>
            <w:pPr>
              <w:pStyle w:val="Compact"/>
              <w:jc w:val="left"/>
            </w:pPr>
            <w:r>
              <w:t xml:space="preserve">Dyad + decade fixed effects</w:t>
            </w:r>
          </w:p>
        </w:tc>
        <w:tc>
          <w:tcPr/>
          <w:p>
            <w:pPr>
              <w:pStyle w:val="Compact"/>
              <w:jc w:val="center"/>
            </w:pPr>
            <w:r>
              <w:t xml:space="preserve">0.429 (.105)</w:t>
            </w:r>
          </w:p>
        </w:tc>
        <w:tc>
          <w:tcPr/>
          <w:p>
            <w:pPr>
              <w:pStyle w:val="Compact"/>
              <w:jc w:val="center"/>
            </w:pPr>
            <m:oMath>
              <m:r>
                <m:rPr>
                  <m:sty m:val="p"/>
                </m:rPr>
                <m:t>−</m:t>
              </m:r>
            </m:oMath>
            <w:r>
              <w:t xml:space="preserve">0.108 (.306)</w:t>
            </w:r>
          </w:p>
        </w:tc>
        <w:tc>
          <w:tcPr/>
          <w:p>
            <w:pPr>
              <w:pStyle w:val="Compact"/>
              <w:jc w:val="center"/>
            </w:pPr>
            <w:r>
              <w:t xml:space="preserve">0.118 (.275)</w:t>
            </w:r>
          </w:p>
        </w:tc>
        <w:tc>
          <w:tcPr/>
          <w:p>
            <w:pPr>
              <w:pStyle w:val="Compact"/>
              <w:jc w:val="center"/>
            </w:pPr>
            <w:r>
              <w:t xml:space="preserve">0.087 (.746)</w:t>
            </w:r>
          </w:p>
        </w:tc>
      </w:tr>
    </w:tbl>
    <w:p>
      <w:pPr>
        <w:pStyle w:val="BodyText"/>
      </w:pPr>
      <w:r>
        <w:t xml:space="preserve">Samples as in the main text except where the specification changes them (lags, fixed-effect singletons, rebuilt networks). The four-type row is from the earlier run with the original definition (Scripts 35 to 47; results in the project’s</w:t>
      </w:r>
      <w:r>
        <w:t xml:space="preserve"> </w:t>
      </w:r>
      <w:r>
        <w:rPr>
          <w:rStyle w:val="VerbatimChar"/>
        </w:rPr>
        <w:t xml:space="preserve">results_all_types</w:t>
      </w:r>
      <w:r>
        <w:t xml:space="preserve"> </w:t>
      </w:r>
      <w:r>
        <w:t xml:space="preserve">folder).</w:t>
      </w:r>
    </w:p>
    <w:p>
      <w:pPr>
        <w:pStyle w:val="Heading2"/>
      </w:pPr>
      <w:r>
        <w:t xml:space="preserve">L.2 Repeated spells and the hazard scale</w:t>
      </w:r>
    </w:p>
    <w:p>
      <w:pPr>
        <w:pStyle w:val="FirstParagraph"/>
      </w:pPr>
      <w:r>
        <w:t xml:space="preserve">Disputes change sign in about 11% of dispute-years, so a logit coefficient overstates the log hazard ratio. Complementary log-log and Cox models with duration as the baseline hazard give 0.20 and 0.17 for disputes, against 0.41 in the logit. Alliance changes are rare (under 1%), and the logit, complementary log-log and Cox estimates agree (0.33 to 0.35). Adding</w:t>
      </w:r>
      <w:r>
        <w:t xml:space="preserve"> </w:t>
      </w:r>
      <m:oMath>
        <m:r>
          <m:rPr>
            <m:sty m:val="p"/>
          </m:rPr>
          <m:t>log</m:t>
        </m:r>
        <m:r>
          <m:rPr>
            <m:sty m:val="p"/>
          </m:rPr>
          <m:t>(</m:t>
        </m:r>
        <m:r>
          <m:t>1</m:t>
        </m:r>
        <m:r>
          <m:rPr>
            <m:sty m:val="p"/>
          </m:rPr>
          <m:t>+</m:t>
        </m:r>
      </m:oMath>
      <w:r>
        <w:t xml:space="preserve"> </w:t>
      </w:r>
      <w:r>
        <w:t xml:space="preserve">prior spells</w:t>
      </w:r>
      <m:oMath>
        <m:r>
          <m:rPr>
            <m:sty m:val="p"/>
          </m:rPr>
          <m:t>)</m:t>
        </m:r>
      </m:oMath>
      <w:r>
        <w:t xml:space="preserve"> </w:t>
      </w:r>
      <w:r>
        <w:t xml:space="preserve">leaves the dispute estimate at 0.43 and cuts the alliance estimate to 0.15. Restricting to each dyad’s first spell is uninformative for disputes (9 events), since a dyad’s first spell is usually an alliance; for alliances it gives 0.27 (</w:t>
      </w:r>
      <m:oMath>
        <m:r>
          <m:t>p</m:t>
        </m:r>
        <m:r>
          <m:rPr>
            <m:sty m:val="p"/>
          </m:rPr>
          <m:t>=</m:t>
        </m:r>
        <m:r>
          <m:t>0.002</m:t>
        </m:r>
      </m:oMath>
      <w:r>
        <w:t xml:space="preserve">, 71 events).</w:t>
      </w:r>
    </w:p>
    <w:p>
      <w:pPr>
        <w:pStyle w:val="Heading2"/>
      </w:pPr>
      <w:r>
        <w:t xml:space="preserve">L.3 State-level dependence</w:t>
      </w:r>
    </w:p>
    <w:p>
      <w:pPr>
        <w:pStyle w:val="FirstParagraph"/>
      </w:pPr>
      <w:r>
        <w:t xml:space="preserve">The dyadic-robust estimator follows Cameron and Miller (2015) and Aronow, Samii, and Assenova (2015): the sum over states of the squared score totals of all dyad-years that include the state, minus the one-way dyad-clustered meat that double-counts pairs sharing both states. For sign change the standard error is 0.120 (disputes) and 0.043 (alliances), against 0.118 and 0.056 under dyad clustering. For alliances ending the standard error rises (0.176 against 0.127,</w:t>
      </w:r>
      <w:r>
        <w:t xml:space="preserve"> </w:t>
      </w:r>
      <m:oMath>
        <m:r>
          <m:t>p</m:t>
        </m:r>
        <m:r>
          <m:rPr>
            <m:sty m:val="p"/>
          </m:rPr>
          <m:t>=</m:t>
        </m:r>
        <m:r>
          <m:t>0.066</m:t>
        </m:r>
      </m:oMath>
      <w:r>
        <w:t xml:space="preserve">).</w:t>
      </w:r>
    </w:p>
    <w:p>
      <w:pPr>
        <w:pStyle w:val="Heading2"/>
      </w:pPr>
      <w:r>
        <w:t xml:space="preserve">L.4 Dyads in no triad, overlap, and definitions</w:t>
      </w:r>
    </w:p>
    <w:p>
      <w:pPr>
        <w:pStyle w:val="FirstParagraph"/>
      </w:pPr>
      <w:r>
        <w:t xml:space="preserve">A dyad in no closed triad has</w:t>
      </w:r>
      <w:r>
        <w:t xml:space="preserve"> </w:t>
      </w:r>
      <m:oMath>
        <m:r>
          <m:t>U</m:t>
        </m:r>
        <m:r>
          <m:rPr>
            <m:sty m:val="p"/>
          </m:rPr>
          <m:t>=</m:t>
        </m:r>
        <m:r>
          <m:t>B</m:t>
        </m:r>
        <m:r>
          <m:rPr>
            <m:sty m:val="p"/>
          </m:rPr>
          <m:t>=</m:t>
        </m:r>
        <m:r>
          <m:t>0</m:t>
        </m:r>
      </m:oMath>
      <w:r>
        <w:t xml:space="preserve">. Dropping these (37% of dispute-years, 1.5% of alliance-years) gives sign-change coefficients of 0.344 (disputes) and 0.334 (alliances). Dispute-years with an alliance in force are 14.2% of the total (612 of 4,321); 310 of 317 sign changes and 9 of 1,129 endings are in that group. Among disputes with a concurrent alliance the sign-change coefficient is 0.367 (</w:t>
      </w:r>
      <m:oMath>
        <m:r>
          <m:t>p</m:t>
        </m:r>
        <m:r>
          <m:rPr>
            <m:sty m:val="p"/>
          </m:rPr>
          <m:t>=</m:t>
        </m:r>
        <m:r>
          <m:t>0.011</m:t>
        </m:r>
      </m:oMath>
      <w:r>
        <w:t xml:space="preserve">); among disputes without one there are only 7 sign changes, and the ending coefficient is</w:t>
      </w:r>
      <w:r>
        <w:t xml:space="preserve"> </w:t>
      </w:r>
      <m:oMath>
        <m:r>
          <m:rPr>
            <m:sty m:val="p"/>
          </m:rPr>
          <m:t>−</m:t>
        </m:r>
        <m:r>
          <m:t>0.012</m:t>
        </m:r>
      </m:oMath>
      <w:r>
        <w:t xml:space="preserve"> </w:t>
      </w:r>
      <w:r>
        <w:t xml:space="preserve">(</w:t>
      </w:r>
      <m:oMath>
        <m:r>
          <m:t>p</m:t>
        </m:r>
        <m:r>
          <m:rPr>
            <m:sty m:val="p"/>
          </m:rPr>
          <m:t>=</m:t>
        </m:r>
        <m:r>
          <m:t>0.82</m:t>
        </m:r>
      </m:oMath>
      <w:r>
        <w:t xml:space="preserve">). Restricting to hostility level 4 or higher leaves the estimates in L.1.</w:t>
      </w:r>
    </w:p>
    <w:p>
      <w:pPr>
        <w:pStyle w:val="Heading2"/>
      </w:pPr>
      <w:r>
        <w:t xml:space="preserve">L.5 Measurement of exposure and asymmetry</w:t>
      </w:r>
    </w:p>
    <w:p>
      <w:pPr>
        <w:pStyle w:val="TableCaption"/>
      </w:pPr>
      <w:r>
        <w:t xml:space="preserve">Alternative measures of exposure and asymmetry, sign change</w:t>
      </w:r>
    </w:p>
    <w:tbl>
      <w:tblPr>
        <w:tblLayout w:type="autofit"/>
        <w:tblStyle w:val="Table"/>
        <w:tblW w:type="pct" w:w="5000"/>
        <w:tblLook w:firstRow="1" w:lastRow="0" w:firstColumn="0" w:lastColumn="0" w:noHBand="0" w:noVBand="0" w:val="0020"/>
        <w:tblCaption w:val="Alternative measures of exposure and asymmetry, sign change"/>
      </w:tblPr>
      <w:tblGrid>
        <w:gridCol w:w="2640"/>
        <w:gridCol w:w="2640"/>
        <w:gridCol w:w="2640"/>
      </w:tblGrid>
      <w:tr>
        <w:trPr>
          <w:tblHeader w:val="on"/>
        </w:trPr>
        <w:tc>
          <w:tcPr/>
          <w:p>
            <w:pPr>
              <w:pStyle w:val="Compact"/>
              <w:jc w:val="left"/>
            </w:pPr>
            <w:r>
              <w:t xml:space="preserve">Measure</w:t>
            </w:r>
          </w:p>
        </w:tc>
        <w:tc>
          <w:tcPr/>
          <w:p>
            <w:pPr>
              <w:pStyle w:val="Compact"/>
              <w:jc w:val="center"/>
            </w:pPr>
            <w:r>
              <w:t xml:space="preserve">Disputes</w:t>
            </w:r>
          </w:p>
        </w:tc>
        <w:tc>
          <w:tcPr/>
          <w:p>
            <w:pPr>
              <w:pStyle w:val="Compact"/>
              <w:jc w:val="center"/>
            </w:pPr>
            <w:r>
              <w:t xml:space="preserve">Alliances</w:t>
            </w:r>
          </w:p>
        </w:tc>
      </w:tr>
      <w:tr>
        <w:tc>
          <w:tcPr/>
          <w:p>
            <w:pPr>
              <w:pStyle w:val="Compact"/>
              <w:jc w:val="left"/>
            </w:pPr>
            <w:r>
              <w:t xml:space="preserve">Larger share (baseline)</w:t>
            </w:r>
          </w:p>
        </w:tc>
        <w:tc>
          <w:tcPr/>
          <w:p>
            <w:pPr>
              <w:pStyle w:val="Compact"/>
              <w:jc w:val="center"/>
            </w:pPr>
            <w:r>
              <w:t xml:space="preserve">0.405 (0.118)</w:t>
            </w:r>
          </w:p>
        </w:tc>
        <w:tc>
          <w:tcPr/>
          <w:p>
            <w:pPr>
              <w:pStyle w:val="Compact"/>
              <w:jc w:val="center"/>
            </w:pPr>
            <w:r>
              <w:t xml:space="preserve">0.347 (0.056)</w:t>
            </w:r>
          </w:p>
        </w:tc>
      </w:tr>
      <w:tr>
        <w:tc>
          <w:tcPr/>
          <w:p>
            <w:pPr>
              <w:pStyle w:val="Compact"/>
              <w:jc w:val="left"/>
            </w:pPr>
            <w:r>
              <w:t xml:space="preserve">Larger share, winsorised at 99th per centile</w:t>
            </w:r>
          </w:p>
        </w:tc>
        <w:tc>
          <w:tcPr/>
          <w:p>
            <w:pPr>
              <w:pStyle w:val="Compact"/>
              <w:jc w:val="center"/>
            </w:pPr>
            <w:r>
              <w:t xml:space="preserve">0.449 (0.123)</w:t>
            </w:r>
          </w:p>
        </w:tc>
        <w:tc>
          <w:tcPr/>
          <w:p>
            <w:pPr>
              <w:pStyle w:val="Compact"/>
              <w:jc w:val="center"/>
            </w:pPr>
            <w:r>
              <w:t xml:space="preserve">0.401 (0.064)</w:t>
            </w:r>
          </w:p>
        </w:tc>
      </w:tr>
      <w:tr>
        <w:tc>
          <w:tcPr/>
          <w:p>
            <w:pPr>
              <w:pStyle w:val="Compact"/>
              <w:jc w:val="left"/>
            </w:pPr>
            <m:oMath>
              <m:r>
                <m:rPr>
                  <m:sty m:val="p"/>
                </m:rPr>
                <m:t>log</m:t>
              </m:r>
              <m:r>
                <m:rPr>
                  <m:sty m:val="p"/>
                </m:rPr>
                <m:t>(</m:t>
              </m:r>
              <m:r>
                <m:rPr>
                  <m:nor/>
                  <m:sty m:val="p"/>
                </m:rPr>
                <m:t>larger share</m:t>
              </m:r>
              <m:r>
                <m:rPr>
                  <m:sty m:val="p"/>
                </m:rPr>
                <m:t>+</m:t>
              </m:r>
              <m:r>
                <m:t>0.001</m:t>
              </m:r>
              <m:r>
                <m:rPr>
                  <m:sty m:val="p"/>
                </m:rPr>
                <m:t>)</m:t>
              </m:r>
            </m:oMath>
          </w:p>
        </w:tc>
        <w:tc>
          <w:tcPr/>
          <w:p>
            <w:pPr>
              <w:pStyle w:val="Compact"/>
              <w:jc w:val="center"/>
            </w:pPr>
            <w:r>
              <w:t xml:space="preserve">0.245 (0.137)</w:t>
            </w:r>
          </w:p>
        </w:tc>
        <w:tc>
          <w:tcPr/>
          <w:p>
            <w:pPr>
              <w:pStyle w:val="Compact"/>
              <w:jc w:val="center"/>
            </w:pPr>
            <w:r>
              <w:t xml:space="preserve">0.696 (0.092)</w:t>
            </w:r>
          </w:p>
        </w:tc>
      </w:tr>
      <w:tr>
        <w:tc>
          <w:tcPr/>
          <w:p>
            <w:pPr>
              <w:pStyle w:val="Compact"/>
              <w:jc w:val="left"/>
            </w:pPr>
            <w:r>
              <w:t xml:space="preserve">Rank of larger share</w:t>
            </w:r>
          </w:p>
        </w:tc>
        <w:tc>
          <w:tcPr/>
          <w:p>
            <w:pPr>
              <w:pStyle w:val="Compact"/>
              <w:jc w:val="center"/>
            </w:pPr>
            <w:r>
              <w:t xml:space="preserve">0.234 (0.139)</w:t>
            </w:r>
          </w:p>
        </w:tc>
        <w:tc>
          <w:tcPr/>
          <w:p>
            <w:pPr>
              <w:pStyle w:val="Compact"/>
              <w:jc w:val="center"/>
            </w:pPr>
            <w:r>
              <w:t xml:space="preserve">0.647 (0.102)</w:t>
            </w:r>
          </w:p>
        </w:tc>
      </w:tr>
      <w:tr>
        <w:tc>
          <w:tcPr/>
          <w:p>
            <w:pPr>
              <w:pStyle w:val="Compact"/>
              <w:jc w:val="left"/>
            </w:pPr>
            <w:r>
              <w:t xml:space="preserve">Absolute difference of the shares (asymmetry)</w:t>
            </w:r>
          </w:p>
        </w:tc>
        <w:tc>
          <w:tcPr/>
          <w:p>
            <w:pPr>
              <w:pStyle w:val="Compact"/>
              <w:jc w:val="center"/>
            </w:pPr>
            <w:r>
              <w:t xml:space="preserve">0.376 (0.109)</w:t>
            </w:r>
          </w:p>
        </w:tc>
        <w:tc>
          <w:tcPr/>
          <w:p>
            <w:pPr>
              <w:pStyle w:val="Compact"/>
              <w:jc w:val="center"/>
            </w:pPr>
            <w:r>
              <w:t xml:space="preserve">0.327 (0.053)</w:t>
            </w:r>
          </w:p>
        </w:tc>
      </w:tr>
      <w:tr>
        <w:tc>
          <w:tcPr/>
          <w:p>
            <w:pPr>
              <w:pStyle w:val="Compact"/>
              <w:jc w:val="left"/>
            </w:pPr>
            <w:r>
              <w:t xml:space="preserve">Log-ratio</w:t>
            </w:r>
            <w:r>
              <w:t xml:space="preserve"> </w:t>
            </w:r>
            <m:oMath>
              <m:r>
                <m:rPr>
                  <m:sty m:val="p"/>
                </m:rPr>
                <m:t>|</m:t>
              </m:r>
              <m:r>
                <m:rPr>
                  <m:sty m:val="p"/>
                </m:rPr>
                <m:t>log</m:t>
              </m:r>
              <m:r>
                <m:rPr>
                  <m:sty m:val="p"/>
                </m:rPr>
                <m:t>(</m:t>
              </m:r>
              <m:r>
                <m:rPr>
                  <m:sty m:val="p"/>
                </m:rPr>
                <m:t>max</m:t>
              </m:r>
              <m:r>
                <m:rPr>
                  <m:sty m:val="p"/>
                </m:rPr>
                <m:t>/</m:t>
              </m:r>
              <m:r>
                <m:rPr>
                  <m:sty m:val="p"/>
                </m:rPr>
                <m:t>min</m:t>
              </m:r>
              <m:r>
                <m:rPr>
                  <m:sty m:val="p"/>
                </m:rPr>
                <m:t>)</m:t>
              </m:r>
              <m:r>
                <m:rPr>
                  <m:sty m:val="p"/>
                </m:rPr>
                <m:t>|</m:t>
              </m:r>
            </m:oMath>
          </w:p>
        </w:tc>
        <w:tc>
          <w:tcPr/>
          <w:p>
            <w:pPr>
              <w:pStyle w:val="Compact"/>
              <w:jc w:val="center"/>
            </w:pPr>
            <w:r>
              <w:t xml:space="preserve">0.299 (0.145)</w:t>
            </w:r>
          </w:p>
        </w:tc>
        <w:tc>
          <w:tcPr/>
          <w:p>
            <w:pPr>
              <w:pStyle w:val="Compact"/>
              <w:jc w:val="center"/>
            </w:pPr>
            <w:r>
              <w:t xml:space="preserve">0.564 (0.082)</w:t>
            </w:r>
          </w:p>
        </w:tc>
      </w:tr>
      <w:tr>
        <w:tc>
          <w:tcPr/>
          <w:p>
            <w:pPr>
              <w:pStyle w:val="Compact"/>
              <w:jc w:val="left"/>
            </w:pPr>
            <w:r>
              <w:t xml:space="preserve">Relative gap</w:t>
            </w:r>
            <w:r>
              <w:t xml:space="preserve"> </w:t>
            </w:r>
            <m:oMath>
              <m:r>
                <m:rPr>
                  <m:sty m:val="p"/>
                </m:rPr>
                <m:t>(</m:t>
              </m:r>
              <m:r>
                <m:rPr>
                  <m:sty m:val="p"/>
                </m:rPr>
                <m:t>max</m:t>
              </m:r>
              <m:r>
                <m:rPr>
                  <m:sty m:val="p"/>
                </m:rPr>
                <m:t>−</m:t>
              </m:r>
              <m:r>
                <m:rPr>
                  <m:sty m:val="p"/>
                </m:rPr>
                <m:t>min</m:t>
              </m:r>
              <m:r>
                <m:rPr>
                  <m:sty m:val="p"/>
                </m:rPr>
                <m:t>)</m:t>
              </m:r>
              <m:r>
                <m:rPr>
                  <m:sty m:val="p"/>
                </m:rPr>
                <m:t>/</m:t>
              </m:r>
              <m:r>
                <m:rPr>
                  <m:sty m:val="p"/>
                </m:rPr>
                <m:t>max</m:t>
              </m:r>
            </m:oMath>
          </w:p>
        </w:tc>
        <w:tc>
          <w:tcPr/>
          <w:p>
            <w:pPr>
              <w:pStyle w:val="Compact"/>
              <w:jc w:val="center"/>
            </w:pPr>
            <w:r>
              <w:t xml:space="preserve">0.180 (0.099)</w:t>
            </w:r>
          </w:p>
        </w:tc>
        <w:tc>
          <w:tcPr/>
          <w:p>
            <w:pPr>
              <w:pStyle w:val="Compact"/>
              <w:jc w:val="center"/>
            </w:pPr>
            <w:r>
              <w:t xml:space="preserve">0.181 (0.081)</w:t>
            </w:r>
          </w:p>
        </w:tc>
      </w:tr>
      <w:tr>
        <w:tc>
          <w:tcPr/>
          <w:p>
            <w:pPr>
              <w:pStyle w:val="Compact"/>
              <w:jc w:val="left"/>
            </w:pPr>
            <w:r>
              <w:t xml:space="preserve">Smaller share (in the baseline model)</w:t>
            </w:r>
          </w:p>
        </w:tc>
        <w:tc>
          <w:tcPr/>
          <w:p>
            <w:pPr>
              <w:pStyle w:val="Compact"/>
              <w:jc w:val="center"/>
            </w:pPr>
            <m:oMath>
              <m:r>
                <m:rPr>
                  <m:sty m:val="p"/>
                </m:rPr>
                <m:t>−</m:t>
              </m:r>
            </m:oMath>
            <w:r>
              <w:t xml:space="preserve">0.032 (0.112)</w:t>
            </w:r>
          </w:p>
        </w:tc>
        <w:tc>
          <w:tcPr/>
          <w:p>
            <w:pPr>
              <w:pStyle w:val="Compact"/>
              <w:jc w:val="center"/>
            </w:pPr>
            <w:r>
              <w:t xml:space="preserve">0.030 (0.037)</w:t>
            </w:r>
          </w:p>
        </w:tc>
      </w:tr>
    </w:tbl>
    <w:p>
      <w:pPr>
        <w:pStyle w:val="BodyText"/>
      </w:pPr>
      <w:r>
        <w:t xml:space="preserve">Coefficients with dyad-clustered standard errors. Each row is a separate model that includes the smaller share, except the last row, which is the smaller share’s coefficient in the baseline model.</w:t>
      </w:r>
    </w:p>
    <w:p>
      <w:pPr>
        <w:pStyle w:val="BodyText"/>
      </w:pPr>
      <w:r>
        <w:t xml:space="preserve">Level versus change: with the level of the larger share included, its change from the previous year has coefficient 0.109 (</w:t>
      </w:r>
      <m:oMath>
        <m:r>
          <m:t>p</m:t>
        </m:r>
        <m:r>
          <m:rPr>
            <m:sty m:val="p"/>
          </m:rPr>
          <m:t>=</m:t>
        </m:r>
        <m:r>
          <m:t>0.16</m:t>
        </m:r>
      </m:oMath>
      <w:r>
        <w:t xml:space="preserve">) for disputes and</w:t>
      </w:r>
      <w:r>
        <w:t xml:space="preserve"> </w:t>
      </w:r>
      <m:oMath>
        <m:r>
          <m:rPr>
            <m:sty m:val="p"/>
          </m:rPr>
          <m:t>−</m:t>
        </m:r>
        <m:r>
          <m:t>0.078</m:t>
        </m:r>
      </m:oMath>
      <w:r>
        <w:t xml:space="preserve"> </w:t>
      </w:r>
      <w:r>
        <w:t xml:space="preserve">(</w:t>
      </w:r>
      <m:oMath>
        <m:r>
          <m:t>p</m:t>
        </m:r>
        <m:r>
          <m:rPr>
            <m:sty m:val="p"/>
          </m:rPr>
          <m:t>=</m:t>
        </m:r>
        <m:r>
          <m:t>0.017</m:t>
        </m:r>
      </m:oMath>
      <w:r>
        <w:t xml:space="preserve">) for alliances.</w:t>
      </w:r>
    </w:p>
    <w:p>
      <w:pPr>
        <w:pStyle w:val="Heading2"/>
      </w:pPr>
      <w:r>
        <w:t xml:space="preserve">L.6 Functional form of structural pressure</w:t>
      </w:r>
    </w:p>
    <w:p>
      <w:pPr>
        <w:pStyle w:val="FirstParagraph"/>
      </w:pPr>
      <w:r>
        <w:t xml:space="preserve">Replacing</w:t>
      </w:r>
      <w:r>
        <w:t xml:space="preserve"> </w:t>
      </w:r>
      <m:oMath>
        <m:r>
          <m:rPr>
            <m:sty m:val="p"/>
          </m:rPr>
          <m:t>log</m:t>
        </m:r>
        <m:r>
          <m:rPr>
            <m:sty m:val="p"/>
          </m:rPr>
          <m:t>(</m:t>
        </m:r>
        <m:r>
          <m:t>1</m:t>
        </m:r>
        <m:r>
          <m:rPr>
            <m:sty m:val="p"/>
          </m:rPr>
          <m:t>+</m:t>
        </m:r>
        <m:r>
          <m:t>n</m:t>
        </m:r>
        <m:r>
          <m:rPr>
            <m:sty m:val="p"/>
          </m:rPr>
          <m:t>)</m:t>
        </m:r>
      </m:oMath>
      <w:r>
        <w:t xml:space="preserve"> </w:t>
      </w:r>
      <w:r>
        <w:t xml:space="preserve">by raw counts, square roots, the share of triads that are unbalanced with the log total and an any-triad indicator, or categories (0, 1, 2–4, 5–9, 10 or more), gives sign-change coefficients of 0.33 to 0.48 for disputes and 0.35 to 0.36 for alliances. The coefficient on ending ranges from</w:t>
      </w:r>
      <w:r>
        <w:t xml:space="preserve"> </w:t>
      </w:r>
      <m:oMath>
        <m:r>
          <m:rPr>
            <m:sty m:val="p"/>
          </m:rPr>
          <m:t>−</m:t>
        </m:r>
        <m:r>
          <m:t>0.17</m:t>
        </m:r>
      </m:oMath>
      <w:r>
        <w:t xml:space="preserve"> </w:t>
      </w:r>
      <w:r>
        <w:t xml:space="preserve">to</w:t>
      </w:r>
      <w:r>
        <w:t xml:space="preserve"> </w:t>
      </w:r>
      <m:oMath>
        <m:r>
          <m:rPr>
            <m:sty m:val="p"/>
          </m:rPr>
          <m:t>−</m:t>
        </m:r>
        <m:r>
          <m:t>0.36</m:t>
        </m:r>
      </m:oMath>
      <w:r>
        <w:t xml:space="preserve"> </w:t>
      </w:r>
      <w:r>
        <w:t xml:space="preserve">for alliances (</w:t>
      </w:r>
      <m:oMath>
        <m:r>
          <m:t>p</m:t>
        </m:r>
      </m:oMath>
      <w:r>
        <w:t xml:space="preserve"> </w:t>
      </w:r>
      <w:r>
        <w:t xml:space="preserve">from 0.005 to 0.10).</w:t>
      </w:r>
    </w:p>
    <w:p>
      <w:pPr>
        <w:pStyle w:val="Heading2"/>
      </w:pPr>
      <w:r>
        <w:t xml:space="preserve">L.7 Competing risks and outcome windows</w:t>
      </w:r>
    </w:p>
    <w:p>
      <w:pPr>
        <w:pStyle w:val="FirstParagraph"/>
      </w:pPr>
      <w:r>
        <w:t xml:space="preserve">A stacked cause-specific logit, with outcome-specific coefficients and dyad-clustered errors, gives a sign-change-minus-ending contrast on the larger share of 0.478 (</w:t>
      </w:r>
      <m:oMath>
        <m:r>
          <m:t>p</m:t>
        </m:r>
        <m:r>
          <m:rPr>
            <m:sty m:val="p"/>
          </m:rPr>
          <m:t>&lt;</m:t>
        </m:r>
        <m:r>
          <m:t>0.001</m:t>
        </m:r>
      </m:oMath>
      <w:r>
        <w:t xml:space="preserve">) for disputes and 0.672 (</w:t>
      </w:r>
      <m:oMath>
        <m:r>
          <m:t>p</m:t>
        </m:r>
        <m:r>
          <m:rPr>
            <m:sty m:val="p"/>
          </m:rPr>
          <m:t>&lt;</m:t>
        </m:r>
        <m:r>
          <m:t>0.001</m:t>
        </m:r>
      </m:oMath>
      <w:r>
        <w:t xml:space="preserve">) for alliances. A multinomial logit gives the same pattern (sign change 0.39 and 0.34; ending</w:t>
      </w:r>
      <w:r>
        <w:t xml:space="preserve"> </w:t>
      </w:r>
      <m:oMath>
        <m:r>
          <m:rPr>
            <m:sty m:val="p"/>
          </m:rPr>
          <m:t>−</m:t>
        </m:r>
        <m:r>
          <m:t>0.04</m:t>
        </m:r>
      </m:oMath>
      <w:r>
        <w:t xml:space="preserve"> </w:t>
      </w:r>
      <w:r>
        <w:t xml:space="preserve">and</w:t>
      </w:r>
      <w:r>
        <w:t xml:space="preserve"> </w:t>
      </w:r>
      <m:oMath>
        <m:r>
          <m:rPr>
            <m:sty m:val="p"/>
          </m:rPr>
          <m:t>−</m:t>
        </m:r>
        <m:r>
          <m:t>0.32</m:t>
        </m:r>
      </m:oMath>
      <w:r>
        <w:t xml:space="preserve">). Defining the outcome as any sign change within 1, 3 or 5 years gives 0.38, 0.40, 0.39 for disputes and 0.35, 0.39, 0.42 for alliances.</w:t>
      </w:r>
    </w:p>
    <w:p>
      <w:pPr>
        <w:pStyle w:val="Heading2"/>
      </w:pPr>
      <w:r>
        <w:t xml:space="preserve">L.8 Predictive gain and diversification</w:t>
      </w:r>
    </w:p>
    <w:p>
      <w:pPr>
        <w:pStyle w:val="FirstParagraph"/>
      </w:pPr>
      <w:r>
        <w:t xml:space="preserve">Dyad-grouped ten-fold cross-validation, repeated five times: for sign change the held-out log-likelihood gain from adding the larger share is 0.0028 (1.5% of the null) for disputes and 0.0005 (1.3%) for alliances, with AUC 0.919 to 0.928 and 0.783 to 0.802. For ending the gain is</w:t>
      </w:r>
      <w:r>
        <w:t xml:space="preserve"> </w:t>
      </w:r>
      <m:oMath>
        <m:r>
          <m:rPr>
            <m:sty m:val="p"/>
          </m:rPr>
          <m:t>−</m:t>
        </m:r>
        <m:r>
          <m:t>0.0005</m:t>
        </m:r>
      </m:oMath>
      <w:r>
        <w:t xml:space="preserve"> </w:t>
      </w:r>
      <w:r>
        <w:t xml:space="preserve">and 0.0001. Splitting at the median Herfindahl index of the more exposed state’s partner shares, the sign-change coefficient is 0.350 (concentrated) and 0.985 (diversified) for disputes and 0.453 and 0.459 for alliances; excluding the focal partner’s share, 0.064 and 0.516 for disputes and 0.250 and 0.251 for alliances. Interactions with the continuous index:</w:t>
      </w:r>
      <w:r>
        <w:t xml:space="preserve"> </w:t>
      </w:r>
      <m:oMath>
        <m:r>
          <m:t>p</m:t>
        </m:r>
        <m:r>
          <m:rPr>
            <m:sty m:val="p"/>
          </m:rPr>
          <m:t>=</m:t>
        </m:r>
        <m:r>
          <m:t>0.0002</m:t>
        </m:r>
      </m:oMath>
      <w:r>
        <w:t xml:space="preserve"> </w:t>
      </w:r>
      <w:r>
        <w:t xml:space="preserve">and</w:t>
      </w:r>
      <w:r>
        <w:t xml:space="preserve"> </w:t>
      </w:r>
      <m:oMath>
        <m:r>
          <m:t>0.008</m:t>
        </m:r>
      </m:oMath>
      <w:r>
        <w:t xml:space="preserve"> </w:t>
      </w:r>
      <w:r>
        <w:t xml:space="preserve">(disputes),</w:t>
      </w:r>
      <w:r>
        <w:t xml:space="preserve"> </w:t>
      </w:r>
      <m:oMath>
        <m:r>
          <m:t>0.021</m:t>
        </m:r>
      </m:oMath>
      <w:r>
        <w:t xml:space="preserve"> </w:t>
      </w:r>
      <w:r>
        <w:t xml:space="preserve">and</w:t>
      </w:r>
      <w:r>
        <w:t xml:space="preserve"> </w:t>
      </w:r>
      <m:oMath>
        <m:r>
          <m:t>0.21</m:t>
        </m:r>
      </m:oMath>
      <w:r>
        <w:t xml:space="preserve"> </w:t>
      </w:r>
      <w:r>
        <w:t xml:space="preserve">(alliances).</w:t>
      </w:r>
    </w:p>
    <w:p>
      <w:pPr>
        <w:pStyle w:val="TableCaption"/>
      </w:pPr>
      <w:r>
        <w:t xml:space="preserve">Out-of-sample predictive gain from the larger share</w:t>
      </w:r>
    </w:p>
    <w:tbl>
      <w:tblPr>
        <w:tblLayout w:type="autofit"/>
        <w:tblStyle w:val="Table"/>
        <w:tblW w:type="pct" w:w="5000"/>
        <w:tblLook w:firstRow="1" w:lastRow="0" w:firstColumn="0" w:lastColumn="0" w:noHBand="0" w:noVBand="0" w:val="0020"/>
        <w:tblCaption w:val="Out-of-sample predictive gain from the larger share"/>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Held-out log-likelihood</w:t>
            </w:r>
          </w:p>
        </w:tc>
        <w:tc>
          <w:tcPr>
            <w:gridSpan w:val="2"/>
          </w:tcPr>
          <w:p>
            <w:pPr>
              <w:pStyle w:val="Compact"/>
              <w:jc w:val="center"/>
            </w:pPr>
            <w:r>
              <w:t xml:space="preserve">AUC</w:t>
            </w:r>
          </w:p>
        </w:tc>
      </w:tr>
      <w:tr>
        <w:tc>
          <w:tcPr/>
          <w:p>
            <w:pPr>
              <w:pStyle w:val="Compact"/>
              <w:jc w:val="left"/>
            </w:pPr>
            <w:r>
              <w:t xml:space="preserve">2-3</w:t>
            </w:r>
            <w:r>
              <w:t xml:space="preserve">(lr)</w:t>
            </w:r>
            <w:r>
              <w:t xml:space="preserve">4-5</w:t>
            </w:r>
          </w:p>
        </w:tc>
        <w:tc>
          <w:tcPr/>
          <w:p>
            <w:pPr>
              <w:pStyle w:val="Compact"/>
              <w:jc w:val="center"/>
            </w:pPr>
            <w:r>
              <w:t xml:space="preserve">Gain</w:t>
            </w:r>
          </w:p>
        </w:tc>
        <w:tc>
          <w:tcPr/>
          <w:p>
            <w:pPr>
              <w:pStyle w:val="Compact"/>
              <w:jc w:val="center"/>
            </w:pPr>
            <w:r>
              <w:t xml:space="preserve">% of null</w:t>
            </w:r>
          </w:p>
        </w:tc>
        <w:tc>
          <w:tcPr/>
          <w:p>
            <w:pPr>
              <w:pStyle w:val="Compact"/>
              <w:jc w:val="center"/>
            </w:pPr>
            <w:r>
              <w:t xml:space="preserve">Without</w:t>
            </w:r>
          </w:p>
        </w:tc>
        <w:tc>
          <w:tcPr/>
          <w:p>
            <w:pPr>
              <w:pStyle w:val="Compact"/>
              <w:jc w:val="center"/>
            </w:pPr>
            <w:r>
              <w:t xml:space="preserve">With</w:t>
            </w:r>
          </w:p>
        </w:tc>
      </w:tr>
      <w:tr>
        <w:tc>
          <w:tcPr/>
          <w:p>
            <w:pPr>
              <w:pStyle w:val="Compact"/>
              <w:jc w:val="left"/>
            </w:pPr>
            <w:r>
              <w:t xml:space="preserve">Disputes, sign change</w:t>
            </w:r>
          </w:p>
        </w:tc>
        <w:tc>
          <w:tcPr/>
          <w:p>
            <w:pPr>
              <w:pStyle w:val="Compact"/>
              <w:jc w:val="center"/>
            </w:pPr>
            <w:r>
              <w:t xml:space="preserve">0.0028</w:t>
            </w:r>
          </w:p>
        </w:tc>
        <w:tc>
          <w:tcPr/>
          <w:p>
            <w:pPr>
              <w:pStyle w:val="Compact"/>
              <w:jc w:val="center"/>
            </w:pPr>
            <w:r>
              <w:t xml:space="preserve">1.5</w:t>
            </w:r>
          </w:p>
        </w:tc>
        <w:tc>
          <w:tcPr/>
          <w:p>
            <w:pPr>
              <w:pStyle w:val="Compact"/>
              <w:jc w:val="center"/>
            </w:pPr>
            <w:r>
              <w:t xml:space="preserve">0.919</w:t>
            </w:r>
          </w:p>
        </w:tc>
        <w:tc>
          <w:tcPr/>
          <w:p>
            <w:pPr>
              <w:pStyle w:val="Compact"/>
              <w:jc w:val="center"/>
            </w:pPr>
            <w:r>
              <w:t xml:space="preserve">0.928</w:t>
            </w:r>
          </w:p>
        </w:tc>
      </w:tr>
      <w:tr>
        <w:tc>
          <w:tcPr/>
          <w:p>
            <w:pPr>
              <w:pStyle w:val="Compact"/>
              <w:jc w:val="left"/>
            </w:pPr>
            <w:r>
              <w:t xml:space="preserve">Alliances, sign change</w:t>
            </w:r>
          </w:p>
        </w:tc>
        <w:tc>
          <w:tcPr/>
          <w:p>
            <w:pPr>
              <w:pStyle w:val="Compact"/>
              <w:jc w:val="center"/>
            </w:pPr>
            <w:r>
              <w:t xml:space="preserve">0.0005</w:t>
            </w:r>
          </w:p>
        </w:tc>
        <w:tc>
          <w:tcPr/>
          <w:p>
            <w:pPr>
              <w:pStyle w:val="Compact"/>
              <w:jc w:val="center"/>
            </w:pPr>
            <w:r>
              <w:t xml:space="preserve">1.3</w:t>
            </w:r>
          </w:p>
        </w:tc>
        <w:tc>
          <w:tcPr/>
          <w:p>
            <w:pPr>
              <w:pStyle w:val="Compact"/>
              <w:jc w:val="center"/>
            </w:pPr>
            <w:r>
              <w:t xml:space="preserve">0.783</w:t>
            </w:r>
          </w:p>
        </w:tc>
        <w:tc>
          <w:tcPr/>
          <w:p>
            <w:pPr>
              <w:pStyle w:val="Compact"/>
              <w:jc w:val="center"/>
            </w:pPr>
            <w:r>
              <w:t xml:space="preserve">0.802</w:t>
            </w:r>
          </w:p>
        </w:tc>
      </w:tr>
      <w:tr>
        <w:tc>
          <w:tcPr/>
          <w:p>
            <w:pPr>
              <w:pStyle w:val="Compact"/>
              <w:jc w:val="left"/>
            </w:pPr>
            <w:r>
              <w:t xml:space="preserve">Disputes, ends</w:t>
            </w:r>
          </w:p>
        </w:tc>
        <w:tc>
          <w:tcPr/>
          <w:p>
            <w:pPr>
              <w:pStyle w:val="Compact"/>
              <w:jc w:val="center"/>
            </w:pPr>
            <m:oMath>
              <m:r>
                <m:rPr>
                  <m:sty m:val="p"/>
                </m:rPr>
                <m:t>−</m:t>
              </m:r>
            </m:oMath>
            <w:r>
              <w:t xml:space="preserve">0.0005</w:t>
            </w:r>
          </w:p>
        </w:tc>
        <w:tc>
          <w:tcPr/>
          <w:p>
            <w:pPr>
              <w:pStyle w:val="Compact"/>
              <w:jc w:val="center"/>
            </w:pPr>
            <m:oMath>
              <m:r>
                <m:rPr>
                  <m:sty m:val="p"/>
                </m:rPr>
                <m:t>−</m:t>
              </m:r>
            </m:oMath>
            <w:r>
              <w:t xml:space="preserve">0.08</w:t>
            </w:r>
          </w:p>
        </w:tc>
        <w:tc>
          <w:tcPr/>
          <w:p>
            <w:pPr>
              <w:pStyle w:val="Compact"/>
              <w:jc w:val="center"/>
            </w:pPr>
            <w:r>
              <w:t xml:space="preserve">0.741</w:t>
            </w:r>
          </w:p>
        </w:tc>
        <w:tc>
          <w:tcPr/>
          <w:p>
            <w:pPr>
              <w:pStyle w:val="Compact"/>
              <w:jc w:val="center"/>
            </w:pPr>
            <w:r>
              <w:t xml:space="preserve">0.742</w:t>
            </w:r>
          </w:p>
        </w:tc>
      </w:tr>
      <w:tr>
        <w:tc>
          <w:tcPr/>
          <w:p>
            <w:pPr>
              <w:pStyle w:val="Compact"/>
              <w:jc w:val="left"/>
            </w:pPr>
            <w:r>
              <w:t xml:space="preserve">Alliances, ends</w:t>
            </w:r>
          </w:p>
        </w:tc>
        <w:tc>
          <w:tcPr/>
          <w:p>
            <w:pPr>
              <w:pStyle w:val="Compact"/>
              <w:jc w:val="center"/>
            </w:pPr>
            <w:r>
              <w:t xml:space="preserve">0.0001</w:t>
            </w:r>
          </w:p>
        </w:tc>
        <w:tc>
          <w:tcPr/>
          <w:p>
            <w:pPr>
              <w:pStyle w:val="Compact"/>
              <w:jc w:val="center"/>
            </w:pPr>
            <w:r>
              <w:t xml:space="preserve">0.3</w:t>
            </w:r>
          </w:p>
        </w:tc>
        <w:tc>
          <w:tcPr/>
          <w:p>
            <w:pPr>
              <w:pStyle w:val="Compact"/>
              <w:jc w:val="center"/>
            </w:pPr>
            <w:r>
              <w:t xml:space="preserve">0.845</w:t>
            </w:r>
          </w:p>
        </w:tc>
        <w:tc>
          <w:tcPr/>
          <w:p>
            <w:pPr>
              <w:pStyle w:val="Compact"/>
              <w:jc w:val="center"/>
            </w:pPr>
            <w:r>
              <w:t xml:space="preserve">0.848</w:t>
            </w:r>
          </w:p>
        </w:tc>
      </w:tr>
    </w:tbl>
    <w:p>
      <w:pPr>
        <w:pStyle w:val="BodyText"/>
      </w:pPr>
      <w:r>
        <w:t xml:space="preserve">Ten-fold cross-validation with folds that keep each dyad together, repeated five times.</w:t>
      </w:r>
      <w:r>
        <w:t xml:space="preserve"> </w:t>
      </w:r>
      <w:r>
        <w:t xml:space="preserve">“Without”</w:t>
      </w:r>
      <w:r>
        <w:t xml:space="preserve"> </w:t>
      </w:r>
      <w:r>
        <w:t xml:space="preserve">omits the larger share from an otherwise identical model. Script 37.</w:t>
      </w:r>
    </w:p>
    <w:p>
      <w:pPr>
        <w:pStyle w:val="TableCaption"/>
      </w:pPr>
      <w:r>
        <w:t xml:space="preserve">The larger share and sign change, by trade concentration of the more exposed state</w:t>
      </w:r>
    </w:p>
    <w:tbl>
      <w:tblPr>
        <w:tblLayout w:type="autofit"/>
        <w:tblStyle w:val="Table"/>
        <w:tblW w:type="pct" w:w="5000"/>
        <w:tblLook w:firstRow="1" w:lastRow="0" w:firstColumn="0" w:lastColumn="0" w:noHBand="0" w:noVBand="0" w:val="0020"/>
        <w:tblCaption w:val="The larger share and sign change, by trade concentration of the more exposed state"/>
      </w:tblPr>
      <w:tblGrid>
        <w:gridCol w:w="1320"/>
        <w:gridCol w:w="1320"/>
        <w:gridCol w:w="1320"/>
        <w:gridCol w:w="1320"/>
        <w:gridCol w:w="1320"/>
        <w:gridCol w:w="1320"/>
      </w:tblGrid>
      <w:tr>
        <w:trPr>
          <w:tblHeader w:val="on"/>
        </w:trPr>
        <w:tc>
          <w:tcPr/>
          <w:p>
            <w:pPr>
              <w:pStyle w:val="Compact"/>
            </w:pPr>
          </w:p>
        </w:tc>
        <w:tc>
          <w:tcPr/>
          <w:p>
            <w:pPr>
              <w:pStyle w:val="Compact"/>
            </w:pPr>
          </w:p>
        </w:tc>
        <w:tc>
          <w:tcPr>
            <w:gridSpan w:val="2"/>
          </w:tcPr>
          <w:p>
            <w:pPr>
              <w:pStyle w:val="Compact"/>
              <w:jc w:val="center"/>
            </w:pPr>
            <w:r>
              <w:t xml:space="preserve">Disputes</w:t>
            </w:r>
          </w:p>
        </w:tc>
        <w:tc>
          <w:tcPr>
            <w:gridSpan w:val="2"/>
          </w:tcPr>
          <w:p>
            <w:pPr>
              <w:pStyle w:val="Compact"/>
              <w:jc w:val="center"/>
            </w:pPr>
            <w:r>
              <w:t xml:space="preserve">Alliances</w:t>
            </w:r>
          </w:p>
        </w:tc>
      </w:tr>
      <w:tr>
        <w:tc>
          <w:tcPr/>
          <w:p>
            <w:pPr>
              <w:pStyle w:val="Compact"/>
              <w:jc w:val="left"/>
            </w:pPr>
            <w:r>
              <w:t xml:space="preserve">3-4</w:t>
            </w:r>
            <w:r>
              <w:t xml:space="preserve">(lr)</w:t>
            </w:r>
            <w:r>
              <w:t xml:space="preserve">5-6</w:t>
            </w:r>
            <w:r>
              <w:t xml:space="preserve"> </w:t>
            </w:r>
            <w:r>
              <w:t xml:space="preserve">Concentration measure</w:t>
            </w:r>
          </w:p>
        </w:tc>
        <w:tc>
          <w:tcPr/>
          <w:p>
            <w:pPr>
              <w:pStyle w:val="Compact"/>
              <w:jc w:val="left"/>
            </w:pPr>
            <w:r>
              <w:t xml:space="preserve">Subsample</w:t>
            </w:r>
          </w:p>
        </w:tc>
        <w:tc>
          <w:tcPr/>
          <w:p>
            <w:pPr>
              <w:pStyle w:val="Compact"/>
              <w:jc w:val="center"/>
            </w:pPr>
            <m:oMath>
              <m:r>
                <m:t>b</m:t>
              </m:r>
            </m:oMath>
          </w:p>
        </w:tc>
        <w:tc>
          <w:tcPr/>
          <w:p>
            <w:pPr>
              <w:pStyle w:val="Compact"/>
              <w:jc w:val="center"/>
            </w:pPr>
            <m:oMath>
              <m:r>
                <m:t>p</m:t>
              </m:r>
            </m:oMath>
          </w:p>
        </w:tc>
        <w:tc>
          <w:tcPr/>
          <w:p>
            <w:pPr>
              <w:pStyle w:val="Compact"/>
              <w:jc w:val="center"/>
            </w:pPr>
            <m:oMath>
              <m:r>
                <m:t>b</m:t>
              </m:r>
            </m:oMath>
          </w:p>
        </w:tc>
        <w:tc>
          <w:tcPr/>
          <w:p>
            <w:pPr>
              <w:pStyle w:val="Compact"/>
              <w:jc w:val="center"/>
            </w:pPr>
            <m:oMath>
              <m:r>
                <m:t>p</m:t>
              </m:r>
            </m:oMath>
          </w:p>
        </w:tc>
      </w:tr>
      <w:tr>
        <w:tc>
          <w:tcPr/>
          <w:p>
            <w:pPr>
              <w:pStyle w:val="Compact"/>
              <w:jc w:val="left"/>
            </w:pPr>
            <w:r>
              <w:t xml:space="preserve">Herfindahl index, all partners</w:t>
            </w:r>
          </w:p>
        </w:tc>
        <w:tc>
          <w:tcPr/>
          <w:p>
            <w:pPr>
              <w:pStyle w:val="Compact"/>
              <w:jc w:val="left"/>
            </w:pPr>
            <w:r>
              <w:t xml:space="preserve">Concentrated</w:t>
            </w:r>
          </w:p>
        </w:tc>
        <w:tc>
          <w:tcPr/>
          <w:p>
            <w:pPr>
              <w:pStyle w:val="Compact"/>
              <w:jc w:val="center"/>
            </w:pPr>
            <w:r>
              <w:t xml:space="preserve">0.350</w:t>
            </w:r>
          </w:p>
        </w:tc>
        <w:tc>
          <w:tcPr/>
          <w:p>
            <w:pPr>
              <w:pStyle w:val="Compact"/>
              <w:jc w:val="center"/>
            </w:pPr>
            <w:r>
              <w:t xml:space="preserve">0.008</w:t>
            </w:r>
          </w:p>
        </w:tc>
        <w:tc>
          <w:tcPr/>
          <w:p>
            <w:pPr>
              <w:pStyle w:val="Compact"/>
              <w:jc w:val="center"/>
            </w:pPr>
            <w:r>
              <w:t xml:space="preserve">0.453</w:t>
            </w:r>
          </w:p>
        </w:tc>
        <w:tc>
          <w:tcPr/>
          <w:p>
            <w:pPr>
              <w:pStyle w:val="Compact"/>
              <w:jc w:val="center"/>
            </w:pPr>
            <m:oMath>
              <m:r>
                <m:rPr>
                  <m:sty m:val="p"/>
                </m:rPr>
                <m:t>&lt;</m:t>
              </m:r>
            </m:oMath>
            <w:r>
              <w:t xml:space="preserve">0.001</w:t>
            </w:r>
          </w:p>
        </w:tc>
      </w:tr>
      <w:tr>
        <w:tc>
          <w:tcPr/>
          <w:p>
            <w:pPr>
              <w:pStyle w:val="Compact"/>
            </w:pPr>
          </w:p>
        </w:tc>
        <w:tc>
          <w:tcPr/>
          <w:p>
            <w:pPr>
              <w:pStyle w:val="Compact"/>
              <w:jc w:val="left"/>
            </w:pPr>
            <w:r>
              <w:t xml:space="preserve">Diversified</w:t>
            </w:r>
          </w:p>
        </w:tc>
        <w:tc>
          <w:tcPr/>
          <w:p>
            <w:pPr>
              <w:pStyle w:val="Compact"/>
              <w:jc w:val="center"/>
            </w:pPr>
            <w:r>
              <w:t xml:space="preserve">0.985</w:t>
            </w:r>
          </w:p>
        </w:tc>
        <w:tc>
          <w:tcPr/>
          <w:p>
            <w:pPr>
              <w:pStyle w:val="Compact"/>
              <w:jc w:val="center"/>
            </w:pPr>
            <w:r>
              <w:t xml:space="preserve">0.018</w:t>
            </w:r>
          </w:p>
        </w:tc>
        <w:tc>
          <w:tcPr/>
          <w:p>
            <w:pPr>
              <w:pStyle w:val="Compact"/>
              <w:jc w:val="center"/>
            </w:pPr>
            <w:r>
              <w:t xml:space="preserve">0.459</w:t>
            </w:r>
          </w:p>
        </w:tc>
        <w:tc>
          <w:tcPr/>
          <w:p>
            <w:pPr>
              <w:pStyle w:val="Compact"/>
              <w:jc w:val="center"/>
            </w:pPr>
            <m:oMath>
              <m:r>
                <m:rPr>
                  <m:sty m:val="p"/>
                </m:rPr>
                <m:t>&lt;</m:t>
              </m:r>
            </m:oMath>
            <w:r>
              <w:t xml:space="preserve">0.001</w:t>
            </w:r>
          </w:p>
        </w:tc>
      </w:tr>
      <w:tr>
        <w:tc>
          <w:tcPr/>
          <w:p>
            <w:pPr>
              <w:pStyle w:val="Compact"/>
            </w:pPr>
          </w:p>
        </w:tc>
        <w:tc>
          <w:tcPr/>
          <w:p>
            <w:pPr>
              <w:pStyle w:val="Compact"/>
              <w:jc w:val="left"/>
            </w:pPr>
            <w:r>
              <w:t xml:space="preserve">Interaction</w:t>
            </w:r>
            <w:r>
              <w:t xml:space="preserve"> </w:t>
            </w:r>
            <m:oMath>
              <m:r>
                <m:t>p</m:t>
              </m:r>
            </m:oMath>
          </w:p>
        </w:tc>
        <w:tc>
          <w:tcPr>
            <w:gridSpan w:val="2"/>
          </w:tcPr>
          <w:p>
            <w:pPr>
              <w:pStyle w:val="Compact"/>
              <w:jc w:val="center"/>
            </w:pPr>
            <w:r>
              <w:t xml:space="preserve">0.0002</w:t>
            </w:r>
          </w:p>
        </w:tc>
        <w:tc>
          <w:tcPr>
            <w:gridSpan w:val="2"/>
          </w:tcPr>
          <w:p>
            <w:pPr>
              <w:pStyle w:val="Compact"/>
              <w:jc w:val="center"/>
            </w:pPr>
            <w:r>
              <w:t xml:space="preserve">0.021</w:t>
            </w:r>
          </w:p>
        </w:tc>
      </w:tr>
      <w:tr>
        <w:tc>
          <w:tcPr/>
          <w:p>
            <w:pPr>
              <w:pStyle w:val="Compact"/>
              <w:jc w:val="left"/>
            </w:pPr>
            <w:r>
              <w:t xml:space="preserve">Herfindahl index, other partners</w:t>
            </w:r>
          </w:p>
        </w:tc>
        <w:tc>
          <w:tcPr/>
          <w:p>
            <w:pPr>
              <w:pStyle w:val="Compact"/>
              <w:jc w:val="left"/>
            </w:pPr>
            <w:r>
              <w:t xml:space="preserve">Concentrated</w:t>
            </w:r>
          </w:p>
        </w:tc>
        <w:tc>
          <w:tcPr/>
          <w:p>
            <w:pPr>
              <w:pStyle w:val="Compact"/>
              <w:jc w:val="center"/>
            </w:pPr>
            <w:r>
              <w:t xml:space="preserve">0.064</w:t>
            </w:r>
          </w:p>
        </w:tc>
        <w:tc>
          <w:tcPr/>
          <w:p>
            <w:pPr>
              <w:pStyle w:val="Compact"/>
              <w:jc w:val="center"/>
            </w:pPr>
            <w:r>
              <w:t xml:space="preserve">0.74</w:t>
            </w:r>
          </w:p>
        </w:tc>
        <w:tc>
          <w:tcPr/>
          <w:p>
            <w:pPr>
              <w:pStyle w:val="Compact"/>
              <w:jc w:val="center"/>
            </w:pPr>
            <w:r>
              <w:t xml:space="preserve">0.250</w:t>
            </w:r>
          </w:p>
        </w:tc>
        <w:tc>
          <w:tcPr/>
          <w:p>
            <w:pPr>
              <w:pStyle w:val="Compact"/>
              <w:jc w:val="center"/>
            </w:pPr>
            <w:r>
              <w:t xml:space="preserve">0.13</w:t>
            </w:r>
          </w:p>
        </w:tc>
      </w:tr>
      <w:tr>
        <w:tc>
          <w:tcPr/>
          <w:p>
            <w:pPr>
              <w:pStyle w:val="Compact"/>
            </w:pPr>
          </w:p>
        </w:tc>
        <w:tc>
          <w:tcPr/>
          <w:p>
            <w:pPr>
              <w:pStyle w:val="Compact"/>
              <w:jc w:val="left"/>
            </w:pPr>
            <w:r>
              <w:t xml:space="preserve">Diversified</w:t>
            </w:r>
          </w:p>
        </w:tc>
        <w:tc>
          <w:tcPr/>
          <w:p>
            <w:pPr>
              <w:pStyle w:val="Compact"/>
              <w:jc w:val="center"/>
            </w:pPr>
            <w:r>
              <w:t xml:space="preserve">0.516</w:t>
            </w:r>
          </w:p>
        </w:tc>
        <w:tc>
          <w:tcPr/>
          <w:p>
            <w:pPr>
              <w:pStyle w:val="Compact"/>
              <w:jc w:val="center"/>
            </w:pPr>
            <w:r>
              <w:t xml:space="preserve">0.001</w:t>
            </w:r>
          </w:p>
        </w:tc>
        <w:tc>
          <w:tcPr/>
          <w:p>
            <w:pPr>
              <w:pStyle w:val="Compact"/>
              <w:jc w:val="center"/>
            </w:pPr>
            <w:r>
              <w:t xml:space="preserve">0.251</w:t>
            </w:r>
          </w:p>
        </w:tc>
        <w:tc>
          <w:tcPr/>
          <w:p>
            <w:pPr>
              <w:pStyle w:val="Compact"/>
              <w:jc w:val="center"/>
            </w:pPr>
            <m:oMath>
              <m:r>
                <m:rPr>
                  <m:sty m:val="p"/>
                </m:rPr>
                <m:t>&lt;</m:t>
              </m:r>
            </m:oMath>
            <w:r>
              <w:t xml:space="preserve">0.001</w:t>
            </w:r>
          </w:p>
        </w:tc>
      </w:tr>
      <w:tr>
        <w:tc>
          <w:tcPr/>
          <w:p>
            <w:pPr>
              <w:pStyle w:val="Compact"/>
            </w:pPr>
          </w:p>
        </w:tc>
        <w:tc>
          <w:tcPr/>
          <w:p>
            <w:pPr>
              <w:pStyle w:val="Compact"/>
              <w:jc w:val="left"/>
            </w:pPr>
            <w:r>
              <w:t xml:space="preserve">Interaction</w:t>
            </w:r>
            <w:r>
              <w:t xml:space="preserve"> </w:t>
            </w:r>
            <m:oMath>
              <m:r>
                <m:t>p</m:t>
              </m:r>
            </m:oMath>
          </w:p>
        </w:tc>
        <w:tc>
          <w:tcPr>
            <w:gridSpan w:val="2"/>
          </w:tcPr>
          <w:p>
            <w:pPr>
              <w:pStyle w:val="Compact"/>
              <w:jc w:val="center"/>
            </w:pPr>
            <w:r>
              <w:t xml:space="preserve">0.008</w:t>
            </w:r>
          </w:p>
        </w:tc>
        <w:tc>
          <w:tcPr>
            <w:gridSpan w:val="2"/>
          </w:tcPr>
          <w:p>
            <w:pPr>
              <w:pStyle w:val="Compact"/>
              <w:jc w:val="center"/>
            </w:pPr>
            <w:r>
              <w:t xml:space="preserve">0.21</w:t>
            </w:r>
          </w:p>
        </w:tc>
      </w:tr>
    </w:tbl>
    <w:p>
      <w:pPr>
        <w:pStyle w:val="BodyText"/>
      </w:pPr>
      <w:r>
        <w:t xml:space="preserve">Subsamples split at the median concentration of the more exposed state.</w:t>
      </w:r>
      <w:r>
        <w:t xml:space="preserve"> </w:t>
      </w:r>
      <w:r>
        <w:t xml:space="preserve">“Other partners”</w:t>
      </w:r>
      <w:r>
        <w:t xml:space="preserve"> </w:t>
      </w:r>
      <w:r>
        <w:t xml:space="preserve">excludes the focal partner’s share. Standard errors clustered by dyad. Script 37.</w:t>
      </w:r>
    </w:p>
    <w:p>
      <w:pPr>
        <w:pStyle w:val="Heading2"/>
      </w:pPr>
      <w:r>
        <w:t xml:space="preserve">L.9 Interactions with pressure</w:t>
      </w:r>
    </w:p>
    <w:p>
      <w:pPr>
        <w:pStyle w:val="FirstParagraph"/>
      </w:pPr>
      <w:r>
        <w:t xml:space="preserve">Adding interactions between the larger share and the two pressure counts: for disputes,</w:t>
      </w:r>
      <w:r>
        <w:t xml:space="preserve"> </w:t>
      </w:r>
      <m:oMath>
        <m:r>
          <m:rPr>
            <m:sty m:val="p"/>
          </m:rPr>
          <m:t>−</m:t>
        </m:r>
        <m:r>
          <m:t>0.045</m:t>
        </m:r>
      </m:oMath>
      <w:r>
        <w:t xml:space="preserve"> </w:t>
      </w:r>
      <w:r>
        <w:t xml:space="preserve">(SE 0.053,</w:t>
      </w:r>
      <w:r>
        <w:t xml:space="preserve"> </w:t>
      </w:r>
      <m:oMath>
        <m:r>
          <m:t>p</m:t>
        </m:r>
        <m:r>
          <m:rPr>
            <m:sty m:val="p"/>
          </m:rPr>
          <m:t>=</m:t>
        </m:r>
        <m:r>
          <m:t>0.39</m:t>
        </m:r>
      </m:oMath>
      <w:r>
        <w:t xml:space="preserve">) with unbalanced and</w:t>
      </w:r>
      <w:r>
        <w:t xml:space="preserve"> </w:t>
      </w:r>
      <m:oMath>
        <m:r>
          <m:rPr>
            <m:sty m:val="p"/>
          </m:rPr>
          <m:t>−</m:t>
        </m:r>
        <m:r>
          <m:t>0.274</m:t>
        </m:r>
      </m:oMath>
      <w:r>
        <w:t xml:space="preserve"> </w:t>
      </w:r>
      <w:r>
        <w:t xml:space="preserve">(SE 0.090,</w:t>
      </w:r>
      <w:r>
        <w:t xml:space="preserve"> </w:t>
      </w:r>
      <m:oMath>
        <m:r>
          <m:t>p</m:t>
        </m:r>
        <m:r>
          <m:rPr>
            <m:sty m:val="p"/>
          </m:rPr>
          <m:t>=</m:t>
        </m:r>
        <m:r>
          <m:t>0.002</m:t>
        </m:r>
      </m:oMath>
      <w:r>
        <w:t xml:space="preserve">) with balanced triads; for alliances, 0.054 (0.059,</w:t>
      </w:r>
      <w:r>
        <w:t xml:space="preserve"> </w:t>
      </w:r>
      <m:oMath>
        <m:r>
          <m:t>p</m:t>
        </m:r>
        <m:r>
          <m:rPr>
            <m:sty m:val="p"/>
          </m:rPr>
          <m:t>=</m:t>
        </m:r>
        <m:r>
          <m:t>0.35</m:t>
        </m:r>
      </m:oMath>
      <w:r>
        <w:t xml:space="preserve">) and 0.074 (0.035,</w:t>
      </w:r>
      <w:r>
        <w:t xml:space="preserve"> </w:t>
      </w:r>
      <m:oMath>
        <m:r>
          <m:t>p</m:t>
        </m:r>
        <m:r>
          <m:rPr>
            <m:sty m:val="p"/>
          </m:rPr>
          <m:t>=</m:t>
        </m:r>
        <m:r>
          <m:t>0.032</m:t>
        </m:r>
      </m:oMath>
      <w:r>
        <w:t xml:space="preserve">). Exposure therefore does not interact with unbalanced triads, but it does interact with balanced triads, with opposite signs for disputes and alliances.</w:t>
      </w:r>
    </w:p>
    <w:p>
      <w:pPr>
        <w:pStyle w:val="Heading2"/>
      </w:pPr>
      <w:r>
        <w:t xml:space="preserve">L.10 Added controls: contiguity, economic size, and regime type</w:t>
      </w:r>
    </w:p>
    <w:p>
      <w:pPr>
        <w:pStyle w:val="FirstParagraph"/>
      </w:pPr>
      <w:r>
        <w:t xml:space="preserve">Controls: direct contiguity (Correlates of War, any type), the absolute difference in log total national trade, the lower Polity2 score of the pair and the absolute gap, and joint democracy (both scores of at least 6). The sample is dyad-years with all controls available (2,427 dispute-years, 35,628 alliance-years); its baseline coefficients are 0.497 (disputes) and 0.330 (alliances). Sign change: contiguity 0.500 and 0.326; economic size 0.465 and 0.310; regime type 0.583 and 0.342; joint democracy 0.496 and 0.321; all together 0.536 (</w:t>
      </w:r>
      <m:oMath>
        <m:r>
          <m:t>p</m:t>
        </m:r>
        <m:r>
          <m:rPr>
            <m:sty m:val="p"/>
          </m:rPr>
          <m:t>&lt;</m:t>
        </m:r>
        <m:r>
          <m:t>0.001</m:t>
        </m:r>
      </m:oMath>
      <w:r>
        <w:t xml:space="preserve">) and 0.267 (</w:t>
      </w:r>
      <m:oMath>
        <m:r>
          <m:t>p</m:t>
        </m:r>
        <m:r>
          <m:rPr>
            <m:sty m:val="p"/>
          </m:rPr>
          <m:t>=</m:t>
        </m:r>
        <m:r>
          <m:t>0.002</m:t>
        </m:r>
      </m:oMath>
      <w:r>
        <w:t xml:space="preserve">). Contiguity is a strong predictor of alliances turning hostile (</w:t>
      </w:r>
      <m:oMath>
        <m:r>
          <m:t>b</m:t>
        </m:r>
        <m:r>
          <m:rPr>
            <m:sty m:val="p"/>
          </m:rPr>
          <m:t>=</m:t>
        </m:r>
        <m:r>
          <m:t>2.24</m:t>
        </m:r>
      </m:oMath>
      <w:r>
        <w:t xml:space="preserve">). For endings the larger-share coefficient stays between</w:t>
      </w:r>
      <w:r>
        <w:t xml:space="preserve"> </w:t>
      </w:r>
      <m:oMath>
        <m:r>
          <m:rPr>
            <m:sty m:val="p"/>
          </m:rPr>
          <m:t>−</m:t>
        </m:r>
        <m:r>
          <m:t>0.07</m:t>
        </m:r>
      </m:oMath>
      <w:r>
        <w:t xml:space="preserve"> </w:t>
      </w:r>
      <w:r>
        <w:t xml:space="preserve">and</w:t>
      </w:r>
      <w:r>
        <w:t xml:space="preserve"> </w:t>
      </w:r>
      <m:oMath>
        <m:r>
          <m:rPr>
            <m:sty m:val="p"/>
          </m:rPr>
          <m:t>−</m:t>
        </m:r>
        <m:r>
          <m:t>0.09</m:t>
        </m:r>
      </m:oMath>
      <w:r>
        <w:t xml:space="preserve"> </w:t>
      </w:r>
      <w:r>
        <w:t xml:space="preserve">(disputes,</w:t>
      </w:r>
      <w:r>
        <w:t xml:space="preserve"> </w:t>
      </w:r>
      <m:oMath>
        <m:r>
          <m:t>p</m:t>
        </m:r>
      </m:oMath>
      <w:r>
        <w:t xml:space="preserve"> </w:t>
      </w:r>
      <w:r>
        <w:t xml:space="preserve">from 0.14 to 0.26) and between</w:t>
      </w:r>
      <w:r>
        <w:t xml:space="preserve"> </w:t>
      </w:r>
      <m:oMath>
        <m:r>
          <m:rPr>
            <m:sty m:val="p"/>
          </m:rPr>
          <m:t>−</m:t>
        </m:r>
        <m:r>
          <m:t>0.28</m:t>
        </m:r>
      </m:oMath>
      <w:r>
        <w:t xml:space="preserve"> </w:t>
      </w:r>
      <w:r>
        <w:t xml:space="preserve">and</w:t>
      </w:r>
      <w:r>
        <w:t xml:space="preserve"> </w:t>
      </w:r>
      <m:oMath>
        <m:r>
          <m:rPr>
            <m:sty m:val="p"/>
          </m:rPr>
          <m:t>−</m:t>
        </m:r>
        <m:r>
          <m:t>0.52</m:t>
        </m:r>
      </m:oMath>
      <w:r>
        <w:t xml:space="preserve"> </w:t>
      </w:r>
      <w:r>
        <w:t xml:space="preserve">(alliances,</w:t>
      </w:r>
      <w:r>
        <w:t xml:space="preserve"> </w:t>
      </w:r>
      <m:oMath>
        <m:r>
          <m:t>p</m:t>
        </m:r>
      </m:oMath>
      <w:r>
        <w:t xml:space="preserve"> </w:t>
      </w:r>
      <w:r>
        <w:t xml:space="preserve">from 0.003 to 0.08). Script</w:t>
      </w:r>
      <w:r>
        <w:t xml:space="preserve"> </w:t>
      </w:r>
      <w:r>
        <w:rPr>
          <w:rStyle w:val="VerbatimChar"/>
        </w:rPr>
        <w:t xml:space="preserve">42</w:t>
      </w:r>
      <w:r>
        <w:t xml:space="preserve">.</w:t>
      </w:r>
    </w:p>
    <w:p>
      <w:pPr>
        <w:pStyle w:val="Heading2"/>
      </w:pPr>
      <w:r>
        <w:t xml:space="preserve">L.11 Structure and alliance status; incremental value of the larger share</w:t>
      </w:r>
    </w:p>
    <w:p>
      <w:pPr>
        <w:pStyle w:val="FirstParagraph"/>
      </w:pPr>
      <w:r>
        <w:t xml:space="preserve">Because 310 of the 317 dispute sign changes occur with an alliance in force, the concurrent-alliance indicator carries most of the predictive information in dispute models. In dyad-grouped cross-validation (ten folds, five repeats) the model with the indicator, capability asymmetry and duration alone has a held-out AUC of 0.953 (log-likelihood gain over the null 0.205). Adding the two trade shares gives 0.959, unbalanced triads 0.960 and balanced triads 0.960. Without the larger share the full model has a held-out AUC of 0.956 and an AIC of 806.3 against 798.2. Estimated separately, the unbalanced-triad coefficient is 0.171 (SE 0.083) among the 557 allied dispute-years (310 sign changes; larger share 0.309, SE 0.121); there are only 7 sign changes among the 2,340 non-allied dispute-years, too few to estimate. Incremental held-out log-likelihood per observation with a dyad-clustered bootstrap 95% interval (2,000 resamples): the larger share added to alliance status, the smaller share, controls and both pressure counts, 0.0015 (</w:t>
      </w:r>
      <m:oMath>
        <m:r>
          <m:rPr>
            <m:sty m:val="p"/>
          </m:rPr>
          <m:t>−</m:t>
        </m:r>
      </m:oMath>
      <w:r>
        <w:t xml:space="preserve">0.0007 to 0.0039) for disputes and 0.0005 (0.0001 to 0.0010) for alliances; unbalanced and balanced triads added to alliance status, exposure and controls for disputes, 0.0006 (</w:t>
      </w:r>
      <m:oMath>
        <m:r>
          <m:rPr>
            <m:sty m:val="p"/>
          </m:rPr>
          <m:t>−</m:t>
        </m:r>
      </m:oMath>
      <w:r>
        <w:t xml:space="preserve">0.0013 to 0.0026), and added to exposure and controls for alliances, 0.0004 (0.0001 to 0.0008); the alliance indicator added to exposure, controls and both pressure counts for disputes, 0.049 (0.035 to 0.064). Scripts</w:t>
      </w:r>
      <w:r>
        <w:t xml:space="preserve"> </w:t>
      </w:r>
      <w:r>
        <w:rPr>
          <w:rStyle w:val="VerbatimChar"/>
        </w:rPr>
        <w:t xml:space="preserve">58</w:t>
      </w:r>
      <w:r>
        <w:t xml:space="preserve"> </w:t>
      </w:r>
      <w:r>
        <w:t xml:space="preserve">and</w:t>
      </w:r>
      <w:r>
        <w:t xml:space="preserve"> </w:t>
      </w:r>
      <w:r>
        <w:rPr>
          <w:rStyle w:val="VerbatimChar"/>
        </w:rPr>
        <w:t xml:space="preserve">59</w:t>
      </w:r>
      <w:r>
        <w:t xml:space="preserve">.</w:t>
      </w:r>
    </w:p>
    <w:p>
      <w:pPr>
        <w:pStyle w:val="Heading2"/>
      </w:pPr>
      <w:r>
        <w:t xml:space="preserve">L.12 Missing trade data for disputes</w:t>
      </w:r>
    </w:p>
    <w:p>
      <w:pPr>
        <w:pStyle w:val="FirstParagraph"/>
      </w:pPr>
      <w:r>
        <w:t xml:space="preserve">Trade shares are missing for 1,424 of the 4,321 dispute-years in the signed network. The share of dispute-years with trade data is 28% in 1816–1913, 44% in 1914–45, 85% in 1946–89 and 82% in 1990–2011, and 63% among dispute-years without an alliance against 91% among those with one. The sign-change rate (the share of dispute-years followed by a sign change) is 10.9% where trade data exist and 2.2% where they do not. Among allied dispute-years the rates are 55.7 and 49.1%, and among non-allied dispute-years 0.3 and 0.3%, so the difference largely reflects composition. By period it is 3.2 and 3.4% before 1914, 3.2 and 1.2% in 1914–45, 11.1 and 3.7% in 1946–89, and 15.8 and 0.0% in 1990–2011 (with and without trade data), so after 1945 the rate is lower where trade is missing even within periods. Script</w:t>
      </w:r>
      <w:r>
        <w:t xml:space="preserve"> </w:t>
      </w:r>
      <w:r>
        <w:rPr>
          <w:rStyle w:val="VerbatimChar"/>
        </w:rPr>
        <w:t xml:space="preserve">57</w:t>
      </w:r>
      <w:r>
        <w:t xml:space="preserve">.</w:t>
      </w:r>
    </w:p>
    <w:p>
      <w:pPr>
        <w:pStyle w:val="Heading1"/>
      </w:pPr>
      <w:r>
        <w:t xml:space="preserve">Appendix M: Trade relative to GDP, and pressure as a ratio (Sections 3 and 5.3)</w:t>
      </w:r>
    </w:p>
    <w:p>
      <w:pPr>
        <w:pStyle w:val="Heading2"/>
      </w:pPr>
      <w:r>
        <w:t xml:space="preserve">M.1 Trade relative to GDP</w:t>
      </w:r>
    </w:p>
    <w:p>
      <w:pPr>
        <w:pStyle w:val="FirstParagraph"/>
      </w:pPr>
      <w:r>
        <w:t xml:space="preserve">The conventional measure of the weight of trade is bilateral trade relative to GDP. I construct it with two sources. The first is the Maddison Project Database 2023 (Bolt and van Zanden 2024), GDP per capita times population, 1870 onward. Because Correlates of War trade is in current dollars and this GDP is in constant 2011 purchasing-power dollars, the log ratio is standardised within year, which removes the common price-level factor but not the gap between purchasing-power and market-rate GDP. The second is market-rate GDP from the Penn World Table 10.01 (Feenstra, Inklaar and Timmer 2015), output-side GDP at current purchasing-power prices times the price level, 1950 onward, which removes that gap. The Penn World Table omits the Soviet Union and some other states, so the dispute sample is small. Exposure is the larger of the two states’ bilateral trade over GDP, which always belongs to the state with the lower GDP because bilateral trade is common to both. All models include the smaller counterpart, capability asymmetry, duration, and both pressure counts, with dyad-clustered errors.</w:t>
      </w:r>
    </w:p>
    <w:p>
      <w:pPr>
        <w:pStyle w:val="TableCaption"/>
      </w:pPr>
      <w:r>
        <w:t xml:space="preserve">The larger trade share and bilateral trade relative to GDP, sign change</w:t>
      </w:r>
    </w:p>
    <w:tbl>
      <w:tblPr>
        <w:tblLayout w:type="autofit"/>
        <w:tblStyle w:val="Table"/>
        <w:tblW w:type="pct" w:w="5000"/>
        <w:tblLook w:firstRow="1" w:lastRow="0" w:firstColumn="0" w:lastColumn="0" w:noHBand="0" w:noVBand="0" w:val="0020"/>
        <w:tblCaption w:val="The larger trade share and bilateral trade relative to GDP, sign change"/>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Maddison GDP</w:t>
            </w:r>
          </w:p>
        </w:tc>
        <w:tc>
          <w:tcPr>
            <w:gridSpan w:val="2"/>
          </w:tcPr>
          <w:p>
            <w:pPr>
              <w:pStyle w:val="Compact"/>
              <w:jc w:val="center"/>
            </w:pPr>
            <w:r>
              <w:t xml:space="preserve">Penn World Table, market rate</w:t>
            </w:r>
          </w:p>
        </w:tc>
      </w:tr>
      <w:tr>
        <w:tc>
          <w:tcPr/>
          <w:p>
            <w:pPr>
              <w:pStyle w:val="Compact"/>
              <w:jc w:val="left"/>
            </w:pPr>
            <w:r>
              <w:t xml:space="preserve">2-3</w:t>
            </w:r>
            <w:r>
              <w:t xml:space="preserve">(lr)</w:t>
            </w:r>
            <w:r>
              <w:t xml:space="preserve">4-5</w:t>
            </w:r>
          </w:p>
        </w:tc>
        <w:tc>
          <w:tcPr/>
          <w:p>
            <w:pPr>
              <w:pStyle w:val="Compact"/>
              <w:jc w:val="center"/>
            </w:pPr>
            <w:r>
              <w:t xml:space="preserve">Disputes</w:t>
            </w:r>
          </w:p>
        </w:tc>
        <w:tc>
          <w:tcPr/>
          <w:p>
            <w:pPr>
              <w:pStyle w:val="Compact"/>
              <w:jc w:val="center"/>
            </w:pPr>
            <w:r>
              <w:t xml:space="preserve">Alliances</w:t>
            </w:r>
          </w:p>
        </w:tc>
        <w:tc>
          <w:tcPr/>
          <w:p>
            <w:pPr>
              <w:pStyle w:val="Compact"/>
              <w:jc w:val="center"/>
            </w:pPr>
            <w:r>
              <w:t xml:space="preserve">Disputes</w:t>
            </w:r>
          </w:p>
        </w:tc>
        <w:tc>
          <w:tcPr/>
          <w:p>
            <w:pPr>
              <w:pStyle w:val="Compact"/>
              <w:jc w:val="center"/>
            </w:pPr>
            <w:r>
              <w:t xml:space="preserve">Alliances</w:t>
            </w:r>
          </w:p>
        </w:tc>
      </w:tr>
      <w:tr>
        <w:tc>
          <w:tcPr/>
          <w:p>
            <w:pPr>
              <w:pStyle w:val="Compact"/>
              <w:jc w:val="left"/>
            </w:pPr>
            <w:r>
              <w:t xml:space="preserve">Larger trade share, same sample</w:t>
            </w:r>
          </w:p>
        </w:tc>
        <w:tc>
          <w:tcPr/>
          <w:p>
            <w:pPr>
              <w:pStyle w:val="Compact"/>
              <w:jc w:val="center"/>
            </w:pPr>
            <w:r>
              <w:t xml:space="preserve">0.505 (</w:t>
            </w:r>
            <m:oMath>
              <m:r>
                <m:rPr>
                  <m:sty m:val="p"/>
                </m:rPr>
                <m:t>&lt;</m:t>
              </m:r>
            </m:oMath>
            <w:r>
              <w:t xml:space="preserve">0.001)</w:t>
            </w:r>
          </w:p>
        </w:tc>
        <w:tc>
          <w:tcPr/>
          <w:p>
            <w:pPr>
              <w:pStyle w:val="Compact"/>
              <w:jc w:val="center"/>
            </w:pPr>
            <w:r>
              <w:t xml:space="preserve">0.348 (</w:t>
            </w:r>
            <m:oMath>
              <m:r>
                <m:rPr>
                  <m:sty m:val="p"/>
                </m:rPr>
                <m:t>&lt;</m:t>
              </m:r>
            </m:oMath>
            <w:r>
              <w:t xml:space="preserve">0.001)</w:t>
            </w:r>
          </w:p>
        </w:tc>
        <w:tc>
          <w:tcPr/>
          <w:p>
            <w:pPr>
              <w:pStyle w:val="Compact"/>
              <w:jc w:val="center"/>
            </w:pPr>
            <w:r>
              <w:t xml:space="preserve">0.419 (0.005)</w:t>
            </w:r>
          </w:p>
        </w:tc>
        <w:tc>
          <w:tcPr/>
          <w:p>
            <w:pPr>
              <w:pStyle w:val="Compact"/>
              <w:jc w:val="center"/>
            </w:pPr>
            <w:r>
              <w:t xml:space="preserve">0.355 (</w:t>
            </w:r>
            <m:oMath>
              <m:r>
                <m:rPr>
                  <m:sty m:val="p"/>
                </m:rPr>
                <m:t>&lt;</m:t>
              </m:r>
            </m:oMath>
            <w:r>
              <w:t xml:space="preserve">0.001)</w:t>
            </w:r>
          </w:p>
        </w:tc>
      </w:tr>
      <w:tr>
        <w:tc>
          <w:tcPr/>
          <w:p>
            <w:pPr>
              <w:pStyle w:val="Compact"/>
              <w:jc w:val="left"/>
            </w:pPr>
            <w:r>
              <w:t xml:space="preserve">Trade/GDP, alone</w:t>
            </w:r>
          </w:p>
        </w:tc>
        <w:tc>
          <w:tcPr/>
          <w:p>
            <w:pPr>
              <w:pStyle w:val="Compact"/>
              <w:jc w:val="center"/>
            </w:pPr>
            <w:r>
              <w:t xml:space="preserve">0.208 (0.65)</w:t>
            </w:r>
          </w:p>
        </w:tc>
        <w:tc>
          <w:tcPr/>
          <w:p>
            <w:pPr>
              <w:pStyle w:val="Compact"/>
              <w:jc w:val="center"/>
            </w:pPr>
            <w:r>
              <w:t xml:space="preserve">0.708 (0.011)</w:t>
            </w:r>
          </w:p>
        </w:tc>
        <w:tc>
          <w:tcPr/>
          <w:p>
            <w:pPr>
              <w:pStyle w:val="Compact"/>
              <w:jc w:val="center"/>
            </w:pPr>
            <w:r>
              <w:t xml:space="preserve">0.298 (0.32)</w:t>
            </w:r>
          </w:p>
        </w:tc>
        <w:tc>
          <w:tcPr/>
          <w:p>
            <w:pPr>
              <w:pStyle w:val="Compact"/>
              <w:jc w:val="center"/>
            </w:pPr>
            <w:r>
              <w:t xml:space="preserve">0.763 (0.008)</w:t>
            </w:r>
          </w:p>
        </w:tc>
      </w:tr>
      <w:tr>
        <w:tc>
          <w:tcPr/>
          <w:p>
            <w:pPr>
              <w:pStyle w:val="Compact"/>
              <w:jc w:val="left"/>
            </w:pPr>
            <w:r>
              <w:t xml:space="preserve">Both entered: larger trade share</w:t>
            </w:r>
          </w:p>
        </w:tc>
        <w:tc>
          <w:tcPr/>
          <w:p>
            <w:pPr>
              <w:pStyle w:val="Compact"/>
              <w:jc w:val="center"/>
            </w:pPr>
            <w:r>
              <w:t xml:space="preserve">0.540 (</w:t>
            </w:r>
            <m:oMath>
              <m:r>
                <m:rPr>
                  <m:sty m:val="p"/>
                </m:rPr>
                <m:t>&lt;</m:t>
              </m:r>
            </m:oMath>
            <w:r>
              <w:t xml:space="preserve">0.001)</w:t>
            </w:r>
          </w:p>
        </w:tc>
        <w:tc>
          <w:tcPr/>
          <w:p>
            <w:pPr>
              <w:pStyle w:val="Compact"/>
              <w:jc w:val="center"/>
            </w:pPr>
            <w:r>
              <w:t xml:space="preserve">0.255 (</w:t>
            </w:r>
            <m:oMath>
              <m:r>
                <m:rPr>
                  <m:sty m:val="p"/>
                </m:rPr>
                <m:t>&lt;</m:t>
              </m:r>
            </m:oMath>
            <w:r>
              <w:t xml:space="preserve">0.001)</w:t>
            </w:r>
          </w:p>
        </w:tc>
        <w:tc>
          <w:tcPr/>
          <w:p>
            <w:pPr>
              <w:pStyle w:val="Compact"/>
              <w:jc w:val="center"/>
            </w:pPr>
            <w:r>
              <w:t xml:space="preserve">0.466 (0.006)</w:t>
            </w:r>
          </w:p>
        </w:tc>
        <w:tc>
          <w:tcPr/>
          <w:p>
            <w:pPr>
              <w:pStyle w:val="Compact"/>
              <w:jc w:val="center"/>
            </w:pPr>
            <w:r>
              <w:t xml:space="preserve">0.212 (0.010)</w:t>
            </w:r>
          </w:p>
        </w:tc>
      </w:tr>
      <w:tr>
        <w:tc>
          <w:tcPr/>
          <w:p>
            <w:pPr>
              <w:pStyle w:val="Compact"/>
              <w:jc w:val="left"/>
            </w:pPr>
            <w:r>
              <w:t xml:space="preserve">Both entered: trade/GDP</w:t>
            </w:r>
          </w:p>
        </w:tc>
        <w:tc>
          <w:tcPr/>
          <w:p>
            <w:pPr>
              <w:pStyle w:val="Compact"/>
              <w:jc w:val="center"/>
            </w:pPr>
            <m:oMath>
              <m:r>
                <m:rPr>
                  <m:sty m:val="p"/>
                </m:rPr>
                <m:t>−</m:t>
              </m:r>
            </m:oMath>
            <w:r>
              <w:t xml:space="preserve">0.194 (0.60)</w:t>
            </w:r>
          </w:p>
        </w:tc>
        <w:tc>
          <w:tcPr/>
          <w:p>
            <w:pPr>
              <w:pStyle w:val="Compact"/>
              <w:jc w:val="center"/>
            </w:pPr>
            <w:r>
              <w:t xml:space="preserve">0.466 (0.092)</w:t>
            </w:r>
          </w:p>
        </w:tc>
        <w:tc>
          <w:tcPr/>
          <w:p>
            <w:pPr>
              <w:pStyle w:val="Compact"/>
              <w:jc w:val="center"/>
            </w:pPr>
            <m:oMath>
              <m:r>
                <m:rPr>
                  <m:sty m:val="p"/>
                </m:rPr>
                <m:t>−</m:t>
              </m:r>
            </m:oMath>
            <w:r>
              <w:t xml:space="preserve">0.117 (0.71)</w:t>
            </w:r>
          </w:p>
        </w:tc>
        <w:tc>
          <w:tcPr/>
          <w:p>
            <w:pPr>
              <w:pStyle w:val="Compact"/>
              <w:jc w:val="center"/>
            </w:pPr>
            <w:r>
              <w:t xml:space="preserve">0.478 (0.099)</w:t>
            </w:r>
          </w:p>
        </w:tc>
      </w:tr>
      <w:tr>
        <w:tc>
          <w:tcPr/>
          <w:p>
            <w:pPr>
              <w:pStyle w:val="Compact"/>
              <w:jc w:val="left"/>
            </w:pPr>
            <w:r>
              <w:t xml:space="preserve">Share, with log volume and log smaller GDP</w:t>
            </w:r>
          </w:p>
        </w:tc>
        <w:tc>
          <w:tcPr/>
          <w:p>
            <w:pPr>
              <w:pStyle w:val="Compact"/>
              <w:jc w:val="center"/>
            </w:pPr>
            <w:r>
              <w:t xml:space="preserve">0.543 (</w:t>
            </w:r>
            <m:oMath>
              <m:r>
                <m:rPr>
                  <m:sty m:val="p"/>
                </m:rPr>
                <m:t>&lt;</m:t>
              </m:r>
            </m:oMath>
            <w:r>
              <w:t xml:space="preserve">0.001)</w:t>
            </w:r>
          </w:p>
        </w:tc>
        <w:tc>
          <w:tcPr/>
          <w:p>
            <w:pPr>
              <w:pStyle w:val="Compact"/>
              <w:jc w:val="center"/>
            </w:pPr>
            <w:r>
              <w:t xml:space="preserve">0.270 (</w:t>
            </w:r>
            <m:oMath>
              <m:r>
                <m:rPr>
                  <m:sty m:val="p"/>
                </m:rPr>
                <m:t>&lt;</m:t>
              </m:r>
            </m:oMath>
            <w:r>
              <w:t xml:space="preserve">0.001)</w:t>
            </w:r>
          </w:p>
        </w:tc>
        <w:tc>
          <w:tcPr/>
          <w:p>
            <w:pPr>
              <w:pStyle w:val="Compact"/>
              <w:jc w:val="center"/>
            </w:pPr>
            <w:r>
              <w:t xml:space="preserve">0.476 (0.001)</w:t>
            </w:r>
          </w:p>
        </w:tc>
        <w:tc>
          <w:tcPr/>
          <w:p>
            <w:pPr>
              <w:pStyle w:val="Compact"/>
              <w:jc w:val="center"/>
            </w:pPr>
            <w:r>
              <w:t xml:space="preserve">0.216 (0.007)</w:t>
            </w:r>
          </w:p>
        </w:tc>
      </w:tr>
      <w:tr>
        <w:tc>
          <w:tcPr/>
          <w:p>
            <w:pPr>
              <w:pStyle w:val="Compact"/>
              <w:jc w:val="left"/>
            </w:pPr>
            <w:r>
              <w:t xml:space="preserve">Dyad-years</w:t>
            </w:r>
          </w:p>
        </w:tc>
        <w:tc>
          <w:tcPr/>
          <w:p>
            <w:pPr>
              <w:pStyle w:val="Compact"/>
              <w:jc w:val="center"/>
            </w:pPr>
            <w:r>
              <w:t xml:space="preserve">1,881</w:t>
            </w:r>
          </w:p>
        </w:tc>
        <w:tc>
          <w:tcPr/>
          <w:p>
            <w:pPr>
              <w:pStyle w:val="Compact"/>
              <w:jc w:val="center"/>
            </w:pPr>
            <w:r>
              <w:t xml:space="preserve">32,320</w:t>
            </w:r>
          </w:p>
        </w:tc>
        <w:tc>
          <w:tcPr/>
          <w:p>
            <w:pPr>
              <w:pStyle w:val="Compact"/>
              <w:jc w:val="center"/>
            </w:pPr>
            <w:r>
              <w:t xml:space="preserve">1,208</w:t>
            </w:r>
          </w:p>
        </w:tc>
        <w:tc>
          <w:tcPr/>
          <w:p>
            <w:pPr>
              <w:pStyle w:val="Compact"/>
              <w:jc w:val="center"/>
            </w:pPr>
            <w:r>
              <w:t xml:space="preserve">34,554</w:t>
            </w:r>
          </w:p>
        </w:tc>
      </w:tr>
      <w:tr>
        <w:tc>
          <w:tcPr/>
          <w:p>
            <w:pPr>
              <w:pStyle w:val="Compact"/>
              <w:jc w:val="left"/>
            </w:pPr>
            <w:r>
              <w:t xml:space="preserve">Sign changes</w:t>
            </w:r>
          </w:p>
        </w:tc>
        <w:tc>
          <w:tcPr/>
          <w:p>
            <w:pPr>
              <w:pStyle w:val="Compact"/>
              <w:jc w:val="center"/>
            </w:pPr>
            <w:r>
              <w:t xml:space="preserve">262</w:t>
            </w:r>
          </w:p>
        </w:tc>
        <w:tc>
          <w:tcPr/>
          <w:p>
            <w:pPr>
              <w:pStyle w:val="Compact"/>
              <w:jc w:val="center"/>
            </w:pPr>
            <w:r>
              <w:t xml:space="preserve">269</w:t>
            </w:r>
          </w:p>
        </w:tc>
        <w:tc>
          <w:tcPr/>
          <w:p>
            <w:pPr>
              <w:pStyle w:val="Compact"/>
              <w:jc w:val="center"/>
            </w:pPr>
            <w:r>
              <w:t xml:space="preserve">222</w:t>
            </w:r>
          </w:p>
        </w:tc>
        <w:tc>
          <w:tcPr/>
          <w:p>
            <w:pPr>
              <w:pStyle w:val="Compact"/>
              <w:jc w:val="center"/>
            </w:pPr>
            <w:r>
              <w:t xml:space="preserve">222</w:t>
            </w:r>
          </w:p>
        </w:tc>
      </w:tr>
    </w:tbl>
    <w:p>
      <w:pPr>
        <w:pStyle w:val="BodyText"/>
      </w:pPr>
      <w:r>
        <w:t xml:space="preserve">Logit coefficients per standard deviation (</w:t>
      </w:r>
      <m:oMath>
        <m:r>
          <m:t>p</m:t>
        </m:r>
      </m:oMath>
      <w:r>
        <w:t xml:space="preserve">-values in parentheses). Trade/GDP is the log of bilateral trade over the lower GDP, standardised within year. Scripts 54 and 55.</w:t>
      </w:r>
    </w:p>
    <w:p>
      <w:pPr>
        <w:pStyle w:val="BodyText"/>
      </w:pPr>
      <w:r>
        <w:t xml:space="preserve">For disputes, trade relative to GDP has no association with sign change in either source, while the larger share keeps its coefficient when both are entered. For alliances trade relative to GDP is associated with sign change and the larger share falls to about 0.2 but remains significant. I also interacted the larger share with whether the more exposed state has the lower GDP and with the GDP ratio. The interactions are small or unstable across the two sources and tie types (for example 0.83,</w:t>
      </w:r>
      <w:r>
        <w:t xml:space="preserve"> </w:t>
      </w:r>
      <m:oMath>
        <m:r>
          <m:t>p</m:t>
        </m:r>
        <m:r>
          <m:rPr>
            <m:sty m:val="p"/>
          </m:rPr>
          <m:t>=</m:t>
        </m:r>
        <m:r>
          <m:t>0.10</m:t>
        </m:r>
      </m:oMath>
      <w:r>
        <w:t xml:space="preserve">, for disputes with Maddison GDP and</w:t>
      </w:r>
      <w:r>
        <w:t xml:space="preserve"> </w:t>
      </w:r>
      <m:oMath>
        <m:r>
          <m:rPr>
            <m:sty m:val="p"/>
          </m:rPr>
          <m:t>−</m:t>
        </m:r>
        <m:r>
          <m:t>0.22</m:t>
        </m:r>
      </m:oMath>
      <w:r>
        <w:t xml:space="preserve">,</w:t>
      </w:r>
      <w:r>
        <w:t xml:space="preserve"> </w:t>
      </w:r>
      <m:oMath>
        <m:r>
          <m:t>p</m:t>
        </m:r>
        <m:r>
          <m:rPr>
            <m:sty m:val="p"/>
          </m:rPr>
          <m:t>=</m:t>
        </m:r>
        <m:r>
          <m:t>0.006</m:t>
        </m:r>
      </m:oMath>
      <w:r>
        <w:t xml:space="preserve">, for the GDP-ratio interaction with market-rate GDP), and I do not interpret them.</w:t>
      </w:r>
    </w:p>
    <w:p>
      <w:pPr>
        <w:pStyle w:val="Heading2"/>
      </w:pPr>
      <w:r>
        <w:t xml:space="preserve">M.2 Structural pressure as a ratio</w:t>
      </w:r>
    </w:p>
    <w:p>
      <w:pPr>
        <w:pStyle w:val="FirstParagraph"/>
      </w:pPr>
      <w:r>
        <w:t xml:space="preserve">The share of a tie’s triads that are unbalanced,</w:t>
      </w:r>
      <w:r>
        <w:t xml:space="preserve"> </w:t>
      </w:r>
      <m:oMath>
        <m:r>
          <m:t>U</m:t>
        </m:r>
        <m:r>
          <m:rPr>
            <m:sty m:val="p"/>
          </m:rPr>
          <m:t>/</m:t>
        </m:r>
        <m:r>
          <m:rPr>
            <m:sty m:val="p"/>
          </m:rPr>
          <m:t>(</m:t>
        </m:r>
        <m:r>
          <m:t>U</m:t>
        </m:r>
        <m:r>
          <m:rPr>
            <m:sty m:val="p"/>
          </m:rPr>
          <m:t>+</m:t>
        </m:r>
        <m:r>
          <m:t>B</m:t>
        </m:r>
        <m:r>
          <m:rPr>
            <m:sty m:val="p"/>
          </m:rPr>
          <m:t>)</m:t>
        </m:r>
      </m:oMath>
      <w:r>
        <w:t xml:space="preserve">, is undefined for dyads in no triad and forces the two kinds of pressure to have equal and opposite effects. Among tie-years in at least one triad, the model with</w:t>
      </w:r>
      <w:r>
        <w:t xml:space="preserve"> </w:t>
      </w:r>
      <m:oMath>
        <m:r>
          <m:rPr>
            <m:sty m:val="p"/>
          </m:rPr>
          <m:t>log</m:t>
        </m:r>
        <m:r>
          <m:rPr>
            <m:sty m:val="p"/>
          </m:rPr>
          <m:t>(</m:t>
        </m:r>
        <m:r>
          <m:t>1</m:t>
        </m:r>
        <m:r>
          <m:rPr>
            <m:sty m:val="p"/>
          </m:rPr>
          <m:t>+</m:t>
        </m:r>
        <m:r>
          <m:t>U</m:t>
        </m:r>
        <m:r>
          <m:rPr>
            <m:sty m:val="p"/>
          </m:rPr>
          <m:t>)</m:t>
        </m:r>
      </m:oMath>
      <w:r>
        <w:t xml:space="preserve"> </w:t>
      </w:r>
      <w:r>
        <w:t xml:space="preserve">and</w:t>
      </w:r>
      <w:r>
        <w:t xml:space="preserve"> </w:t>
      </w:r>
      <m:oMath>
        <m:r>
          <m:rPr>
            <m:sty m:val="p"/>
          </m:rPr>
          <m:t>log</m:t>
        </m:r>
        <m:r>
          <m:rPr>
            <m:sty m:val="p"/>
          </m:rPr>
          <m:t>(</m:t>
        </m:r>
        <m:r>
          <m:t>1</m:t>
        </m:r>
        <m:r>
          <m:rPr>
            <m:sty m:val="p"/>
          </m:rPr>
          <m:t>+</m:t>
        </m:r>
        <m:r>
          <m:t>B</m:t>
        </m:r>
        <m:r>
          <m:rPr>
            <m:sty m:val="p"/>
          </m:rPr>
          <m:t>)</m:t>
        </m:r>
      </m:oMath>
      <w:r>
        <w:t xml:space="preserve"> </w:t>
      </w:r>
      <w:r>
        <w:t xml:space="preserve">separately has a lower AIC than the share model, by 261 for disputes (889.0 against 1,149.9) and by 23 for alliances (3,334.1 against 3,357.4). Adding the log total number of triads to the share model narrows the gap for disputes (900.1) but not enough, and the net difference</w:t>
      </w:r>
      <w:r>
        <w:t xml:space="preserve"> </w:t>
      </w:r>
      <m:oMath>
        <m:r>
          <m:t>U</m:t>
        </m:r>
        <m:r>
          <m:rPr>
            <m:sty m:val="p"/>
          </m:rPr>
          <m:t>−</m:t>
        </m:r>
        <m:r>
          <m:t>B</m:t>
        </m:r>
      </m:oMath>
      <w:r>
        <w:t xml:space="preserve"> </w:t>
      </w:r>
      <w:r>
        <w:t xml:space="preserve">fits worse than the separate counts (1,071.6 and 3,359.6). The larger share keeps a coefficient of 0.31 to 0.35 in every version. Script 53.</w:t>
      </w:r>
    </w:p>
    <w:p>
      <w:pPr>
        <w:pStyle w:val="Heading1"/>
      </w:pPr>
      <w:r>
        <w:t xml:space="preserve">Appendix N: Alliance Treaty Obligations and Provisions (ATOP) as the alliance source (Appendix Q)</w:t>
      </w:r>
    </w:p>
    <w:p>
      <w:pPr>
        <w:pStyle w:val="FirstParagraph"/>
      </w:pPr>
      <w:r>
        <w:t xml:space="preserve">I rebuild the signed network with alliances from ATOP version 5.1 (dyad-year file, 1815–2018, restricted to years up to 2012; Leeds et al. 2002; Leeds 2022) in place of Correlates of War defence pacts, keeping the dispute threshold (hostility level 3 or higher), the trade and capability data, and the model unchanged. Two definitions are used: ATOP alliances with a defence or offence pledge (the counterpart of the defence-pact definition), and any ATOP alliance (which includes neutrality, non-aggression, and consultation pledges). ATOP identifies 631 dispute-years with a defence or offence alliance in force, against 612 with Correlates of War defence pacts, and 1,132 with any ATOP alliance.</w:t>
      </w:r>
    </w:p>
    <w:p>
      <w:pPr>
        <w:pStyle w:val="TableCaption"/>
      </w:pPr>
      <w:r>
        <w:t xml:space="preserve">The larger share and sign change with ATOP alliances</w:t>
      </w:r>
    </w:p>
    <w:tbl>
      <w:tblPr>
        <w:tblLayout w:type="autofit"/>
        <w:tblStyle w:val="Table"/>
        <w:tblW w:type="pct" w:w="5000"/>
        <w:tblLook w:firstRow="1" w:lastRow="0" w:firstColumn="0" w:lastColumn="0" w:noHBand="0" w:noVBand="0" w:val="0020"/>
        <w:tblCaption w:val="The larger share and sign change with ATOP alliances"/>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Disputes</w:t>
            </w:r>
          </w:p>
        </w:tc>
        <w:tc>
          <w:tcPr>
            <w:gridSpan w:val="2"/>
          </w:tcPr>
          <w:p>
            <w:pPr>
              <w:pStyle w:val="Compact"/>
              <w:jc w:val="center"/>
            </w:pPr>
            <w:r>
              <w:t xml:space="preserve">Alliances</w:t>
            </w:r>
          </w:p>
        </w:tc>
      </w:tr>
      <w:tr>
        <w:tc>
          <w:tcPr/>
          <w:p>
            <w:pPr>
              <w:pStyle w:val="Compact"/>
              <w:jc w:val="left"/>
            </w:pPr>
            <w:r>
              <w:t xml:space="preserve">2-3</w:t>
            </w:r>
            <w:r>
              <w:t xml:space="preserve">(lr)</w:t>
            </w:r>
            <w:r>
              <w:t xml:space="preserve">4-5</w:t>
            </w:r>
            <w:r>
              <w:t xml:space="preserve"> </w:t>
            </w:r>
            <w:r>
              <w:t xml:space="preserve">Alliance definition</w:t>
            </w:r>
          </w:p>
        </w:tc>
        <w:tc>
          <w:tcPr/>
          <w:p>
            <w:pPr>
              <w:pStyle w:val="Compact"/>
              <w:jc w:val="center"/>
            </w:pPr>
            <m:oMath>
              <m:r>
                <m:t>b</m:t>
              </m:r>
            </m:oMath>
            <w:r>
              <w:t xml:space="preserve"> </w:t>
            </w:r>
            <w:r>
              <w:t xml:space="preserve">(SE)</w:t>
            </w:r>
          </w:p>
        </w:tc>
        <w:tc>
          <w:tcPr/>
          <w:p>
            <w:pPr>
              <w:pStyle w:val="Compact"/>
              <w:jc w:val="center"/>
            </w:pPr>
            <w:r>
              <w:t xml:space="preserve">Sign changes</w:t>
            </w:r>
          </w:p>
        </w:tc>
        <w:tc>
          <w:tcPr/>
          <w:p>
            <w:pPr>
              <w:pStyle w:val="Compact"/>
              <w:jc w:val="center"/>
            </w:pPr>
            <m:oMath>
              <m:r>
                <m:t>b</m:t>
              </m:r>
            </m:oMath>
            <w:r>
              <w:t xml:space="preserve"> </w:t>
            </w:r>
            <w:r>
              <w:t xml:space="preserve">(SE)</w:t>
            </w:r>
          </w:p>
        </w:tc>
        <w:tc>
          <w:tcPr/>
          <w:p>
            <w:pPr>
              <w:pStyle w:val="Compact"/>
              <w:jc w:val="center"/>
            </w:pPr>
            <w:r>
              <w:t xml:space="preserve">Sign changes</w:t>
            </w:r>
          </w:p>
        </w:tc>
      </w:tr>
      <w:tr>
        <w:tc>
          <w:tcPr/>
          <w:p>
            <w:pPr>
              <w:pStyle w:val="Compact"/>
              <w:jc w:val="left"/>
            </w:pPr>
            <w:r>
              <w:t xml:space="preserve">Correlates of War defence pacts (main text)</w:t>
            </w:r>
          </w:p>
        </w:tc>
        <w:tc>
          <w:tcPr/>
          <w:p>
            <w:pPr>
              <w:pStyle w:val="Compact"/>
              <w:jc w:val="center"/>
            </w:pPr>
            <w:r>
              <w:t xml:space="preserve">0.405 (0.118)</w:t>
            </w:r>
          </w:p>
        </w:tc>
        <w:tc>
          <w:tcPr/>
          <w:p>
            <w:pPr>
              <w:pStyle w:val="Compact"/>
              <w:jc w:val="center"/>
            </w:pPr>
            <w:r>
              <w:t xml:space="preserve">317</w:t>
            </w:r>
          </w:p>
        </w:tc>
        <w:tc>
          <w:tcPr/>
          <w:p>
            <w:pPr>
              <w:pStyle w:val="Compact"/>
              <w:jc w:val="center"/>
            </w:pPr>
            <w:r>
              <w:t xml:space="preserve">0.347 (0.056)</w:t>
            </w:r>
          </w:p>
        </w:tc>
        <w:tc>
          <w:tcPr/>
          <w:p>
            <w:pPr>
              <w:pStyle w:val="Compact"/>
              <w:jc w:val="center"/>
            </w:pPr>
            <w:r>
              <w:t xml:space="preserve">330</w:t>
            </w:r>
          </w:p>
        </w:tc>
      </w:tr>
      <w:tr>
        <w:tc>
          <w:tcPr/>
          <w:p>
            <w:pPr>
              <w:pStyle w:val="Compact"/>
              <w:jc w:val="left"/>
            </w:pPr>
            <w:r>
              <w:t xml:space="preserve">ATOP, defence or offence pledge</w:t>
            </w:r>
          </w:p>
        </w:tc>
        <w:tc>
          <w:tcPr/>
          <w:p>
            <w:pPr>
              <w:pStyle w:val="Compact"/>
              <w:jc w:val="center"/>
            </w:pPr>
            <w:r>
              <w:t xml:space="preserve">0.396 (0.117)</w:t>
            </w:r>
          </w:p>
        </w:tc>
        <w:tc>
          <w:tcPr/>
          <w:p>
            <w:pPr>
              <w:pStyle w:val="Compact"/>
              <w:jc w:val="center"/>
            </w:pPr>
            <w:r>
              <w:t xml:space="preserve">318</w:t>
            </w:r>
          </w:p>
        </w:tc>
        <w:tc>
          <w:tcPr/>
          <w:p>
            <w:pPr>
              <w:pStyle w:val="Compact"/>
              <w:jc w:val="center"/>
            </w:pPr>
            <w:r>
              <w:t xml:space="preserve">0.346 (0.060)</w:t>
            </w:r>
          </w:p>
        </w:tc>
        <w:tc>
          <w:tcPr/>
          <w:p>
            <w:pPr>
              <w:pStyle w:val="Compact"/>
              <w:jc w:val="center"/>
            </w:pPr>
            <w:r>
              <w:t xml:space="preserve">338</w:t>
            </w:r>
          </w:p>
        </w:tc>
      </w:tr>
      <w:tr>
        <w:tc>
          <w:tcPr/>
          <w:p>
            <w:pPr>
              <w:pStyle w:val="Compact"/>
              <w:jc w:val="left"/>
            </w:pPr>
            <w:r>
              <w:t xml:space="preserve">ATOP, any alliance</w:t>
            </w:r>
          </w:p>
        </w:tc>
        <w:tc>
          <w:tcPr/>
          <w:p>
            <w:pPr>
              <w:pStyle w:val="Compact"/>
              <w:jc w:val="center"/>
            </w:pPr>
            <w:r>
              <w:t xml:space="preserve">0.231 (0.074)</w:t>
            </w:r>
          </w:p>
        </w:tc>
        <w:tc>
          <w:tcPr/>
          <w:p>
            <w:pPr>
              <w:pStyle w:val="Compact"/>
              <w:jc w:val="center"/>
            </w:pPr>
            <w:r>
              <w:t xml:space="preserve">538</w:t>
            </w:r>
          </w:p>
        </w:tc>
        <w:tc>
          <w:tcPr/>
          <w:p>
            <w:pPr>
              <w:pStyle w:val="Compact"/>
              <w:jc w:val="center"/>
            </w:pPr>
            <w:r>
              <w:t xml:space="preserve">0.264 (0.044)</w:t>
            </w:r>
          </w:p>
        </w:tc>
        <w:tc>
          <w:tcPr/>
          <w:p>
            <w:pPr>
              <w:pStyle w:val="Compact"/>
              <w:jc w:val="center"/>
            </w:pPr>
            <w:r>
              <w:t xml:space="preserve">581</w:t>
            </w:r>
          </w:p>
        </w:tc>
      </w:tr>
      <w:tr>
        <w:tc>
          <w:tcPr/>
          <w:p>
            <w:pPr>
              <w:pStyle w:val="Compact"/>
              <w:jc w:val="left"/>
            </w:pPr>
            <w:r>
              <w:t xml:space="preserve">Correlates of War, all four treaty types</w:t>
            </w:r>
          </w:p>
        </w:tc>
        <w:tc>
          <w:tcPr/>
          <w:p>
            <w:pPr>
              <w:pStyle w:val="Compact"/>
              <w:jc w:val="center"/>
            </w:pPr>
            <w:r>
              <w:t xml:space="preserve">0.315 (0.090)</w:t>
            </w:r>
          </w:p>
        </w:tc>
        <w:tc>
          <w:tcPr/>
          <w:p>
            <w:pPr>
              <w:pStyle w:val="Compact"/>
              <w:jc w:val="center"/>
            </w:pPr>
            <w:r>
              <w:t xml:space="preserve">401</w:t>
            </w:r>
          </w:p>
        </w:tc>
        <w:tc>
          <w:tcPr/>
          <w:p>
            <w:pPr>
              <w:pStyle w:val="Compact"/>
              <w:jc w:val="center"/>
            </w:pPr>
            <w:r>
              <w:t xml:space="preserve">0.317 (0.049)</w:t>
            </w:r>
          </w:p>
        </w:tc>
        <w:tc>
          <w:tcPr/>
          <w:p>
            <w:pPr>
              <w:pStyle w:val="Compact"/>
              <w:jc w:val="center"/>
            </w:pPr>
            <w:r>
              <w:t xml:space="preserve">428</w:t>
            </w:r>
          </w:p>
        </w:tc>
      </w:tr>
    </w:tbl>
    <w:p>
      <w:pPr>
        <w:pStyle w:val="BodyText"/>
      </w:pPr>
      <w:r>
        <w:t xml:space="preserve">Logit coefficients per standard deviation of the larger share, with the smaller share, capability asymmetry, duration, and both pressure counts, standard errors clustered by dyad. All coefficients have</w:t>
      </w:r>
      <w:r>
        <w:t xml:space="preserve"> </w:t>
      </w:r>
      <m:oMath>
        <m:r>
          <m:t>p</m:t>
        </m:r>
        <m:r>
          <m:rPr>
            <m:sty m:val="p"/>
          </m:rPr>
          <m:t>&lt;</m:t>
        </m:r>
        <m:r>
          <m:t>0.01</m:t>
        </m:r>
      </m:oMath>
      <w:r>
        <w:t xml:space="preserve">. Script 61 and the four-type run.</w:t>
      </w:r>
    </w:p>
    <w:p>
      <w:pPr>
        <w:pStyle w:val="BodyText"/>
      </w:pPr>
      <w:r>
        <w:t xml:space="preserve">The coefficient is positive and significant for disputes and alliances under every definition. The alliance-type results in Appendix Q use the ATOP coding of bilateral alliances and of provisions on conflict among members, restricted to alliances with a defence or offence pledge.</w:t>
      </w:r>
    </w:p>
    <w:p>
      <w:pPr>
        <w:pStyle w:val="Heading1"/>
      </w:pPr>
      <w:r>
        <w:t xml:space="preserve">Appendix O: Signed-network models (Section 5)</w:t>
      </w:r>
    </w:p>
    <w:p>
      <w:pPr>
        <w:pStyle w:val="FirstParagraph"/>
      </w:pPr>
      <w:r>
        <w:t xml:space="preserve">This appendix collects the signed-network analyses that the main text summarises: the four-outcome models, the nested comparison of exposure and network structure, dispute endings by alliance status, the comparison of dispute onset with alliance ending, and the robustness checks. Alliances are defence pacts.</w:t>
      </w:r>
    </w:p>
    <w:p>
      <w:pPr>
        <w:pStyle w:val="Heading2"/>
      </w:pPr>
      <w:r>
        <w:t xml:space="preserve">O.1 Exposure and network structure in the signed network</w:t>
      </w:r>
    </w:p>
    <w:p>
      <w:pPr>
        <w:pStyle w:val="TableCaption"/>
      </w:pPr>
      <w:r>
        <w:t xml:space="preserve">Table 42. Trade exposure and the hazard of sign change or ending, by tie type</w:t>
      </w:r>
    </w:p>
    <w:tbl>
      <w:tblPr>
        <w:tblLayout w:type="autofit"/>
        <w:tblStyle w:val="Table"/>
        <w:tblW w:type="pct" w:w="5000"/>
        <w:tblLook w:firstRow="1" w:lastRow="0" w:firstColumn="0" w:lastColumn="0" w:noHBand="0" w:noVBand="0" w:val="0020"/>
        <w:tblCaption w:val="Table 42. Trade exposure and the hazard of sign change or ending, by tie type"/>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Disputes</w:t>
            </w:r>
          </w:p>
        </w:tc>
        <w:tc>
          <w:tcPr>
            <w:gridSpan w:val="2"/>
          </w:tcPr>
          <w:p>
            <w:pPr>
              <w:pStyle w:val="Compact"/>
              <w:jc w:val="center"/>
            </w:pPr>
            <w:r>
              <w:t xml:space="preserve">Alliances</w:t>
            </w:r>
          </w:p>
        </w:tc>
      </w:tr>
      <w:tr>
        <w:tc>
          <w:tcPr/>
          <w:p>
            <w:pPr>
              <w:pStyle w:val="Compact"/>
              <w:jc w:val="left"/>
            </w:pPr>
            <w:r>
              <w:t xml:space="preserve">2-3</w:t>
            </w:r>
            <w:r>
              <w:t xml:space="preserve">(lr)</w:t>
            </w:r>
            <w:r>
              <w:t xml:space="preserve">4-5</w:t>
            </w:r>
          </w:p>
        </w:tc>
        <w:tc>
          <w:tcPr/>
          <w:p>
            <w:pPr>
              <w:pStyle w:val="Compact"/>
              <w:jc w:val="center"/>
            </w:pPr>
            <w:r>
              <w:t xml:space="preserve">Sign change</w:t>
            </w:r>
          </w:p>
        </w:tc>
        <w:tc>
          <w:tcPr/>
          <w:p>
            <w:pPr>
              <w:pStyle w:val="Compact"/>
              <w:jc w:val="center"/>
            </w:pPr>
            <w:r>
              <w:t xml:space="preserve">Ends</w:t>
            </w:r>
          </w:p>
        </w:tc>
        <w:tc>
          <w:tcPr/>
          <w:p>
            <w:pPr>
              <w:pStyle w:val="Compact"/>
              <w:jc w:val="center"/>
            </w:pPr>
            <w:r>
              <w:t xml:space="preserve">Sign change</w:t>
            </w:r>
          </w:p>
        </w:tc>
        <w:tc>
          <w:tcPr/>
          <w:p>
            <w:pPr>
              <w:pStyle w:val="Compact"/>
              <w:jc w:val="center"/>
            </w:pPr>
            <w:r>
              <w:t xml:space="preserve">Ends</w:t>
            </w:r>
          </w:p>
        </w:tc>
      </w:tr>
      <w:tr>
        <w:tc>
          <w:tcPr/>
          <w:p>
            <w:pPr>
              <w:pStyle w:val="Compact"/>
              <w:jc w:val="left"/>
            </w:pPr>
            <w:r>
              <w:t xml:space="preserve">Larger share (more exposed state)</w:t>
            </w:r>
          </w:p>
        </w:tc>
        <w:tc>
          <w:tcPr/>
          <w:p>
            <w:pPr>
              <w:pStyle w:val="Compact"/>
              <w:jc w:val="center"/>
            </w:pPr>
            <w:r>
              <w:t xml:space="preserve">0.405</w:t>
            </w:r>
          </w:p>
        </w:tc>
        <w:tc>
          <w:tcPr/>
          <w:p>
            <w:pPr>
              <w:pStyle w:val="Compact"/>
              <w:jc w:val="center"/>
            </w:pPr>
            <m:oMath>
              <m:r>
                <m:rPr>
                  <m:sty m:val="p"/>
                </m:rPr>
                <m:t>−</m:t>
              </m:r>
            </m:oMath>
            <w:r>
              <w:t xml:space="preserve">0.073</w:t>
            </w:r>
          </w:p>
        </w:tc>
        <w:tc>
          <w:tcPr/>
          <w:p>
            <w:pPr>
              <w:pStyle w:val="Compact"/>
              <w:jc w:val="center"/>
            </w:pPr>
            <w:r>
              <w:t xml:space="preserve">0.347</w:t>
            </w:r>
          </w:p>
        </w:tc>
        <w:tc>
          <w:tcPr/>
          <w:p>
            <w:pPr>
              <w:pStyle w:val="Compact"/>
              <w:jc w:val="center"/>
            </w:pPr>
            <m:oMath>
              <m:r>
                <m:rPr>
                  <m:sty m:val="p"/>
                </m:rPr>
                <m:t>−</m:t>
              </m:r>
            </m:oMath>
            <w:r>
              <w:t xml:space="preserve">0.325</w:t>
            </w:r>
          </w:p>
        </w:tc>
      </w:tr>
      <w:tr>
        <w:tc>
          <w:tcPr/>
          <w:p>
            <w:pPr>
              <w:pStyle w:val="Compact"/>
            </w:pPr>
          </w:p>
        </w:tc>
        <w:tc>
          <w:tcPr/>
          <w:p>
            <w:pPr>
              <w:pStyle w:val="Compact"/>
              <w:jc w:val="center"/>
            </w:pPr>
            <w:r>
              <w:t xml:space="preserve">(0.118)</w:t>
            </w:r>
          </w:p>
        </w:tc>
        <w:tc>
          <w:tcPr/>
          <w:p>
            <w:pPr>
              <w:pStyle w:val="Compact"/>
              <w:jc w:val="center"/>
            </w:pPr>
            <w:r>
              <w:t xml:space="preserve">(0.057)</w:t>
            </w:r>
          </w:p>
        </w:tc>
        <w:tc>
          <w:tcPr/>
          <w:p>
            <w:pPr>
              <w:pStyle w:val="Compact"/>
              <w:jc w:val="center"/>
            </w:pPr>
            <w:r>
              <w:t xml:space="preserve">(0.056)</w:t>
            </w:r>
          </w:p>
        </w:tc>
        <w:tc>
          <w:tcPr/>
          <w:p>
            <w:pPr>
              <w:pStyle w:val="Compact"/>
              <w:jc w:val="center"/>
            </w:pPr>
            <w:r>
              <w:t xml:space="preserve">(0.127)</w:t>
            </w:r>
          </w:p>
        </w:tc>
      </w:tr>
      <w:tr>
        <w:tc>
          <w:tcPr/>
          <w:p>
            <w:pPr>
              <w:pStyle w:val="Compact"/>
              <w:jc w:val="left"/>
            </w:pPr>
            <w:r>
              <w:t xml:space="preserve">Smaller share (less exposed state)</w:t>
            </w:r>
          </w:p>
        </w:tc>
        <w:tc>
          <w:tcPr/>
          <w:p>
            <w:pPr>
              <w:pStyle w:val="Compact"/>
              <w:jc w:val="center"/>
            </w:pPr>
            <m:oMath>
              <m:r>
                <m:rPr>
                  <m:sty m:val="p"/>
                </m:rPr>
                <m:t>−</m:t>
              </m:r>
            </m:oMath>
            <w:r>
              <w:t xml:space="preserve">0.032</w:t>
            </w:r>
          </w:p>
        </w:tc>
        <w:tc>
          <w:tcPr/>
          <w:p>
            <w:pPr>
              <w:pStyle w:val="Compact"/>
              <w:jc w:val="center"/>
            </w:pPr>
            <w:r>
              <w:t xml:space="preserve">0.053</w:t>
            </w:r>
          </w:p>
        </w:tc>
        <w:tc>
          <w:tcPr/>
          <w:p>
            <w:pPr>
              <w:pStyle w:val="Compact"/>
              <w:jc w:val="center"/>
            </w:pPr>
            <w:r>
              <w:t xml:space="preserve">0.030</w:t>
            </w:r>
          </w:p>
        </w:tc>
        <w:tc>
          <w:tcPr/>
          <w:p>
            <w:pPr>
              <w:pStyle w:val="Compact"/>
              <w:jc w:val="center"/>
            </w:pPr>
            <w:r>
              <w:t xml:space="preserve">0.047</w:t>
            </w:r>
          </w:p>
        </w:tc>
      </w:tr>
      <w:tr>
        <w:tc>
          <w:tcPr/>
          <w:p>
            <w:pPr>
              <w:pStyle w:val="Compact"/>
            </w:pPr>
          </w:p>
        </w:tc>
        <w:tc>
          <w:tcPr/>
          <w:p>
            <w:pPr>
              <w:pStyle w:val="Compact"/>
              <w:jc w:val="center"/>
            </w:pPr>
            <w:r>
              <w:t xml:space="preserve">(0.112)</w:t>
            </w:r>
          </w:p>
        </w:tc>
        <w:tc>
          <w:tcPr/>
          <w:p>
            <w:pPr>
              <w:pStyle w:val="Compact"/>
              <w:jc w:val="center"/>
            </w:pPr>
            <w:r>
              <w:t xml:space="preserve">(0.062)</w:t>
            </w:r>
          </w:p>
        </w:tc>
        <w:tc>
          <w:tcPr/>
          <w:p>
            <w:pPr>
              <w:pStyle w:val="Compact"/>
              <w:jc w:val="center"/>
            </w:pPr>
            <w:r>
              <w:t xml:space="preserve">(0.037)</w:t>
            </w:r>
          </w:p>
        </w:tc>
        <w:tc>
          <w:tcPr/>
          <w:p>
            <w:pPr>
              <w:pStyle w:val="Compact"/>
              <w:jc w:val="center"/>
            </w:pPr>
            <w:r>
              <w:t xml:space="preserve">(0.073)</w:t>
            </w:r>
          </w:p>
        </w:tc>
      </w:tr>
      <w:tr>
        <w:tc>
          <w:tcPr/>
          <w:p>
            <w:pPr>
              <w:pStyle w:val="Compact"/>
              <w:jc w:val="left"/>
            </w:pPr>
            <w:r>
              <w:t xml:space="preserve">Unbalanced triads,</w:t>
            </w:r>
            <w:r>
              <w:t xml:space="preserve"> </w:t>
            </w:r>
            <m:oMath>
              <m:r>
                <m:rPr>
                  <m:sty m:val="p"/>
                </m:rPr>
                <m:t>log</m:t>
              </m:r>
              <m:r>
                <m:rPr>
                  <m:sty m:val="p"/>
                </m:rPr>
                <m:t>(</m:t>
              </m:r>
              <m:r>
                <m:t>1</m:t>
              </m:r>
              <m:r>
                <m:rPr>
                  <m:sty m:val="p"/>
                </m:rPr>
                <m:t>+</m:t>
              </m:r>
              <m:r>
                <m:t>U</m:t>
              </m:r>
              <m:r>
                <m:rPr>
                  <m:sty m:val="p"/>
                </m:rPr>
                <m:t>)</m:t>
              </m:r>
            </m:oMath>
          </w:p>
        </w:tc>
        <w:tc>
          <w:tcPr/>
          <w:p>
            <w:pPr>
              <w:pStyle w:val="Compact"/>
              <w:jc w:val="center"/>
            </w:pPr>
            <w:r>
              <w:t xml:space="preserve">1.583</w:t>
            </w:r>
          </w:p>
        </w:tc>
        <w:tc>
          <w:tcPr/>
          <w:p>
            <w:pPr>
              <w:pStyle w:val="Compact"/>
              <w:jc w:val="center"/>
            </w:pPr>
            <m:oMath>
              <m:r>
                <m:rPr>
                  <m:sty m:val="p"/>
                </m:rPr>
                <m:t>−</m:t>
              </m:r>
            </m:oMath>
            <w:r>
              <w:t xml:space="preserve">1.175</w:t>
            </w:r>
          </w:p>
        </w:tc>
        <w:tc>
          <w:tcPr/>
          <w:p>
            <w:pPr>
              <w:pStyle w:val="Compact"/>
              <w:jc w:val="center"/>
            </w:pPr>
            <w:r>
              <w:t xml:space="preserve">0.691</w:t>
            </w:r>
          </w:p>
        </w:tc>
        <w:tc>
          <w:tcPr/>
          <w:p>
            <w:pPr>
              <w:pStyle w:val="Compact"/>
              <w:jc w:val="center"/>
            </w:pPr>
            <w:r>
              <w:t xml:space="preserve">0.763</w:t>
            </w:r>
          </w:p>
        </w:tc>
      </w:tr>
      <w:tr>
        <w:tc>
          <w:tcPr/>
          <w:p>
            <w:pPr>
              <w:pStyle w:val="Compact"/>
            </w:pPr>
          </w:p>
        </w:tc>
        <w:tc>
          <w:tcPr/>
          <w:p>
            <w:pPr>
              <w:pStyle w:val="Compact"/>
              <w:jc w:val="center"/>
            </w:pPr>
            <w:r>
              <w:t xml:space="preserve">(0.090)</w:t>
            </w:r>
          </w:p>
        </w:tc>
        <w:tc>
          <w:tcPr/>
          <w:p>
            <w:pPr>
              <w:pStyle w:val="Compact"/>
              <w:jc w:val="center"/>
            </w:pPr>
            <w:r>
              <w:t xml:space="preserve">(0.070)</w:t>
            </w:r>
          </w:p>
        </w:tc>
        <w:tc>
          <w:tcPr/>
          <w:p>
            <w:pPr>
              <w:pStyle w:val="Compact"/>
              <w:jc w:val="center"/>
            </w:pPr>
            <w:r>
              <w:t xml:space="preserve">(0.141)</w:t>
            </w:r>
          </w:p>
        </w:tc>
        <w:tc>
          <w:tcPr/>
          <w:p>
            <w:pPr>
              <w:pStyle w:val="Compact"/>
              <w:jc w:val="center"/>
            </w:pPr>
            <w:r>
              <w:t xml:space="preserve">(0.153)</w:t>
            </w:r>
          </w:p>
        </w:tc>
      </w:tr>
      <w:tr>
        <w:tc>
          <w:tcPr/>
          <w:p>
            <w:pPr>
              <w:pStyle w:val="Compact"/>
              <w:jc w:val="left"/>
            </w:pPr>
            <w:r>
              <w:t xml:space="preserve">Balanced triads,</w:t>
            </w:r>
            <w:r>
              <w:t xml:space="preserve"> </w:t>
            </w:r>
            <m:oMath>
              <m:r>
                <m:rPr>
                  <m:sty m:val="p"/>
                </m:rPr>
                <m:t>log</m:t>
              </m:r>
              <m:r>
                <m:rPr>
                  <m:sty m:val="p"/>
                </m:rPr>
                <m:t>(</m:t>
              </m:r>
              <m:r>
                <m:t>1</m:t>
              </m:r>
              <m:r>
                <m:rPr>
                  <m:sty m:val="p"/>
                </m:rPr>
                <m:t>+</m:t>
              </m:r>
              <m:r>
                <m:t>B</m:t>
              </m:r>
              <m:r>
                <m:rPr>
                  <m:sty m:val="p"/>
                </m:rPr>
                <m:t>)</m:t>
              </m:r>
            </m:oMath>
          </w:p>
        </w:tc>
        <w:tc>
          <w:tcPr/>
          <w:p>
            <w:pPr>
              <w:pStyle w:val="Compact"/>
              <w:jc w:val="center"/>
            </w:pPr>
            <w:r>
              <w:t xml:space="preserve">0.209</w:t>
            </w:r>
          </w:p>
        </w:tc>
        <w:tc>
          <w:tcPr/>
          <w:p>
            <w:pPr>
              <w:pStyle w:val="Compact"/>
              <w:jc w:val="center"/>
            </w:pPr>
            <m:oMath>
              <m:r>
                <m:rPr>
                  <m:sty m:val="p"/>
                </m:rPr>
                <m:t>−</m:t>
              </m:r>
            </m:oMath>
            <w:r>
              <w:t xml:space="preserve">0.084</w:t>
            </w:r>
          </w:p>
        </w:tc>
        <w:tc>
          <w:tcPr/>
          <w:p>
            <w:pPr>
              <w:pStyle w:val="Compact"/>
              <w:jc w:val="center"/>
            </w:pPr>
            <m:oMath>
              <m:r>
                <m:rPr>
                  <m:sty m:val="p"/>
                </m:rPr>
                <m:t>−</m:t>
              </m:r>
            </m:oMath>
            <w:r>
              <w:t xml:space="preserve">0.320</w:t>
            </w:r>
          </w:p>
        </w:tc>
        <w:tc>
          <w:tcPr/>
          <w:p>
            <w:pPr>
              <w:pStyle w:val="Compact"/>
              <w:jc w:val="center"/>
            </w:pPr>
            <m:oMath>
              <m:r>
                <m:rPr>
                  <m:sty m:val="p"/>
                </m:rPr>
                <m:t>−</m:t>
              </m:r>
            </m:oMath>
            <w:r>
              <w:t xml:space="preserve">1.129</w:t>
            </w:r>
          </w:p>
        </w:tc>
      </w:tr>
      <w:tr>
        <w:tc>
          <w:tcPr/>
          <w:p>
            <w:pPr>
              <w:pStyle w:val="Compact"/>
            </w:pPr>
          </w:p>
        </w:tc>
        <w:tc>
          <w:tcPr/>
          <w:p>
            <w:pPr>
              <w:pStyle w:val="Compact"/>
              <w:jc w:val="center"/>
            </w:pPr>
            <w:r>
              <w:t xml:space="preserve">(0.125)</w:t>
            </w:r>
          </w:p>
        </w:tc>
        <w:tc>
          <w:tcPr/>
          <w:p>
            <w:pPr>
              <w:pStyle w:val="Compact"/>
              <w:jc w:val="center"/>
            </w:pPr>
            <w:r>
              <w:t xml:space="preserve">(0.064)</w:t>
            </w:r>
          </w:p>
        </w:tc>
        <w:tc>
          <w:tcPr/>
          <w:p>
            <w:pPr>
              <w:pStyle w:val="Compact"/>
              <w:jc w:val="center"/>
            </w:pPr>
            <w:r>
              <w:t xml:space="preserve">(0.103)</w:t>
            </w:r>
          </w:p>
        </w:tc>
        <w:tc>
          <w:tcPr/>
          <w:p>
            <w:pPr>
              <w:pStyle w:val="Compact"/>
              <w:jc w:val="center"/>
            </w:pPr>
            <w:r>
              <w:t xml:space="preserve">(0.065)</w:t>
            </w:r>
          </w:p>
        </w:tc>
      </w:tr>
      <w:tr>
        <w:tc>
          <w:tcPr/>
          <w:p>
            <w:pPr>
              <w:pStyle w:val="Compact"/>
              <w:jc w:val="left"/>
            </w:pPr>
            <w:r>
              <w:t xml:space="preserve">Capability asymmetry</w:t>
            </w:r>
          </w:p>
        </w:tc>
        <w:tc>
          <w:tcPr/>
          <w:p>
            <w:pPr>
              <w:pStyle w:val="Compact"/>
              <w:jc w:val="center"/>
            </w:pPr>
            <m:oMath>
              <m:r>
                <m:rPr>
                  <m:sty m:val="p"/>
                </m:rPr>
                <m:t>−</m:t>
              </m:r>
            </m:oMath>
            <w:r>
              <w:t xml:space="preserve">0.272</w:t>
            </w:r>
          </w:p>
        </w:tc>
        <w:tc>
          <w:tcPr/>
          <w:p>
            <w:pPr>
              <w:pStyle w:val="Compact"/>
              <w:jc w:val="center"/>
            </w:pPr>
            <w:r>
              <w:t xml:space="preserve">0.120</w:t>
            </w:r>
          </w:p>
        </w:tc>
        <w:tc>
          <w:tcPr/>
          <w:p>
            <w:pPr>
              <w:pStyle w:val="Compact"/>
              <w:jc w:val="center"/>
            </w:pPr>
            <m:oMath>
              <m:r>
                <m:rPr>
                  <m:sty m:val="p"/>
                </m:rPr>
                <m:t>−</m:t>
              </m:r>
            </m:oMath>
            <w:r>
              <w:t xml:space="preserve">0.488</w:t>
            </w:r>
          </w:p>
        </w:tc>
        <w:tc>
          <w:tcPr/>
          <w:p>
            <w:pPr>
              <w:pStyle w:val="Compact"/>
              <w:jc w:val="center"/>
            </w:pPr>
            <m:oMath>
              <m:r>
                <m:rPr>
                  <m:sty m:val="p"/>
                </m:rPr>
                <m:t>−</m:t>
              </m:r>
            </m:oMath>
            <w:r>
              <w:t xml:space="preserve">0.355</w:t>
            </w:r>
          </w:p>
        </w:tc>
      </w:tr>
      <w:tr>
        <w:tc>
          <w:tcPr/>
          <w:p>
            <w:pPr>
              <w:pStyle w:val="Compact"/>
            </w:pPr>
          </w:p>
        </w:tc>
        <w:tc>
          <w:tcPr/>
          <w:p>
            <w:pPr>
              <w:pStyle w:val="Compact"/>
              <w:jc w:val="center"/>
            </w:pPr>
            <w:r>
              <w:t xml:space="preserve">(0.101)</w:t>
            </w:r>
          </w:p>
        </w:tc>
        <w:tc>
          <w:tcPr/>
          <w:p>
            <w:pPr>
              <w:pStyle w:val="Compact"/>
              <w:jc w:val="center"/>
            </w:pPr>
            <w:r>
              <w:t xml:space="preserve">(0.051)</w:t>
            </w:r>
          </w:p>
        </w:tc>
        <w:tc>
          <w:tcPr/>
          <w:p>
            <w:pPr>
              <w:pStyle w:val="Compact"/>
              <w:jc w:val="center"/>
            </w:pPr>
            <w:r>
              <w:t xml:space="preserve">(0.118)</w:t>
            </w:r>
          </w:p>
        </w:tc>
        <w:tc>
          <w:tcPr/>
          <w:p>
            <w:pPr>
              <w:pStyle w:val="Compact"/>
              <w:jc w:val="center"/>
            </w:pPr>
            <w:r>
              <w:t xml:space="preserve">(0.089)</w:t>
            </w:r>
          </w:p>
        </w:tc>
      </w:tr>
      <w:tr>
        <w:tc>
          <w:tcPr/>
          <w:p>
            <w:pPr>
              <w:pStyle w:val="Compact"/>
              <w:jc w:val="left"/>
            </w:pPr>
            <w:r>
              <w:t xml:space="preserve">Log duration</w:t>
            </w:r>
          </w:p>
        </w:tc>
        <w:tc>
          <w:tcPr/>
          <w:p>
            <w:pPr>
              <w:pStyle w:val="Compact"/>
              <w:jc w:val="center"/>
            </w:pPr>
            <m:oMath>
              <m:r>
                <m:rPr>
                  <m:sty m:val="p"/>
                </m:rPr>
                <m:t>−</m:t>
              </m:r>
            </m:oMath>
            <w:r>
              <w:t xml:space="preserve">0.869</w:t>
            </w:r>
          </w:p>
        </w:tc>
        <w:tc>
          <w:tcPr/>
          <w:p>
            <w:pPr>
              <w:pStyle w:val="Compact"/>
              <w:jc w:val="center"/>
            </w:pPr>
            <m:oMath>
              <m:r>
                <m:rPr>
                  <m:sty m:val="p"/>
                </m:rPr>
                <m:t>−</m:t>
              </m:r>
            </m:oMath>
            <w:r>
              <w:t xml:space="preserve">0.771</w:t>
            </w:r>
          </w:p>
        </w:tc>
        <w:tc>
          <w:tcPr/>
          <w:p>
            <w:pPr>
              <w:pStyle w:val="Compact"/>
              <w:jc w:val="center"/>
            </w:pPr>
            <m:oMath>
              <m:r>
                <m:rPr>
                  <m:sty m:val="p"/>
                </m:rPr>
                <m:t>−</m:t>
              </m:r>
            </m:oMath>
            <w:r>
              <w:t xml:space="preserve">0.722</w:t>
            </w:r>
          </w:p>
        </w:tc>
        <w:tc>
          <w:tcPr/>
          <w:p>
            <w:pPr>
              <w:pStyle w:val="Compact"/>
              <w:jc w:val="center"/>
            </w:pPr>
            <m:oMath>
              <m:r>
                <m:rPr>
                  <m:sty m:val="p"/>
                </m:rPr>
                <m:t>−</m:t>
              </m:r>
            </m:oMath>
            <w:r>
              <w:t xml:space="preserve">0.332</w:t>
            </w:r>
          </w:p>
        </w:tc>
      </w:tr>
      <w:tr>
        <w:tc>
          <w:tcPr/>
          <w:p>
            <w:pPr>
              <w:pStyle w:val="Compact"/>
            </w:pPr>
          </w:p>
        </w:tc>
        <w:tc>
          <w:tcPr/>
          <w:p>
            <w:pPr>
              <w:pStyle w:val="Compact"/>
              <w:jc w:val="center"/>
            </w:pPr>
            <w:r>
              <w:t xml:space="preserve">(0.118)</w:t>
            </w:r>
          </w:p>
        </w:tc>
        <w:tc>
          <w:tcPr/>
          <w:p>
            <w:pPr>
              <w:pStyle w:val="Compact"/>
              <w:jc w:val="center"/>
            </w:pPr>
            <w:r>
              <w:t xml:space="preserve">(0.055)</w:t>
            </w:r>
          </w:p>
        </w:tc>
        <w:tc>
          <w:tcPr/>
          <w:p>
            <w:pPr>
              <w:pStyle w:val="Compact"/>
              <w:jc w:val="center"/>
            </w:pPr>
            <w:r>
              <w:t xml:space="preserve">(0.057)</w:t>
            </w:r>
          </w:p>
        </w:tc>
        <w:tc>
          <w:tcPr/>
          <w:p>
            <w:pPr>
              <w:pStyle w:val="Compact"/>
              <w:jc w:val="center"/>
            </w:pPr>
            <w:r>
              <w:t xml:space="preserve">(0.059)</w:t>
            </w:r>
          </w:p>
        </w:tc>
      </w:tr>
      <w:tr>
        <w:tc>
          <w:tcPr/>
          <w:p>
            <w:pPr>
              <w:pStyle w:val="Compact"/>
              <w:jc w:val="left"/>
            </w:pPr>
            <w:r>
              <w:t xml:space="preserve">Dyad-years</w:t>
            </w:r>
          </w:p>
        </w:tc>
        <w:tc>
          <w:tcPr/>
          <w:p>
            <w:pPr>
              <w:pStyle w:val="Compact"/>
              <w:jc w:val="center"/>
            </w:pPr>
            <w:r>
              <w:t xml:space="preserve">2,897</w:t>
            </w:r>
          </w:p>
        </w:tc>
        <w:tc>
          <w:tcPr/>
          <w:p>
            <w:pPr>
              <w:pStyle w:val="Compact"/>
              <w:jc w:val="center"/>
            </w:pPr>
            <w:r>
              <w:t xml:space="preserve">2,897</w:t>
            </w:r>
          </w:p>
        </w:tc>
        <w:tc>
          <w:tcPr/>
          <w:p>
            <w:pPr>
              <w:pStyle w:val="Compact"/>
              <w:jc w:val="center"/>
            </w:pPr>
            <w:r>
              <w:t xml:space="preserve">44,394</w:t>
            </w:r>
          </w:p>
        </w:tc>
        <w:tc>
          <w:tcPr/>
          <w:p>
            <w:pPr>
              <w:pStyle w:val="Compact"/>
              <w:jc w:val="center"/>
            </w:pPr>
            <w:r>
              <w:t xml:space="preserve">44,394</w:t>
            </w:r>
          </w:p>
        </w:tc>
      </w:tr>
      <w:tr>
        <w:tc>
          <w:tcPr/>
          <w:p>
            <w:pPr>
              <w:pStyle w:val="Compact"/>
              <w:jc w:val="left"/>
            </w:pPr>
            <w:r>
              <w:t xml:space="preserve">Events</w:t>
            </w:r>
          </w:p>
        </w:tc>
        <w:tc>
          <w:tcPr/>
          <w:p>
            <w:pPr>
              <w:pStyle w:val="Compact"/>
              <w:jc w:val="center"/>
            </w:pPr>
            <w:r>
              <w:t xml:space="preserve">317</w:t>
            </w:r>
          </w:p>
        </w:tc>
        <w:tc>
          <w:tcPr/>
          <w:p>
            <w:pPr>
              <w:pStyle w:val="Compact"/>
              <w:jc w:val="center"/>
            </w:pPr>
            <w:r>
              <w:t xml:space="preserve">1,129</w:t>
            </w:r>
          </w:p>
        </w:tc>
        <w:tc>
          <w:tcPr/>
          <w:p>
            <w:pPr>
              <w:pStyle w:val="Compact"/>
              <w:jc w:val="center"/>
            </w:pPr>
            <w:r>
              <w:t xml:space="preserve">330</w:t>
            </w:r>
          </w:p>
        </w:tc>
        <w:tc>
          <w:tcPr/>
          <w:p>
            <w:pPr>
              <w:pStyle w:val="Compact"/>
              <w:jc w:val="center"/>
            </w:pPr>
            <w:r>
              <w:t xml:space="preserve">225</w:t>
            </w:r>
          </w:p>
        </w:tc>
      </w:tr>
      <w:tr>
        <w:tc>
          <w:tcPr/>
          <w:p>
            <w:pPr>
              <w:pStyle w:val="Compact"/>
              <w:jc w:val="left"/>
            </w:pPr>
            <w:r>
              <w:t xml:space="preserve">Dyads</w:t>
            </w:r>
          </w:p>
        </w:tc>
        <w:tc>
          <w:tcPr/>
          <w:p>
            <w:pPr>
              <w:pStyle w:val="Compact"/>
              <w:jc w:val="center"/>
            </w:pPr>
            <w:r>
              <w:t xml:space="preserve">649</w:t>
            </w:r>
          </w:p>
        </w:tc>
        <w:tc>
          <w:tcPr/>
          <w:p>
            <w:pPr>
              <w:pStyle w:val="Compact"/>
              <w:jc w:val="center"/>
            </w:pPr>
            <w:r>
              <w:t xml:space="preserve">649</w:t>
            </w:r>
          </w:p>
        </w:tc>
        <w:tc>
          <w:tcPr/>
          <w:p>
            <w:pPr>
              <w:pStyle w:val="Compact"/>
              <w:jc w:val="center"/>
            </w:pPr>
            <w:r>
              <w:t xml:space="preserve">1,322</w:t>
            </w:r>
          </w:p>
        </w:tc>
        <w:tc>
          <w:tcPr/>
          <w:p>
            <w:pPr>
              <w:pStyle w:val="Compact"/>
              <w:jc w:val="center"/>
            </w:pPr>
            <w:r>
              <w:t xml:space="preserve">1,322</w:t>
            </w:r>
          </w:p>
        </w:tc>
      </w:tr>
    </w:tbl>
    <w:p>
      <w:pPr>
        <w:pStyle w:val="BodyText"/>
      </w:pPr>
      <w:r>
        <w:t xml:space="preserve">Logit models, standard errors clustered by dyad in parentheses; intercepts omitted. Continuous predictors standardised.</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sup>
        </m:sSup>
        <m:r>
          <m:t>p</m:t>
        </m:r>
        <m:r>
          <m:rPr>
            <m:sty m:val="p"/>
          </m:rPr>
          <m:t>&lt;</m:t>
        </m:r>
        <m:r>
          <m:t>0.05</m:t>
        </m:r>
      </m:oMath>
      <w:r>
        <w:t xml:space="preserve">,</w:t>
      </w:r>
      <w:r>
        <w:t xml:space="preserve"> </w:t>
      </w:r>
      <m:oMath>
        <m:sSup>
          <m:e>
            <m:r>
              <m:t>​</m:t>
            </m:r>
          </m:e>
          <m:sup>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r>
              <m:rPr>
                <m:sty m:val="p"/>
              </m:rPr>
              <m:t>*</m:t>
            </m:r>
          </m:sup>
        </m:sSup>
        <m:r>
          <m:t>p</m:t>
        </m:r>
        <m:r>
          <m:rPr>
            <m:sty m:val="p"/>
          </m:rPr>
          <m:t>&lt;</m:t>
        </m:r>
        <m:r>
          <m:t>0.001</m:t>
        </m:r>
      </m:oMath>
      <w:r>
        <w:t xml:space="preserve">.</w:t>
      </w:r>
      <w:r>
        <w:t xml:space="preserve"> </w:t>
      </w:r>
      <w:r>
        <w:t xml:space="preserve">“Ends”</w:t>
      </w:r>
      <w:r>
        <w:t xml:space="preserve"> </w:t>
      </w:r>
      <w:r>
        <w:t xml:space="preserve">means the tie is absent from the signed network the following year. For disputes,</w:t>
      </w:r>
      <w:r>
        <w:t xml:space="preserve"> </w:t>
      </w:r>
      <w:r>
        <w:t xml:space="preserve">“sign change”</w:t>
      </w:r>
      <w:r>
        <w:t xml:space="preserve"> </w:t>
      </w:r>
      <w:r>
        <w:t xml:space="preserve">is a dispute between allies ending and</w:t>
      </w:r>
      <w:r>
        <w:t xml:space="preserve"> </w:t>
      </w:r>
      <w:r>
        <w:t xml:space="preserve">“ends”</w:t>
      </w:r>
      <w:r>
        <w:t xml:space="preserve"> </w:t>
      </w:r>
      <w:r>
        <w:t xml:space="preserve">a dispute ending in a dyad that is not allied. For disputes the unbalanced-triad coefficient largely reflects whether an alliance is in force (Table 36). Script 47.</w:t>
      </w:r>
    </w:p>
    <w:p>
      <w:pPr>
        <w:pStyle w:val="BodyText"/>
      </w:pPr>
      <w:r>
        <w:t xml:space="preserve">For sign change, the larger share has a positive coefficient for both disputes (</w:t>
      </w:r>
      <m:oMath>
        <m:r>
          <m:t>b</m:t>
        </m:r>
        <m:r>
          <m:rPr>
            <m:sty m:val="p"/>
          </m:rPr>
          <m:t>=</m:t>
        </m:r>
        <m:r>
          <m:t>0.405</m:t>
        </m:r>
      </m:oMath>
      <w:r>
        <w:t xml:space="preserve">,</w:t>
      </w:r>
      <w:r>
        <w:t xml:space="preserve"> </w:t>
      </w:r>
      <m:oMath>
        <m:r>
          <m:t>p</m:t>
        </m:r>
        <m:r>
          <m:rPr>
            <m:sty m:val="p"/>
          </m:rPr>
          <m:t>&lt;</m:t>
        </m:r>
        <m:r>
          <m:t>0.001</m:t>
        </m:r>
      </m:oMath>
      <w:r>
        <w:t xml:space="preserve">) and alliances (</w:t>
      </w:r>
      <m:oMath>
        <m:r>
          <m:t>b</m:t>
        </m:r>
        <m:r>
          <m:rPr>
            <m:sty m:val="p"/>
          </m:rPr>
          <m:t>=</m:t>
        </m:r>
        <m:r>
          <m:t>0.347</m:t>
        </m:r>
      </m:oMath>
      <w:r>
        <w:t xml:space="preserve">,</w:t>
      </w:r>
      <w:r>
        <w:t xml:space="preserve"> </w:t>
      </w:r>
      <m:oMath>
        <m:r>
          <m:t>p</m:t>
        </m:r>
        <m:r>
          <m:rPr>
            <m:sty m:val="p"/>
          </m:rPr>
          <m:t>&lt;</m:t>
        </m:r>
        <m:r>
          <m:t>0.001</m:t>
        </m:r>
      </m:oMath>
      <w:r>
        <w:t xml:space="preserve">), and the smaller share has none (</w:t>
      </w:r>
      <m:oMath>
        <m:r>
          <m:t>b</m:t>
        </m:r>
        <m:r>
          <m:rPr>
            <m:sty m:val="p"/>
          </m:rPr>
          <m:t>=</m:t>
        </m:r>
        <m:r>
          <m:rPr>
            <m:sty m:val="p"/>
          </m:rPr>
          <m:t>−</m:t>
        </m:r>
        <m:r>
          <m:t>0.032</m:t>
        </m:r>
      </m:oMath>
      <w:r>
        <w:t xml:space="preserve"> </w:t>
      </w:r>
      <w:r>
        <w:t xml:space="preserve">and</w:t>
      </w:r>
      <w:r>
        <w:t xml:space="preserve"> </w:t>
      </w:r>
      <m:oMath>
        <m:r>
          <m:t>0.030</m:t>
        </m:r>
      </m:oMath>
      <w:r>
        <w:t xml:space="preserve">). A one-standard-deviation increase in the larger share is associated with an increase of roughly 40 to 50% in the odds that a tie changes sign in the following year. Because the shares are skewed, this is a statement about the upper tail: the median larger share is small and the 90th percentile is 0.19 in the dispute sample and 0.12 in the alliance sample. More unbalanced triads raise the hazard of sign change, for disputes (</w:t>
      </w:r>
      <m:oMath>
        <m:r>
          <m:t>b</m:t>
        </m:r>
        <m:r>
          <m:rPr>
            <m:sty m:val="p"/>
          </m:rPr>
          <m:t>=</m:t>
        </m:r>
        <m:r>
          <m:t>1.58</m:t>
        </m:r>
      </m:oMath>
      <w:r>
        <w:t xml:space="preserve">) and alliances (</w:t>
      </w:r>
      <m:oMath>
        <m:r>
          <m:t>b</m:t>
        </m:r>
        <m:r>
          <m:rPr>
            <m:sty m:val="p"/>
          </m:rPr>
          <m:t>=</m:t>
        </m:r>
        <m:r>
          <m:t>0.69</m:t>
        </m:r>
      </m:oMath>
      <w:r>
        <w:t xml:space="preserve">). For disputes this coefficient largely reflects whether an alliance is in force, because almost all dispute sign changes are disputes between allies ending: with a concurrent-alliance indicator in the model it falls to 0.19 (Table 36). For alliances, more balanced triads lower the hazard of both sign change (</w:t>
      </w:r>
      <m:oMath>
        <m:r>
          <m:t>b</m:t>
        </m:r>
        <m:r>
          <m:rPr>
            <m:sty m:val="p"/>
          </m:rPr>
          <m:t>=</m:t>
        </m:r>
        <m:r>
          <m:rPr>
            <m:sty m:val="p"/>
          </m:rPr>
          <m:t>−</m:t>
        </m:r>
        <m:r>
          <m:t>0.32</m:t>
        </m:r>
      </m:oMath>
      <w:r>
        <w:t xml:space="preserve">) and ending (</w:t>
      </w:r>
      <m:oMath>
        <m:r>
          <m:t>b</m:t>
        </m:r>
        <m:r>
          <m:rPr>
            <m:sty m:val="p"/>
          </m:rPr>
          <m:t>=</m:t>
        </m:r>
        <m:r>
          <m:rPr>
            <m:sty m:val="p"/>
          </m:rPr>
          <m:t>−</m:t>
        </m:r>
        <m:r>
          <m:t>1.13</m:t>
        </m:r>
      </m:oMath>
      <w:r>
        <w:t xml:space="preserve">), as if an alliance embedded in many consistent configurations were held in place. This is largely a bloc effect: with fixed effects for the large alliance blocs the coefficients fall to</w:t>
      </w:r>
      <w:r>
        <w:t xml:space="preserve"> </w:t>
      </w:r>
      <m:oMath>
        <m:r>
          <m:rPr>
            <m:sty m:val="p"/>
          </m:rPr>
          <m:t>+</m:t>
        </m:r>
        <m:r>
          <m:t>0.12</m:t>
        </m:r>
      </m:oMath>
      <w:r>
        <w:t xml:space="preserve"> </w:t>
      </w:r>
      <w:r>
        <w:t xml:space="preserve">and</w:t>
      </w:r>
      <w:r>
        <w:t xml:space="preserve"> </w:t>
      </w:r>
      <m:oMath>
        <m:r>
          <m:rPr>
            <m:sty m:val="p"/>
          </m:rPr>
          <m:t>+</m:t>
        </m:r>
        <m:r>
          <m:t>0.07</m:t>
        </m:r>
      </m:oMath>
      <w:r>
        <w:t xml:space="preserve">. Capability asymmetry is associated with a lower hazard of sign change, for disputes (</w:t>
      </w:r>
      <m:oMath>
        <m:r>
          <m:t>b</m:t>
        </m:r>
        <m:r>
          <m:rPr>
            <m:sty m:val="p"/>
          </m:rPr>
          <m:t>=</m:t>
        </m:r>
        <m:r>
          <m:rPr>
            <m:sty m:val="p"/>
          </m:rPr>
          <m:t>−</m:t>
        </m:r>
        <m:r>
          <m:t>0.27</m:t>
        </m:r>
      </m:oMath>
      <w:r>
        <w:t xml:space="preserve">) and alliances (</w:t>
      </w:r>
      <m:oMath>
        <m:r>
          <m:t>b</m:t>
        </m:r>
        <m:r>
          <m:rPr>
            <m:sty m:val="p"/>
          </m:rPr>
          <m:t>=</m:t>
        </m:r>
        <m:r>
          <m:rPr>
            <m:sty m:val="p"/>
          </m:rPr>
          <m:t>−</m:t>
        </m:r>
        <m:r>
          <m:t>0.49</m:t>
        </m:r>
      </m:oMath>
      <w:r>
        <w:t xml:space="preserve">), so the dependence result does not reflect unequal power producing change.</w:t>
      </w:r>
    </w:p>
    <w:p>
      <w:pPr>
        <w:pStyle w:val="TableCaption"/>
      </w:pPr>
      <w:r>
        <w:t xml:space="preserve">Table 43. Exposure and network structure: nested comparison, sign change</w:t>
      </w:r>
    </w:p>
    <w:tbl>
      <w:tblPr>
        <w:tblLayout w:type="autofit"/>
        <w:tblStyle w:val="Table"/>
        <w:tblW w:type="pct" w:w="5000"/>
        <w:tblLook w:firstRow="1" w:lastRow="0" w:firstColumn="0" w:lastColumn="0" w:noHBand="0" w:noVBand="0" w:val="0020"/>
        <w:tblCaption w:val="Table 43. Exposure and network structure: nested comparison, sign change"/>
      </w:tblPr>
      <w:tblGrid>
        <w:gridCol w:w="1584"/>
        <w:gridCol w:w="1584"/>
        <w:gridCol w:w="1584"/>
        <w:gridCol w:w="1584"/>
        <w:gridCol w:w="1584"/>
      </w:tblGrid>
      <w:tr>
        <w:trPr>
          <w:tblHeader w:val="on"/>
        </w:trPr>
        <w:tc>
          <w:tcPr/>
          <w:p>
            <w:pPr>
              <w:pStyle w:val="Compact"/>
            </w:pPr>
          </w:p>
        </w:tc>
        <w:tc>
          <w:tcPr/>
          <w:p>
            <w:pPr>
              <w:pStyle w:val="Compact"/>
              <w:jc w:val="center"/>
            </w:pPr>
            <w:r>
              <w:t xml:space="preserve">Exposure + controls</w:t>
            </w:r>
          </w:p>
        </w:tc>
        <w:tc>
          <w:tcPr/>
          <w:p>
            <w:pPr>
              <w:pStyle w:val="Compact"/>
              <w:jc w:val="center"/>
            </w:pPr>
            <w:r>
              <w:t xml:space="preserve">+ Unbalanced</w:t>
            </w:r>
            <w:r>
              <w:t xml:space="preserve"> </w:t>
            </w:r>
            <m:oMath>
              <m:r>
                <m:t>U</m:t>
              </m:r>
            </m:oMath>
          </w:p>
        </w:tc>
        <w:tc>
          <w:tcPr/>
          <w:p>
            <w:pPr>
              <w:pStyle w:val="Compact"/>
              <w:jc w:val="center"/>
            </w:pPr>
            <w:r>
              <w:t xml:space="preserve">+ Balanced</w:t>
            </w:r>
            <w:r>
              <w:t xml:space="preserve"> </w:t>
            </w:r>
            <m:oMath>
              <m:r>
                <m:t>B</m:t>
              </m:r>
            </m:oMath>
            <w:r>
              <w:t xml:space="preserve"> </w:t>
            </w:r>
            <w:r>
              <w:t xml:space="preserve">(full)</w:t>
            </w:r>
          </w:p>
        </w:tc>
        <w:tc>
          <w:tcPr/>
          <w:p>
            <w:pPr>
              <w:pStyle w:val="Compact"/>
              <w:jc w:val="center"/>
            </w:pPr>
            <w:r>
              <w:t xml:space="preserve">Network + controls</w:t>
            </w:r>
          </w:p>
        </w:tc>
      </w:tr>
      <w:tr>
        <w:tc>
          <w:tcPr>
            <w:gridSpan w:val="5"/>
          </w:tcPr>
          <w:p>
            <w:pPr>
              <w:pStyle w:val="Compact"/>
              <w:jc w:val="left"/>
            </w:pPr>
            <w:r>
              <w:rPr>
                <w:i/>
                <w:iCs/>
              </w:rPr>
              <w:t xml:space="preserve">Disputes (2,897 dispute-years, 317 sign changes)</w:t>
            </w:r>
          </w:p>
        </w:tc>
      </w:tr>
      <w:tr>
        <w:tc>
          <w:tcPr/>
          <w:p>
            <w:pPr>
              <w:pStyle w:val="Compact"/>
              <w:jc w:val="left"/>
            </w:pPr>
            <w:r>
              <w:t xml:space="preserve">Larger share</w:t>
            </w:r>
          </w:p>
        </w:tc>
        <w:tc>
          <w:tcPr/>
          <w:p>
            <w:pPr>
              <w:pStyle w:val="Compact"/>
              <w:jc w:val="center"/>
            </w:pPr>
            <w:r>
              <w:t xml:space="preserve">0.312 (0.083)</w:t>
            </w:r>
          </w:p>
        </w:tc>
        <w:tc>
          <w:tcPr/>
          <w:p>
            <w:pPr>
              <w:pStyle w:val="Compact"/>
              <w:jc w:val="center"/>
            </w:pPr>
            <w:r>
              <w:t xml:space="preserve">0.407 (0.116)</w:t>
            </w:r>
          </w:p>
        </w:tc>
        <w:tc>
          <w:tcPr/>
          <w:p>
            <w:pPr>
              <w:pStyle w:val="Compact"/>
              <w:jc w:val="center"/>
            </w:pPr>
            <w:r>
              <w:t xml:space="preserve">0.405 (0.118)</w:t>
            </w:r>
          </w:p>
        </w:tc>
        <w:tc>
          <w:tcPr/>
          <w:p>
            <w:pPr>
              <w:pStyle w:val="Compact"/>
              <w:jc w:val="center"/>
            </w:pPr>
            <w:r>
              <w:t xml:space="preserve">–</w:t>
            </w:r>
          </w:p>
        </w:tc>
      </w:tr>
      <w:tr>
        <w:tc>
          <w:tcPr/>
          <w:p>
            <w:pPr>
              <w:pStyle w:val="Compact"/>
              <w:jc w:val="left"/>
            </w:pPr>
            <w:r>
              <w:t xml:space="preserve">Unbalanced triads,</w:t>
            </w:r>
            <w:r>
              <w:t xml:space="preserve"> </w:t>
            </w:r>
            <m:oMath>
              <m:r>
                <m:rPr>
                  <m:sty m:val="p"/>
                </m:rPr>
                <m:t>log</m:t>
              </m:r>
              <m:r>
                <m:rPr>
                  <m:sty m:val="p"/>
                </m:rPr>
                <m:t>(</m:t>
              </m:r>
              <m:r>
                <m:t>1</m:t>
              </m:r>
              <m:r>
                <m:rPr>
                  <m:sty m:val="p"/>
                </m:rPr>
                <m:t>+</m:t>
              </m:r>
              <m:r>
                <m:t>U</m:t>
              </m:r>
              <m:r>
                <m:rPr>
                  <m:sty m:val="p"/>
                </m:rPr>
                <m:t>)</m:t>
              </m:r>
            </m:oMath>
          </w:p>
        </w:tc>
        <w:tc>
          <w:tcPr/>
          <w:p>
            <w:pPr>
              <w:pStyle w:val="Compact"/>
              <w:jc w:val="center"/>
            </w:pPr>
            <w:r>
              <w:t xml:space="preserve">–</w:t>
            </w:r>
          </w:p>
        </w:tc>
        <w:tc>
          <w:tcPr/>
          <w:p>
            <w:pPr>
              <w:pStyle w:val="Compact"/>
              <w:jc w:val="center"/>
            </w:pPr>
            <w:r>
              <w:t xml:space="preserve">1.576 (0.088)</w:t>
            </w:r>
          </w:p>
        </w:tc>
        <w:tc>
          <w:tcPr/>
          <w:p>
            <w:pPr>
              <w:pStyle w:val="Compact"/>
              <w:jc w:val="center"/>
            </w:pPr>
            <w:r>
              <w:t xml:space="preserve">1.583 (0.090)</w:t>
            </w:r>
          </w:p>
        </w:tc>
        <w:tc>
          <w:tcPr/>
          <w:p>
            <w:pPr>
              <w:pStyle w:val="Compact"/>
              <w:jc w:val="center"/>
            </w:pPr>
            <w:r>
              <w:t xml:space="preserve">1.568 (0.089)</w:t>
            </w:r>
          </w:p>
        </w:tc>
      </w:tr>
      <w:tr>
        <w:tc>
          <w:tcPr/>
          <w:p>
            <w:pPr>
              <w:pStyle w:val="Compact"/>
              <w:jc w:val="left"/>
            </w:pPr>
            <w:r>
              <w:t xml:space="preserve">Balanced triads,</w:t>
            </w:r>
            <w:r>
              <w:t xml:space="preserve"> </w:t>
            </w:r>
            <m:oMath>
              <m:r>
                <m:rPr>
                  <m:sty m:val="p"/>
                </m:rPr>
                <m:t>log</m:t>
              </m:r>
              <m:r>
                <m:rPr>
                  <m:sty m:val="p"/>
                </m:rPr>
                <m:t>(</m:t>
              </m:r>
              <m:r>
                <m:t>1</m:t>
              </m:r>
              <m:r>
                <m:rPr>
                  <m:sty m:val="p"/>
                </m:rPr>
                <m:t>+</m:t>
              </m:r>
              <m:r>
                <m:t>B</m:t>
              </m:r>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0.209 (0.125)</w:t>
            </w:r>
          </w:p>
        </w:tc>
        <w:tc>
          <w:tcPr/>
          <w:p>
            <w:pPr>
              <w:pStyle w:val="Compact"/>
              <w:jc w:val="center"/>
            </w:pPr>
            <w:r>
              <w:t xml:space="preserve">0.177 (0.121)</w:t>
            </w:r>
          </w:p>
        </w:tc>
      </w:tr>
      <w:tr>
        <w:tc>
          <w:tcPr/>
          <w:p>
            <w:pPr>
              <w:pStyle w:val="Compact"/>
              <w:jc w:val="left"/>
            </w:pPr>
            <w:r>
              <w:t xml:space="preserve">AIC</w:t>
            </w:r>
          </w:p>
        </w:tc>
        <w:tc>
          <w:tcPr/>
          <w:p>
            <w:pPr>
              <w:pStyle w:val="Compact"/>
              <w:jc w:val="center"/>
            </w:pPr>
            <w:r>
              <w:t xml:space="preserve">1,905.2</w:t>
            </w:r>
          </w:p>
        </w:tc>
        <w:tc>
          <w:tcPr/>
          <w:p>
            <w:pPr>
              <w:pStyle w:val="Compact"/>
              <w:jc w:val="center"/>
            </w:pPr>
            <w:r>
              <w:t xml:space="preserve">1,071.9</w:t>
            </w:r>
          </w:p>
        </w:tc>
        <w:tc>
          <w:tcPr/>
          <w:p>
            <w:pPr>
              <w:pStyle w:val="Compact"/>
              <w:jc w:val="center"/>
            </w:pPr>
            <w:r>
              <w:t xml:space="preserve">1,071.2</w:t>
            </w:r>
          </w:p>
        </w:tc>
        <w:tc>
          <w:tcPr/>
          <w:p>
            <w:pPr>
              <w:pStyle w:val="Compact"/>
              <w:jc w:val="center"/>
            </w:pPr>
            <w:r>
              <w:t xml:space="preserve">1,090.8</w:t>
            </w:r>
          </w:p>
        </w:tc>
      </w:tr>
      <w:tr>
        <w:tc>
          <w:tcPr/>
          <w:p>
            <w:pPr>
              <w:pStyle w:val="Compact"/>
              <w:jc w:val="left"/>
            </w:pPr>
            <w:r>
              <w:t xml:space="preserve">Held-out log-likelihood gain over null</w:t>
            </w:r>
          </w:p>
        </w:tc>
        <w:tc>
          <w:tcPr/>
          <w:p>
            <w:pPr>
              <w:pStyle w:val="Compact"/>
              <w:jc w:val="center"/>
            </w:pPr>
            <w:r>
              <w:t xml:space="preserve">0.013</w:t>
            </w:r>
          </w:p>
        </w:tc>
        <w:tc>
          <w:tcPr/>
          <w:p>
            <w:pPr>
              <w:pStyle w:val="Compact"/>
              <w:jc w:val="center"/>
            </w:pPr>
            <w:r>
              <w:t xml:space="preserve">0.159</w:t>
            </w:r>
          </w:p>
        </w:tc>
        <w:tc>
          <w:tcPr/>
          <w:p>
            <w:pPr>
              <w:pStyle w:val="Compact"/>
              <w:jc w:val="center"/>
            </w:pPr>
            <w:r>
              <w:t xml:space="preserve">0.159</w:t>
            </w:r>
          </w:p>
        </w:tc>
        <w:tc>
          <w:tcPr/>
          <w:p>
            <w:pPr>
              <w:pStyle w:val="Compact"/>
              <w:jc w:val="center"/>
            </w:pPr>
            <w:r>
              <w:t xml:space="preserve">0.156</w:t>
            </w:r>
          </w:p>
        </w:tc>
      </w:tr>
      <w:tr>
        <w:tc>
          <w:tcPr/>
          <w:p>
            <w:pPr>
              <w:pStyle w:val="Compact"/>
              <w:jc w:val="left"/>
            </w:pPr>
            <w:r>
              <w:t xml:space="preserve">Held-out AUC</w:t>
            </w:r>
          </w:p>
        </w:tc>
        <w:tc>
          <w:tcPr/>
          <w:p>
            <w:pPr>
              <w:pStyle w:val="Compact"/>
              <w:jc w:val="center"/>
            </w:pPr>
            <w:r>
              <w:t xml:space="preserve">0.655</w:t>
            </w:r>
          </w:p>
        </w:tc>
        <w:tc>
          <w:tcPr/>
          <w:p>
            <w:pPr>
              <w:pStyle w:val="Compact"/>
              <w:jc w:val="center"/>
            </w:pPr>
            <w:r>
              <w:t xml:space="preserve">0.930</w:t>
            </w:r>
          </w:p>
        </w:tc>
        <w:tc>
          <w:tcPr/>
          <w:p>
            <w:pPr>
              <w:pStyle w:val="Compact"/>
              <w:jc w:val="center"/>
            </w:pPr>
            <w:r>
              <w:t xml:space="preserve">0.927</w:t>
            </w:r>
          </w:p>
        </w:tc>
        <w:tc>
          <w:tcPr/>
          <w:p>
            <w:pPr>
              <w:pStyle w:val="Compact"/>
              <w:jc w:val="center"/>
            </w:pPr>
            <w:r>
              <w:t xml:space="preserve">0.917</w:t>
            </w:r>
          </w:p>
        </w:tc>
      </w:tr>
      <w:tr>
        <w:tc>
          <w:tcPr>
            <w:gridSpan w:val="5"/>
          </w:tcPr>
          <w:p>
            <w:pPr>
              <w:pStyle w:val="Compact"/>
              <w:jc w:val="left"/>
            </w:pPr>
            <w:r>
              <w:rPr>
                <w:i/>
                <w:iCs/>
              </w:rPr>
              <w:t xml:space="preserve">Disputes, with a concurrent-alliance indicator (same 2,897 dispute-years)</w:t>
            </w:r>
          </w:p>
        </w:tc>
      </w:tr>
      <w:tr>
        <w:tc>
          <w:tcPr/>
          <w:p>
            <w:pPr>
              <w:pStyle w:val="Compact"/>
              <w:jc w:val="left"/>
            </w:pPr>
            <w:r>
              <w:t xml:space="preserve">Alliance in force</w:t>
            </w:r>
          </w:p>
        </w:tc>
        <w:tc>
          <w:tcPr/>
          <w:p>
            <w:pPr>
              <w:pStyle w:val="Compact"/>
              <w:jc w:val="center"/>
            </w:pPr>
            <w:r>
              <w:t xml:space="preserve">6.105 (0.379)</w:t>
            </w:r>
          </w:p>
        </w:tc>
        <w:tc>
          <w:tcPr/>
          <w:p>
            <w:pPr>
              <w:pStyle w:val="Compact"/>
              <w:jc w:val="center"/>
            </w:pPr>
            <w:r>
              <w:t xml:space="preserve">5.667 (0.422)</w:t>
            </w:r>
          </w:p>
        </w:tc>
        <w:tc>
          <w:tcPr/>
          <w:p>
            <w:pPr>
              <w:pStyle w:val="Compact"/>
              <w:jc w:val="center"/>
            </w:pPr>
            <w:r>
              <w:t xml:space="preserve">5.707 (0.429)</w:t>
            </w:r>
          </w:p>
        </w:tc>
        <w:tc>
          <w:tcPr/>
          <w:p>
            <w:pPr>
              <w:pStyle w:val="Compact"/>
              <w:jc w:val="center"/>
            </w:pPr>
            <w:r>
              <w:t xml:space="preserve">5.745 (0.437)</w:t>
            </w:r>
          </w:p>
        </w:tc>
      </w:tr>
      <w:tr>
        <w:tc>
          <w:tcPr/>
          <w:p>
            <w:pPr>
              <w:pStyle w:val="Compact"/>
              <w:jc w:val="left"/>
            </w:pPr>
            <w:r>
              <w:t xml:space="preserve">Larger share</w:t>
            </w:r>
          </w:p>
        </w:tc>
        <w:tc>
          <w:tcPr/>
          <w:p>
            <w:pPr>
              <w:pStyle w:val="Compact"/>
              <w:jc w:val="center"/>
            </w:pPr>
            <w:r>
              <w:t xml:space="preserve">0.314 (0.100)</w:t>
            </w:r>
          </w:p>
        </w:tc>
        <w:tc>
          <w:tcPr/>
          <w:p>
            <w:pPr>
              <w:pStyle w:val="Compact"/>
              <w:jc w:val="center"/>
            </w:pPr>
            <w:r>
              <w:t xml:space="preserve">0.340 (0.102)</w:t>
            </w:r>
          </w:p>
        </w:tc>
        <w:tc>
          <w:tcPr/>
          <w:p>
            <w:pPr>
              <w:pStyle w:val="Compact"/>
              <w:jc w:val="center"/>
            </w:pPr>
            <w:r>
              <w:t xml:space="preserve">0.346 (0.107)</w:t>
            </w:r>
          </w:p>
        </w:tc>
        <w:tc>
          <w:tcPr/>
          <w:p>
            <w:pPr>
              <w:pStyle w:val="Compact"/>
              <w:jc w:val="center"/>
            </w:pPr>
            <w:r>
              <w:t xml:space="preserve">–</w:t>
            </w:r>
          </w:p>
        </w:tc>
      </w:tr>
      <w:tr>
        <w:tc>
          <w:tcPr/>
          <w:p>
            <w:pPr>
              <w:pStyle w:val="Compact"/>
              <w:jc w:val="left"/>
            </w:pPr>
            <w:r>
              <w:t xml:space="preserve">Unbalanced triads,</w:t>
            </w:r>
            <w:r>
              <w:t xml:space="preserve"> </w:t>
            </w:r>
            <m:oMath>
              <m:r>
                <m:rPr>
                  <m:sty m:val="p"/>
                </m:rPr>
                <m:t>log</m:t>
              </m:r>
              <m:r>
                <m:rPr>
                  <m:sty m:val="p"/>
                </m:rPr>
                <m:t>(</m:t>
              </m:r>
              <m:r>
                <m:t>1</m:t>
              </m:r>
              <m:r>
                <m:rPr>
                  <m:sty m:val="p"/>
                </m:rPr>
                <m:t>+</m:t>
              </m:r>
              <m:r>
                <m:t>U</m:t>
              </m:r>
              <m:r>
                <m:rPr>
                  <m:sty m:val="p"/>
                </m:rPr>
                <m:t>)</m:t>
              </m:r>
            </m:oMath>
          </w:p>
        </w:tc>
        <w:tc>
          <w:tcPr/>
          <w:p>
            <w:pPr>
              <w:pStyle w:val="Compact"/>
              <w:jc w:val="center"/>
            </w:pPr>
            <w:r>
              <w:t xml:space="preserve">–</w:t>
            </w:r>
          </w:p>
        </w:tc>
        <w:tc>
          <w:tcPr/>
          <w:p>
            <w:pPr>
              <w:pStyle w:val="Compact"/>
              <w:jc w:val="center"/>
            </w:pPr>
            <w:r>
              <w:t xml:space="preserve">0.197 (0.085)</w:t>
            </w:r>
          </w:p>
        </w:tc>
        <w:tc>
          <w:tcPr/>
          <w:p>
            <w:pPr>
              <w:pStyle w:val="Compact"/>
              <w:jc w:val="center"/>
            </w:pPr>
            <w:r>
              <w:t xml:space="preserve">0.193 (0.084)</w:t>
            </w:r>
          </w:p>
        </w:tc>
        <w:tc>
          <w:tcPr/>
          <w:p>
            <w:pPr>
              <w:pStyle w:val="Compact"/>
              <w:jc w:val="center"/>
            </w:pPr>
            <w:r>
              <w:t xml:space="preserve">0.167 (0.087)</w:t>
            </w:r>
          </w:p>
        </w:tc>
      </w:tr>
      <w:tr>
        <w:tc>
          <w:tcPr/>
          <w:p>
            <w:pPr>
              <w:pStyle w:val="Compact"/>
              <w:jc w:val="left"/>
            </w:pPr>
            <w:r>
              <w:t xml:space="preserve">Balanced triads,</w:t>
            </w:r>
            <w:r>
              <w:t xml:space="preserve"> </w:t>
            </w:r>
            <m:oMath>
              <m:r>
                <m:rPr>
                  <m:sty m:val="p"/>
                </m:rPr>
                <m:t>log</m:t>
              </m:r>
              <m:r>
                <m:rPr>
                  <m:sty m:val="p"/>
                </m:rPr>
                <m:t>(</m:t>
              </m:r>
              <m:r>
                <m:t>1</m:t>
              </m:r>
              <m:r>
                <m:rPr>
                  <m:sty m:val="p"/>
                </m:rPr>
                <m:t>+</m:t>
              </m:r>
              <m:r>
                <m:t>B</m:t>
              </m:r>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0.271 (0.131)</w:t>
            </w:r>
          </w:p>
        </w:tc>
        <w:tc>
          <w:tcPr/>
          <w:p>
            <w:pPr>
              <w:pStyle w:val="Compact"/>
              <w:jc w:val="center"/>
            </w:pPr>
            <w:r>
              <w:t xml:space="preserve">0.205 (0.126)</w:t>
            </w:r>
          </w:p>
        </w:tc>
      </w:tr>
      <w:tr>
        <w:tc>
          <w:tcPr/>
          <w:p>
            <w:pPr>
              <w:pStyle w:val="Compact"/>
              <w:jc w:val="left"/>
            </w:pPr>
            <w:r>
              <w:t xml:space="preserve">AIC</w:t>
            </w:r>
          </w:p>
        </w:tc>
        <w:tc>
          <w:tcPr/>
          <w:p>
            <w:pPr>
              <w:pStyle w:val="Compact"/>
              <w:jc w:val="center"/>
            </w:pPr>
            <w:r>
              <w:t xml:space="preserve">801.7</w:t>
            </w:r>
          </w:p>
        </w:tc>
        <w:tc>
          <w:tcPr/>
          <w:p>
            <w:pPr>
              <w:pStyle w:val="Compact"/>
              <w:jc w:val="center"/>
            </w:pPr>
            <w:r>
              <w:t xml:space="preserve">799.5</w:t>
            </w:r>
          </w:p>
        </w:tc>
        <w:tc>
          <w:tcPr/>
          <w:p>
            <w:pPr>
              <w:pStyle w:val="Compact"/>
              <w:jc w:val="center"/>
            </w:pPr>
            <w:r>
              <w:t xml:space="preserve">798.2</w:t>
            </w:r>
          </w:p>
        </w:tc>
        <w:tc>
          <w:tcPr/>
          <w:p>
            <w:pPr>
              <w:pStyle w:val="Compact"/>
              <w:jc w:val="center"/>
            </w:pPr>
            <w:r>
              <w:t xml:space="preserve">810.6</w:t>
            </w:r>
          </w:p>
        </w:tc>
      </w:tr>
      <w:tr>
        <w:tc>
          <w:tcPr/>
          <w:p>
            <w:pPr>
              <w:pStyle w:val="Compact"/>
              <w:jc w:val="left"/>
            </w:pPr>
            <w:r>
              <w:t xml:space="preserve">Held-out log-likelihood gain over null</w:t>
            </w:r>
          </w:p>
        </w:tc>
        <w:tc>
          <w:tcPr/>
          <w:p>
            <w:pPr>
              <w:pStyle w:val="Compact"/>
              <w:jc w:val="center"/>
            </w:pPr>
            <w:r>
              <w:t xml:space="preserve">0.207</w:t>
            </w:r>
          </w:p>
        </w:tc>
        <w:tc>
          <w:tcPr/>
          <w:p>
            <w:pPr>
              <w:pStyle w:val="Compact"/>
              <w:jc w:val="center"/>
            </w:pPr>
            <w:r>
              <w:t xml:space="preserve">0.207</w:t>
            </w:r>
          </w:p>
        </w:tc>
        <w:tc>
          <w:tcPr/>
          <w:p>
            <w:pPr>
              <w:pStyle w:val="Compact"/>
              <w:jc w:val="center"/>
            </w:pPr>
            <w:r>
              <w:t xml:space="preserve">0.208</w:t>
            </w:r>
          </w:p>
        </w:tc>
        <w:tc>
          <w:tcPr/>
          <w:p>
            <w:pPr>
              <w:pStyle w:val="Compact"/>
              <w:jc w:val="center"/>
            </w:pPr>
            <w:r>
              <w:t xml:space="preserve">0.206</w:t>
            </w:r>
          </w:p>
        </w:tc>
      </w:tr>
      <w:tr>
        <w:tc>
          <w:tcPr/>
          <w:p>
            <w:pPr>
              <w:pStyle w:val="Compact"/>
              <w:jc w:val="left"/>
            </w:pPr>
            <w:r>
              <w:t xml:space="preserve">Held-out AUC</w:t>
            </w:r>
          </w:p>
        </w:tc>
        <w:tc>
          <w:tcPr/>
          <w:p>
            <w:pPr>
              <w:pStyle w:val="Compact"/>
              <w:jc w:val="center"/>
            </w:pPr>
            <w:r>
              <w:t xml:space="preserve">0.959</w:t>
            </w:r>
          </w:p>
        </w:tc>
        <w:tc>
          <w:tcPr/>
          <w:p>
            <w:pPr>
              <w:pStyle w:val="Compact"/>
              <w:jc w:val="center"/>
            </w:pPr>
            <w:r>
              <w:t xml:space="preserve">0.960</w:t>
            </w:r>
          </w:p>
        </w:tc>
        <w:tc>
          <w:tcPr/>
          <w:p>
            <w:pPr>
              <w:pStyle w:val="Compact"/>
              <w:jc w:val="center"/>
            </w:pPr>
            <w:r>
              <w:t xml:space="preserve">0.960</w:t>
            </w:r>
          </w:p>
        </w:tc>
        <w:tc>
          <w:tcPr/>
          <w:p>
            <w:pPr>
              <w:pStyle w:val="Compact"/>
              <w:jc w:val="center"/>
            </w:pPr>
            <w:r>
              <w:t xml:space="preserve">0.954</w:t>
            </w:r>
          </w:p>
        </w:tc>
      </w:tr>
      <w:tr>
        <w:tc>
          <w:tcPr>
            <w:gridSpan w:val="5"/>
          </w:tcPr>
          <w:p>
            <w:pPr>
              <w:pStyle w:val="Compact"/>
              <w:jc w:val="left"/>
            </w:pPr>
            <w:r>
              <w:rPr>
                <w:i/>
                <w:iCs/>
              </w:rPr>
              <w:t xml:space="preserve">Alliances (44,394 alliance-years, 330 sign changes)</w:t>
            </w:r>
          </w:p>
        </w:tc>
      </w:tr>
      <w:tr>
        <w:tc>
          <w:tcPr/>
          <w:p>
            <w:pPr>
              <w:pStyle w:val="Compact"/>
              <w:jc w:val="left"/>
            </w:pPr>
            <w:r>
              <w:t xml:space="preserve">Larger share</w:t>
            </w:r>
          </w:p>
        </w:tc>
        <w:tc>
          <w:tcPr/>
          <w:p>
            <w:pPr>
              <w:pStyle w:val="Compact"/>
              <w:jc w:val="center"/>
            </w:pPr>
            <w:r>
              <w:t xml:space="preserve">0.388 (0.055)</w:t>
            </w:r>
          </w:p>
        </w:tc>
        <w:tc>
          <w:tcPr/>
          <w:p>
            <w:pPr>
              <w:pStyle w:val="Compact"/>
              <w:jc w:val="center"/>
            </w:pPr>
            <w:r>
              <w:t xml:space="preserve">0.374 (0.055)</w:t>
            </w:r>
          </w:p>
        </w:tc>
        <w:tc>
          <w:tcPr/>
          <w:p>
            <w:pPr>
              <w:pStyle w:val="Compact"/>
              <w:jc w:val="center"/>
            </w:pPr>
            <w:r>
              <w:t xml:space="preserve">0.347 (0.056)</w:t>
            </w:r>
          </w:p>
        </w:tc>
        <w:tc>
          <w:tcPr/>
          <w:p>
            <w:pPr>
              <w:pStyle w:val="Compact"/>
              <w:jc w:val="center"/>
            </w:pPr>
            <w:r>
              <w:t xml:space="preserve">–</w:t>
            </w:r>
          </w:p>
        </w:tc>
      </w:tr>
      <w:tr>
        <w:tc>
          <w:tcPr/>
          <w:p>
            <w:pPr>
              <w:pStyle w:val="Compact"/>
              <w:jc w:val="left"/>
            </w:pPr>
            <w:r>
              <w:t xml:space="preserve">Unbalanced triads,</w:t>
            </w:r>
            <w:r>
              <w:t xml:space="preserve"> </w:t>
            </w:r>
            <m:oMath>
              <m:r>
                <m:rPr>
                  <m:sty m:val="p"/>
                </m:rPr>
                <m:t>log</m:t>
              </m:r>
              <m:r>
                <m:rPr>
                  <m:sty m:val="p"/>
                </m:rPr>
                <m:t>(</m:t>
              </m:r>
              <m:r>
                <m:t>1</m:t>
              </m:r>
              <m:r>
                <m:rPr>
                  <m:sty m:val="p"/>
                </m:rPr>
                <m:t>+</m:t>
              </m:r>
              <m:r>
                <m:t>U</m:t>
              </m:r>
              <m:r>
                <m:rPr>
                  <m:sty m:val="p"/>
                </m:rPr>
                <m:t>)</m:t>
              </m:r>
            </m:oMath>
          </w:p>
        </w:tc>
        <w:tc>
          <w:tcPr/>
          <w:p>
            <w:pPr>
              <w:pStyle w:val="Compact"/>
              <w:jc w:val="center"/>
            </w:pPr>
            <w:r>
              <w:t xml:space="preserve">–</w:t>
            </w:r>
          </w:p>
        </w:tc>
        <w:tc>
          <w:tcPr/>
          <w:p>
            <w:pPr>
              <w:pStyle w:val="Compact"/>
              <w:jc w:val="center"/>
            </w:pPr>
            <w:r>
              <w:t xml:space="preserve">0.674 (0.143)</w:t>
            </w:r>
          </w:p>
        </w:tc>
        <w:tc>
          <w:tcPr/>
          <w:p>
            <w:pPr>
              <w:pStyle w:val="Compact"/>
              <w:jc w:val="center"/>
            </w:pPr>
            <w:r>
              <w:t xml:space="preserve">0.691 (0.141)</w:t>
            </w:r>
          </w:p>
        </w:tc>
        <w:tc>
          <w:tcPr/>
          <w:p>
            <w:pPr>
              <w:pStyle w:val="Compact"/>
              <w:jc w:val="center"/>
            </w:pPr>
            <w:r>
              <w:t xml:space="preserve">0.679 (0.141)</w:t>
            </w:r>
          </w:p>
        </w:tc>
      </w:tr>
      <w:tr>
        <w:tc>
          <w:tcPr/>
          <w:p>
            <w:pPr>
              <w:pStyle w:val="Compact"/>
              <w:jc w:val="left"/>
            </w:pPr>
            <w:r>
              <w:t xml:space="preserve">Balanced triads,</w:t>
            </w:r>
            <w:r>
              <w:t xml:space="preserve"> </w:t>
            </w:r>
            <m:oMath>
              <m:r>
                <m:rPr>
                  <m:sty m:val="p"/>
                </m:rPr>
                <m:t>log</m:t>
              </m:r>
              <m:r>
                <m:rPr>
                  <m:sty m:val="p"/>
                </m:rPr>
                <m:t>(</m:t>
              </m:r>
              <m:r>
                <m:t>1</m:t>
              </m:r>
              <m:r>
                <m:rPr>
                  <m:sty m:val="p"/>
                </m:rPr>
                <m:t>+</m:t>
              </m:r>
              <m:r>
                <m:t>B</m:t>
              </m:r>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r>
              <w:t xml:space="preserve">0.320 (0.103)</w:t>
            </w:r>
          </w:p>
        </w:tc>
        <w:tc>
          <w:tcPr/>
          <w:p>
            <w:pPr>
              <w:pStyle w:val="Compact"/>
              <w:jc w:val="center"/>
            </w:pPr>
            <m:oMath>
              <m:r>
                <m:rPr>
                  <m:sty m:val="p"/>
                </m:rPr>
                <m:t>−</m:t>
              </m:r>
            </m:oMath>
            <w:r>
              <w:t xml:space="preserve">0.470 (0.101)</w:t>
            </w:r>
          </w:p>
        </w:tc>
      </w:tr>
      <w:tr>
        <w:tc>
          <w:tcPr/>
          <w:p>
            <w:pPr>
              <w:pStyle w:val="Compact"/>
              <w:jc w:val="left"/>
            </w:pPr>
            <w:r>
              <w:t xml:space="preserve">AIC</w:t>
            </w:r>
          </w:p>
        </w:tc>
        <w:tc>
          <w:tcPr/>
          <w:p>
            <w:pPr>
              <w:pStyle w:val="Compact"/>
              <w:jc w:val="center"/>
            </w:pPr>
            <w:r>
              <w:t xml:space="preserve">3,512.8</w:t>
            </w:r>
          </w:p>
        </w:tc>
        <w:tc>
          <w:tcPr/>
          <w:p>
            <w:pPr>
              <w:pStyle w:val="Compact"/>
              <w:jc w:val="center"/>
            </w:pPr>
            <w:r>
              <w:t xml:space="preserve">3,491.2</w:t>
            </w:r>
          </w:p>
        </w:tc>
        <w:tc>
          <w:tcPr/>
          <w:p>
            <w:pPr>
              <w:pStyle w:val="Compact"/>
              <w:jc w:val="center"/>
            </w:pPr>
            <w:r>
              <w:t xml:space="preserve">3,473.0</w:t>
            </w:r>
          </w:p>
        </w:tc>
        <w:tc>
          <w:tcPr/>
          <w:p>
            <w:pPr>
              <w:pStyle w:val="Compact"/>
              <w:jc w:val="center"/>
            </w:pPr>
            <w:r>
              <w:t xml:space="preserve">3,545.0</w:t>
            </w:r>
          </w:p>
        </w:tc>
      </w:tr>
      <w:tr>
        <w:tc>
          <w:tcPr/>
          <w:p>
            <w:pPr>
              <w:pStyle w:val="Compact"/>
              <w:jc w:val="left"/>
            </w:pPr>
            <w:r>
              <w:t xml:space="preserve">Held-out log-likelihood gain over null</w:t>
            </w:r>
          </w:p>
        </w:tc>
        <w:tc>
          <w:tcPr/>
          <w:p>
            <w:pPr>
              <w:pStyle w:val="Compact"/>
              <w:jc w:val="center"/>
            </w:pPr>
            <w:r>
              <w:t xml:space="preserve">0.0041</w:t>
            </w:r>
          </w:p>
        </w:tc>
        <w:tc>
          <w:tcPr/>
          <w:p>
            <w:pPr>
              <w:pStyle w:val="Compact"/>
              <w:jc w:val="center"/>
            </w:pPr>
            <w:r>
              <w:t xml:space="preserve">0.0044</w:t>
            </w:r>
          </w:p>
        </w:tc>
        <w:tc>
          <w:tcPr/>
          <w:p>
            <w:pPr>
              <w:pStyle w:val="Compact"/>
              <w:jc w:val="center"/>
            </w:pPr>
            <w:r>
              <w:t xml:space="preserve">0.0046</w:t>
            </w:r>
          </w:p>
        </w:tc>
        <w:tc>
          <w:tcPr/>
          <w:p>
            <w:pPr>
              <w:pStyle w:val="Compact"/>
              <w:jc w:val="center"/>
            </w:pPr>
            <w:r>
              <w:t xml:space="preserve">0.0038</w:t>
            </w:r>
          </w:p>
        </w:tc>
      </w:tr>
      <w:tr>
        <w:tc>
          <w:tcPr/>
          <w:p>
            <w:pPr>
              <w:pStyle w:val="Compact"/>
              <w:jc w:val="left"/>
            </w:pPr>
            <w:r>
              <w:t xml:space="preserve">Held-out AUC</w:t>
            </w:r>
          </w:p>
        </w:tc>
        <w:tc>
          <w:tcPr/>
          <w:p>
            <w:pPr>
              <w:pStyle w:val="Compact"/>
              <w:jc w:val="center"/>
            </w:pPr>
            <w:r>
              <w:t xml:space="preserve">0.791</w:t>
            </w:r>
          </w:p>
        </w:tc>
        <w:tc>
          <w:tcPr/>
          <w:p>
            <w:pPr>
              <w:pStyle w:val="Compact"/>
              <w:jc w:val="center"/>
            </w:pPr>
            <w:r>
              <w:t xml:space="preserve">0.794</w:t>
            </w:r>
          </w:p>
        </w:tc>
        <w:tc>
          <w:tcPr/>
          <w:p>
            <w:pPr>
              <w:pStyle w:val="Compact"/>
              <w:jc w:val="center"/>
            </w:pPr>
            <w:r>
              <w:t xml:space="preserve">0.802</w:t>
            </w:r>
          </w:p>
        </w:tc>
        <w:tc>
          <w:tcPr/>
          <w:p>
            <w:pPr>
              <w:pStyle w:val="Compact"/>
              <w:jc w:val="center"/>
            </w:pPr>
            <w:r>
              <w:t xml:space="preserve">0.771</w:t>
            </w:r>
          </w:p>
        </w:tc>
      </w:tr>
    </w:tbl>
    <w:p>
      <w:pPr>
        <w:pStyle w:val="BodyText"/>
      </w:pPr>
      <w:r>
        <w:t xml:space="preserve">Logit coefficients with dyad-clustered standard errors; all models include the smaller share (except network only), capability asymmetry, and log duration, and are estimated on identical observations. Controls are capability asymmetry and log duration.</w:t>
      </w:r>
      <w:r>
        <w:t xml:space="preserve"> </w:t>
      </w:r>
      <w:r>
        <w:t xml:space="preserve">“Network + controls”</w:t>
      </w:r>
      <w:r>
        <w:t xml:space="preserve"> </w:t>
      </w:r>
      <w:r>
        <w:t xml:space="preserve">omits both trade shares, so the step from it to the full model is the contribution of the exposure block. Held-out measures from dyad-grouped ten-fold cross-validation repeated five times. Scripts 58 and 59.</w:t>
      </w:r>
    </w:p>
    <w:p>
      <w:pPr>
        <w:pStyle w:val="BodyText"/>
      </w:pPr>
      <w:r>
        <w:t xml:space="preserve">The larger-share coefficient does not fall when structure enters: for disputes it goes from 0.31 to 0.41 and for alliances from 0.39 to 0.35. For disputes the alliance indicator alone gives a held-out AUC of 0.95, and unbalanced triads raise it only from 0.959 to 0.960 once the indicator is in the model.</w:t>
      </w:r>
    </w:p>
    <w:p>
      <w:pPr>
        <w:pStyle w:val="Heading2"/>
      </w:pPr>
      <w:r>
        <w:t xml:space="preserve">O.2 Dispute endings by alliance status</w:t>
      </w:r>
    </w:p>
    <w:p>
      <w:pPr>
        <w:pStyle w:val="TableCaption"/>
      </w:pPr>
      <w:r>
        <w:t xml:space="preserve">Table 44. The larger share and the ending of a militarised dispute, by alliance status</w:t>
      </w:r>
    </w:p>
    <w:tbl>
      <w:tblPr>
        <w:tblLayout w:type="autofit"/>
        <w:tblStyle w:val="Table"/>
        <w:tblW w:type="pct" w:w="5000"/>
        <w:tblLook w:firstRow="1" w:lastRow="0" w:firstColumn="0" w:lastColumn="0" w:noHBand="0" w:noVBand="0" w:val="0020"/>
        <w:tblCaption w:val="Table 44. The larger share and the ending of a militarised dispute, by alliance status"/>
      </w:tblPr>
      <w:tblGrid>
        <w:gridCol w:w="1584"/>
        <w:gridCol w:w="1584"/>
        <w:gridCol w:w="1584"/>
        <w:gridCol w:w="1584"/>
        <w:gridCol w:w="1584"/>
      </w:tblGrid>
      <w:tr>
        <w:trPr>
          <w:tblHeader w:val="on"/>
        </w:trPr>
        <w:tc>
          <w:tcPr/>
          <w:p>
            <w:pPr>
              <w:pStyle w:val="Compact"/>
              <w:jc w:val="left"/>
            </w:pPr>
            <w:r>
              <w:t xml:space="preserve">Sample</w:t>
            </w:r>
          </w:p>
        </w:tc>
        <w:tc>
          <w:tcPr/>
          <w:p>
            <w:pPr>
              <w:pStyle w:val="Compact"/>
              <w:jc w:val="center"/>
            </w:pPr>
            <m:oMath>
              <m:r>
                <m:t>b</m:t>
              </m:r>
            </m:oMath>
            <w:r>
              <w:t xml:space="preserve"> </w:t>
            </w:r>
            <w:r>
              <w:t xml:space="preserve">(SE)</w:t>
            </w:r>
          </w:p>
        </w:tc>
        <w:tc>
          <w:tcPr/>
          <w:p>
            <w:pPr>
              <w:pStyle w:val="Compact"/>
              <w:jc w:val="center"/>
            </w:pPr>
            <m:oMath>
              <m:r>
                <m:t>p</m:t>
              </m:r>
            </m:oMath>
          </w:p>
        </w:tc>
        <w:tc>
          <w:tcPr/>
          <w:p>
            <w:pPr>
              <w:pStyle w:val="Compact"/>
              <w:jc w:val="center"/>
            </w:pPr>
            <w:r>
              <w:t xml:space="preserve">Endings</w:t>
            </w:r>
          </w:p>
        </w:tc>
        <w:tc>
          <w:tcPr/>
          <w:p>
            <w:pPr>
              <w:pStyle w:val="Compact"/>
              <w:jc w:val="center"/>
            </w:pPr>
            <w:r>
              <w:t xml:space="preserve">Dyads</w:t>
            </w:r>
          </w:p>
        </w:tc>
      </w:tr>
      <w:tr>
        <w:tc>
          <w:tcPr/>
          <w:p>
            <w:pPr>
              <w:pStyle w:val="Compact"/>
              <w:jc w:val="left"/>
            </w:pPr>
            <w:r>
              <w:t xml:space="preserve">All dispute-years</w:t>
            </w:r>
          </w:p>
        </w:tc>
        <w:tc>
          <w:tcPr/>
          <w:p>
            <w:pPr>
              <w:pStyle w:val="Compact"/>
              <w:jc w:val="center"/>
            </w:pPr>
            <w:r>
              <w:t xml:space="preserve">0.033 (0.050)</w:t>
            </w:r>
          </w:p>
        </w:tc>
        <w:tc>
          <w:tcPr/>
          <w:p>
            <w:pPr>
              <w:pStyle w:val="Compact"/>
              <w:jc w:val="center"/>
            </w:pPr>
            <w:r>
              <w:t xml:space="preserve">0.50</w:t>
            </w:r>
          </w:p>
        </w:tc>
        <w:tc>
          <w:tcPr/>
          <w:p>
            <w:pPr>
              <w:pStyle w:val="Compact"/>
              <w:jc w:val="center"/>
            </w:pPr>
            <w:r>
              <w:t xml:space="preserve">1,446</w:t>
            </w:r>
          </w:p>
        </w:tc>
        <w:tc>
          <w:tcPr/>
          <w:p>
            <w:pPr>
              <w:pStyle w:val="Compact"/>
              <w:jc w:val="center"/>
            </w:pPr>
            <w:r>
              <w:t xml:space="preserve">649</w:t>
            </w:r>
          </w:p>
        </w:tc>
      </w:tr>
      <w:tr>
        <w:tc>
          <w:tcPr/>
          <w:p>
            <w:pPr>
              <w:pStyle w:val="Compact"/>
              <w:jc w:val="left"/>
            </w:pPr>
            <w:r>
              <w:t xml:space="preserve">Alliance in force</w:t>
            </w:r>
          </w:p>
        </w:tc>
        <w:tc>
          <w:tcPr/>
          <w:p>
            <w:pPr>
              <w:pStyle w:val="Compact"/>
              <w:jc w:val="center"/>
            </w:pPr>
            <w:r>
              <w:t xml:space="preserve">0.244 (0.122)</w:t>
            </w:r>
          </w:p>
        </w:tc>
        <w:tc>
          <w:tcPr/>
          <w:p>
            <w:pPr>
              <w:pStyle w:val="Compact"/>
              <w:jc w:val="center"/>
            </w:pPr>
            <w:r>
              <w:t xml:space="preserve">0.045</w:t>
            </w:r>
          </w:p>
        </w:tc>
        <w:tc>
          <w:tcPr/>
          <w:p>
            <w:pPr>
              <w:pStyle w:val="Compact"/>
              <w:jc w:val="center"/>
            </w:pPr>
            <w:r>
              <w:t xml:space="preserve">319</w:t>
            </w:r>
          </w:p>
        </w:tc>
        <w:tc>
          <w:tcPr/>
          <w:p>
            <w:pPr>
              <w:pStyle w:val="Compact"/>
              <w:jc w:val="center"/>
            </w:pPr>
            <w:r>
              <w:t xml:space="preserve">161</w:t>
            </w:r>
          </w:p>
        </w:tc>
      </w:tr>
      <w:tr>
        <w:tc>
          <w:tcPr/>
          <w:p>
            <w:pPr>
              <w:pStyle w:val="Compact"/>
              <w:jc w:val="left"/>
            </w:pPr>
            <w:r>
              <w:t xml:space="preserve">No alliance in force</w:t>
            </w:r>
          </w:p>
        </w:tc>
        <w:tc>
          <w:tcPr/>
          <w:p>
            <w:pPr>
              <w:pStyle w:val="Compact"/>
              <w:jc w:val="center"/>
            </w:pPr>
            <m:oMath>
              <m:r>
                <m:rPr>
                  <m:sty m:val="p"/>
                </m:rPr>
                <m:t>−</m:t>
              </m:r>
            </m:oMath>
            <w:r>
              <w:t xml:space="preserve">0.001 (0.057)</w:t>
            </w:r>
          </w:p>
        </w:tc>
        <w:tc>
          <w:tcPr/>
          <w:p>
            <w:pPr>
              <w:pStyle w:val="Compact"/>
              <w:jc w:val="center"/>
            </w:pPr>
            <w:r>
              <w:t xml:space="preserve">0.98</w:t>
            </w:r>
          </w:p>
        </w:tc>
        <w:tc>
          <w:tcPr/>
          <w:p>
            <w:pPr>
              <w:pStyle w:val="Compact"/>
              <w:jc w:val="center"/>
            </w:pPr>
            <w:r>
              <w:t xml:space="preserve">1,127</w:t>
            </w:r>
          </w:p>
        </w:tc>
        <w:tc>
          <w:tcPr/>
          <w:p>
            <w:pPr>
              <w:pStyle w:val="Compact"/>
              <w:jc w:val="center"/>
            </w:pPr>
            <w:r>
              <w:t xml:space="preserve">545</w:t>
            </w:r>
          </w:p>
        </w:tc>
      </w:tr>
      <w:tr>
        <w:tc>
          <w:tcPr/>
          <w:p>
            <w:pPr>
              <w:pStyle w:val="Compact"/>
              <w:jc w:val="left"/>
            </w:pPr>
            <w:r>
              <w:t xml:space="preserve">Interaction: larger share</w:t>
            </w:r>
            <w:r>
              <w:t xml:space="preserve"> </w:t>
            </w:r>
            <m:oMath>
              <m:r>
                <m:rPr>
                  <m:sty m:val="p"/>
                </m:rPr>
                <m:t>×</m:t>
              </m:r>
            </m:oMath>
            <w:r>
              <w:t xml:space="preserve"> </w:t>
            </w:r>
            <w:r>
              <w:t xml:space="preserve">alliance in force</w:t>
            </w:r>
          </w:p>
        </w:tc>
        <w:tc>
          <w:tcPr/>
          <w:p>
            <w:pPr>
              <w:pStyle w:val="Compact"/>
              <w:jc w:val="center"/>
            </w:pPr>
            <w:r>
              <w:t xml:space="preserve">0.131 (0.090)</w:t>
            </w:r>
          </w:p>
        </w:tc>
        <w:tc>
          <w:tcPr/>
          <w:p>
            <w:pPr>
              <w:pStyle w:val="Compact"/>
              <w:jc w:val="center"/>
            </w:pPr>
            <w:r>
              <w:t xml:space="preserve">0.15</w:t>
            </w:r>
          </w:p>
        </w:tc>
        <w:tc>
          <w:tcPr/>
          <w:p>
            <w:pPr>
              <w:pStyle w:val="Compact"/>
              <w:jc w:val="center"/>
            </w:pPr>
            <w:r>
              <w:t xml:space="preserve">1,446</w:t>
            </w:r>
          </w:p>
        </w:tc>
        <w:tc>
          <w:tcPr/>
          <w:p>
            <w:pPr>
              <w:pStyle w:val="Compact"/>
              <w:jc w:val="center"/>
            </w:pPr>
            <w:r>
              <w:t xml:space="preserve">649</w:t>
            </w:r>
          </w:p>
        </w:tc>
      </w:tr>
    </w:tbl>
    <w:p>
      <w:pPr>
        <w:pStyle w:val="BodyText"/>
      </w:pPr>
      <w:r>
        <w:t xml:space="preserve">Outcome: the dispute changes sign or ends in the following year. Logit models with the smaller share, capability asymmetry, log duration, and the two pressure counts, standard errors clustered by dyad.</w:t>
      </w:r>
      <w:r>
        <w:t xml:space="preserve"> </w:t>
      </w:r>
      <w:r>
        <w:t xml:space="preserve">“Alliance in force”</w:t>
      </w:r>
      <w:r>
        <w:t xml:space="preserve"> </w:t>
      </w:r>
      <w:r>
        <w:t xml:space="preserve">means a defence pact covering the dyad in that year. Script 44.</w:t>
      </w:r>
    </w:p>
    <w:p>
      <w:pPr>
        <w:pStyle w:val="BodyText"/>
      </w:pPr>
      <w:r>
        <w:t xml:space="preserve">In the signed network the larger share does not predict whether a dispute ends at all. It predicts endings where an alliance is in force and not where none is, but the interaction is not significant. Among allied dispute-years the smaller share is positive and not significant (0.16,</w:t>
      </w:r>
      <w:r>
        <w:t xml:space="preserve"> </w:t>
      </w:r>
      <m:oMath>
        <m:r>
          <m:t>p</m:t>
        </m:r>
        <m:r>
          <m:rPr>
            <m:sty m:val="p"/>
          </m:rPr>
          <m:t>=</m:t>
        </m:r>
        <m:r>
          <m:t>0.18</m:t>
        </m:r>
      </m:oMath>
      <w:r>
        <w:t xml:space="preserve">). Among disputes that do end, a larger share predicts ending with the alliance retained (</w:t>
      </w:r>
      <m:oMath>
        <m:r>
          <m:t>b</m:t>
        </m:r>
        <m:r>
          <m:rPr>
            <m:sty m:val="p"/>
          </m:rPr>
          <m:t>=</m:t>
        </m:r>
        <m:r>
          <m:t>0.66</m:t>
        </m:r>
      </m:oMath>
      <w:r>
        <w:t xml:space="preserve">,</w:t>
      </w:r>
      <w:r>
        <w:t xml:space="preserve"> </w:t>
      </w:r>
      <m:oMath>
        <m:r>
          <m:t>p</m:t>
        </m:r>
        <m:r>
          <m:rPr>
            <m:sty m:val="p"/>
          </m:rPr>
          <m:t>&lt;</m:t>
        </m:r>
        <m:r>
          <m:t>0.001</m:t>
        </m:r>
      </m:oMath>
      <w:r>
        <w:t xml:space="preserve">), partly reflecting the alliance indicator itself.</w:t>
      </w:r>
    </w:p>
    <w:p>
      <w:pPr>
        <w:pStyle w:val="Heading2"/>
      </w:pPr>
      <w:r>
        <w:t xml:space="preserve">O.3 Alliance ending versus dispute onset</w:t>
      </w:r>
    </w:p>
    <w:p>
      <w:pPr>
        <w:pStyle w:val="FirstParagraph"/>
      </w:pPr>
      <w:r>
        <w:t xml:space="preserve">For an allied dyad with no dispute under way, a dispute can begin while the alliance stays in force (a bend, 312 events) or the alliance can end outright (a break, 186 events). The table estimates the two outcomes together with outcome-specific coefficients and reports the difference.</w:t>
      </w:r>
    </w:p>
    <w:p>
      <w:pPr>
        <w:pStyle w:val="TableCaption"/>
      </w:pPr>
      <w:r>
        <w:t xml:space="preserve">Table 45. Alliance ending versus dispute onset: the larger share and what happens next to an alliance with no dispute under way</w:t>
      </w:r>
    </w:p>
    <w:tbl>
      <w:tblPr>
        <w:tblLayout w:type="autofit"/>
        <w:tblStyle w:val="Table"/>
        <w:tblW w:type="pct" w:w="5000"/>
        <w:tblLook w:firstRow="1" w:lastRow="0" w:firstColumn="0" w:lastColumn="0" w:noHBand="0" w:noVBand="0" w:val="0020"/>
        <w:tblCaption w:val="Table 45. Alliance ending versus dispute onset: the larger share and what happens next to an alliance with no dispute under way"/>
      </w:tblPr>
      <w:tblGrid>
        <w:gridCol w:w="1980"/>
        <w:gridCol w:w="1980"/>
        <w:gridCol w:w="1980"/>
        <w:gridCol w:w="1980"/>
      </w:tblGrid>
      <w:tr>
        <w:trPr>
          <w:tblHeader w:val="on"/>
        </w:trPr>
        <w:tc>
          <w:tcPr/>
          <w:p>
            <w:pPr>
              <w:pStyle w:val="Compact"/>
            </w:pPr>
          </w:p>
        </w:tc>
        <w:tc>
          <w:tcPr/>
          <w:p>
            <w:pPr>
              <w:pStyle w:val="Compact"/>
              <w:jc w:val="center"/>
            </w:pPr>
            <w:r>
              <w:t xml:space="preserve">Alliance ends (break)</w:t>
            </w:r>
          </w:p>
        </w:tc>
        <w:tc>
          <w:tcPr/>
          <w:p>
            <w:pPr>
              <w:pStyle w:val="Compact"/>
              <w:jc w:val="center"/>
            </w:pPr>
            <w:r>
              <w:t xml:space="preserve">Dispute begins (bend)</w:t>
            </w:r>
          </w:p>
        </w:tc>
        <w:tc>
          <w:tcPr/>
          <w:p>
            <w:pPr>
              <w:pStyle w:val="Compact"/>
              <w:jc w:val="center"/>
            </w:pPr>
            <w:r>
              <w:t xml:space="preserve">Difference (bend</w:t>
            </w:r>
            <w:r>
              <w:t xml:space="preserve"> </w:t>
            </w:r>
            <m:oMath>
              <m:r>
                <m:rPr>
                  <m:sty m:val="p"/>
                </m:rPr>
                <m:t>−</m:t>
              </m:r>
            </m:oMath>
            <w:r>
              <w:t xml:space="preserve"> </w:t>
            </w:r>
            <w:r>
              <w:t xml:space="preserve">break)</w:t>
            </w:r>
          </w:p>
        </w:tc>
      </w:tr>
      <w:tr>
        <w:tc>
          <w:tcPr/>
          <w:p>
            <w:pPr>
              <w:pStyle w:val="Compact"/>
              <w:jc w:val="left"/>
            </w:pPr>
            <w:r>
              <w:t xml:space="preserve">Baseline</w:t>
            </w:r>
          </w:p>
        </w:tc>
        <w:tc>
          <w:tcPr/>
          <w:p>
            <w:pPr>
              <w:pStyle w:val="Compact"/>
              <w:jc w:val="center"/>
            </w:pPr>
            <m:oMath>
              <m:r>
                <m:rPr>
                  <m:sty m:val="p"/>
                </m:rPr>
                <m:t>−</m:t>
              </m:r>
            </m:oMath>
            <w:r>
              <w:t xml:space="preserve">0.114 (0.058)</w:t>
            </w:r>
          </w:p>
        </w:tc>
        <w:tc>
          <w:tcPr/>
          <w:p>
            <w:pPr>
              <w:pStyle w:val="Compact"/>
              <w:jc w:val="center"/>
            </w:pPr>
            <w:r>
              <w:t xml:space="preserve">0.170 (0.045)</w:t>
            </w:r>
          </w:p>
        </w:tc>
        <w:tc>
          <w:tcPr/>
          <w:p>
            <w:pPr>
              <w:pStyle w:val="Compact"/>
              <w:jc w:val="center"/>
            </w:pPr>
            <w:r>
              <w:t xml:space="preserve">0.284 (0.074),</w:t>
            </w:r>
            <w:r>
              <w:t xml:space="preserve"> </w:t>
            </w:r>
            <m:oMath>
              <m:r>
                <m:t>p</m:t>
              </m:r>
              <m:r>
                <m:rPr>
                  <m:sty m:val="p"/>
                </m:rPr>
                <m:t>&lt;</m:t>
              </m:r>
              <m:r>
                <m:t>0.001</m:t>
              </m:r>
            </m:oMath>
          </w:p>
        </w:tc>
      </w:tr>
      <w:tr>
        <w:tc>
          <w:tcPr/>
          <w:p>
            <w:pPr>
              <w:pStyle w:val="Compact"/>
              <w:jc w:val="left"/>
            </w:pPr>
            <w:r>
              <w:t xml:space="preserve">+ Volume, decade fixed effects</w:t>
            </w:r>
          </w:p>
        </w:tc>
        <w:tc>
          <w:tcPr/>
          <w:p>
            <w:pPr>
              <w:pStyle w:val="Compact"/>
              <w:jc w:val="center"/>
            </w:pPr>
            <m:oMath>
              <m:r>
                <m:rPr>
                  <m:sty m:val="p"/>
                </m:rPr>
                <m:t>−</m:t>
              </m:r>
            </m:oMath>
            <w:r>
              <w:t xml:space="preserve">0.102 (0.058)</w:t>
            </w:r>
          </w:p>
        </w:tc>
        <w:tc>
          <w:tcPr/>
          <w:p>
            <w:pPr>
              <w:pStyle w:val="Compact"/>
              <w:jc w:val="center"/>
            </w:pPr>
            <w:r>
              <w:t xml:space="preserve">0.180 (0.048)</w:t>
            </w:r>
          </w:p>
        </w:tc>
        <w:tc>
          <w:tcPr/>
          <w:p>
            <w:pPr>
              <w:pStyle w:val="Compact"/>
              <w:jc w:val="center"/>
            </w:pPr>
            <w:r>
              <w:t xml:space="preserve">0.281 (0.075),</w:t>
            </w:r>
            <w:r>
              <w:t xml:space="preserve"> </w:t>
            </w:r>
            <m:oMath>
              <m:r>
                <m:t>p</m:t>
              </m:r>
              <m:r>
                <m:rPr>
                  <m:sty m:val="p"/>
                </m:rPr>
                <m:t>&lt;</m:t>
              </m:r>
              <m:r>
                <m:t>0.001</m:t>
              </m:r>
            </m:oMath>
          </w:p>
        </w:tc>
      </w:tr>
      <w:tr>
        <w:tc>
          <w:tcPr/>
          <w:p>
            <w:pPr>
              <w:pStyle w:val="Compact"/>
              <w:jc w:val="left"/>
            </w:pPr>
            <w:r>
              <w:t xml:space="preserve">Contiguous dyads only</w:t>
            </w:r>
          </w:p>
        </w:tc>
        <w:tc>
          <w:tcPr/>
          <w:p>
            <w:pPr>
              <w:pStyle w:val="Compact"/>
              <w:jc w:val="center"/>
            </w:pPr>
            <m:oMath>
              <m:r>
                <m:rPr>
                  <m:sty m:val="p"/>
                </m:rPr>
                <m:t>−</m:t>
              </m:r>
            </m:oMath>
            <w:r>
              <w:t xml:space="preserve">0.113 (0.086)</w:t>
            </w:r>
          </w:p>
        </w:tc>
        <w:tc>
          <w:tcPr/>
          <w:p>
            <w:pPr>
              <w:pStyle w:val="Compact"/>
              <w:jc w:val="center"/>
            </w:pPr>
            <w:r>
              <w:t xml:space="preserve">0.086 (0.054)</w:t>
            </w:r>
          </w:p>
        </w:tc>
        <w:tc>
          <w:tcPr/>
          <w:p>
            <w:pPr>
              <w:pStyle w:val="Compact"/>
              <w:jc w:val="center"/>
            </w:pPr>
            <w:r>
              <w:t xml:space="preserve">0.199 (0.106),</w:t>
            </w:r>
            <w:r>
              <w:t xml:space="preserve"> </w:t>
            </w:r>
            <m:oMath>
              <m:r>
                <m:t>p</m:t>
              </m:r>
              <m:r>
                <m:rPr>
                  <m:sty m:val="p"/>
                </m:rPr>
                <m:t>=</m:t>
              </m:r>
              <m:r>
                <m:t>0.060</m:t>
              </m:r>
            </m:oMath>
          </w:p>
        </w:tc>
      </w:tr>
      <w:tr>
        <w:tc>
          <w:tcPr/>
          <w:p>
            <w:pPr>
              <w:pStyle w:val="Compact"/>
              <w:jc w:val="left"/>
            </w:pPr>
            <w:r>
              <w:t xml:space="preserve">1946 onward</w:t>
            </w:r>
          </w:p>
        </w:tc>
        <w:tc>
          <w:tcPr/>
          <w:p>
            <w:pPr>
              <w:pStyle w:val="Compact"/>
              <w:jc w:val="center"/>
            </w:pPr>
            <m:oMath>
              <m:r>
                <m:rPr>
                  <m:sty m:val="p"/>
                </m:rPr>
                <m:t>−</m:t>
              </m:r>
            </m:oMath>
            <w:r>
              <w:t xml:space="preserve">0.069 (0.063)</w:t>
            </w:r>
          </w:p>
        </w:tc>
        <w:tc>
          <w:tcPr/>
          <w:p>
            <w:pPr>
              <w:pStyle w:val="Compact"/>
              <w:jc w:val="center"/>
            </w:pPr>
            <w:r>
              <w:t xml:space="preserve">0.170 (0.050)</w:t>
            </w:r>
          </w:p>
        </w:tc>
        <w:tc>
          <w:tcPr/>
          <w:p>
            <w:pPr>
              <w:pStyle w:val="Compact"/>
              <w:jc w:val="center"/>
            </w:pPr>
            <w:r>
              <w:t xml:space="preserve">0.239 (0.081),</w:t>
            </w:r>
            <w:r>
              <w:t xml:space="preserve"> </w:t>
            </w:r>
            <m:oMath>
              <m:r>
                <m:t>p</m:t>
              </m:r>
              <m:r>
                <m:rPr>
                  <m:sty m:val="p"/>
                </m:rPr>
                <m:t>=</m:t>
              </m:r>
              <m:r>
                <m:t>0.003</m:t>
              </m:r>
            </m:oMath>
          </w:p>
        </w:tc>
      </w:tr>
    </w:tbl>
    <w:p>
      <w:pPr>
        <w:pStyle w:val="BodyText"/>
      </w:pPr>
      <w:r>
        <w:t xml:space="preserve">Stacked cause-specific logit with outcome-specific coefficients, standard errors clustered by dyad. Coefficients per standard deviation of the larger share across the full dyad panel. 43,116 alliance-years without a dispute; 312 bends and 186 breaks (cases in which the alliance ends and a dispute begins are excluded). Controls as in the transition table in Section 5.2 of the main text. Script 51.</w:t>
      </w:r>
    </w:p>
    <w:p>
      <w:pPr>
        <w:pStyle w:val="BodyText"/>
      </w:pPr>
      <w:r>
        <w:t xml:space="preserve">The larger share is positively associated with a dispute beginning inside the alliance (0.17) and negatively with the alliance ending (</w:t>
      </w:r>
      <m:oMath>
        <m:r>
          <m:rPr>
            <m:sty m:val="p"/>
          </m:rPr>
          <m:t>−</m:t>
        </m:r>
        <m:r>
          <m:t>0.11</m:t>
        </m:r>
      </m:oMath>
      <w:r>
        <w:t xml:space="preserve">), a difference of 0.28 (</w:t>
      </w:r>
      <m:oMath>
        <m:r>
          <m:t>p</m:t>
        </m:r>
        <m:r>
          <m:rPr>
            <m:sty m:val="p"/>
          </m:rPr>
          <m:t>&lt;</m:t>
        </m:r>
        <m:r>
          <m:t>0.001</m:t>
        </m:r>
      </m:oMath>
      <w:r>
        <w:t xml:space="preserve">) that is similar with volume and decade controls (0.28) and after 1946 (0.24) and has the same sign, with less precision, among contiguous dyads (0.20,</w:t>
      </w:r>
      <w:r>
        <w:t xml:space="preserve"> </w:t>
      </w:r>
      <m:oMath>
        <m:r>
          <m:t>p</m:t>
        </m:r>
        <m:r>
          <m:rPr>
            <m:sty m:val="p"/>
          </m:rPr>
          <m:t>=</m:t>
        </m:r>
        <m:r>
          <m:t>0.060</m:t>
        </m:r>
      </m:oMath>
      <w:r>
        <w:t xml:space="preserve">). Both sides contribute, though the alliance-ending coefficient is only borderline significant. The comparison shows different observed transition hazards. It does not show that exposure protects alliances from termination, and it cannot be made for disputes, because a dispute that ends without a sign change is mostly one with no alliance behind it.</w:t>
      </w:r>
    </w:p>
    <w:p>
      <w:pPr>
        <w:pStyle w:val="Heading2"/>
      </w:pPr>
      <w:r>
        <w:t xml:space="preserve">O.4 Robustness of the signed-network estimates</w:t>
      </w:r>
    </w:p>
    <w:p>
      <w:pPr>
        <w:pStyle w:val="CaptionedFigure"/>
      </w:pPr>
      <w:r>
        <w:drawing>
          <wp:inline>
            <wp:extent cx="5334000" cy="3892378"/>
            <wp:effectExtent b="0" l="0" r="0" t="0"/>
            <wp:docPr descr="" title="" id="86" name="Picture"/>
            <a:graphic>
              <a:graphicData uri="http://schemas.openxmlformats.org/drawingml/2006/picture">
                <pic:pic>
                  <pic:nvPicPr>
                    <pic:cNvPr descr="../../results/fig_hazard_robustness.png" id="87" name="Picture"/>
                    <pic:cNvPicPr>
                      <a:picLocks noChangeArrowheads="1" noChangeAspect="1"/>
                    </pic:cNvPicPr>
                  </pic:nvPicPr>
                  <pic:blipFill>
                    <a:blip r:embed="rId85"/>
                    <a:stretch>
                      <a:fillRect/>
                    </a:stretch>
                  </pic:blipFill>
                  <pic:spPr bwMode="auto">
                    <a:xfrm>
                      <a:off x="0" y="0"/>
                      <a:ext cx="5334000" cy="3892378"/>
                    </a:xfrm>
                    <a:prstGeom prst="rect">
                      <a:avLst/>
                    </a:prstGeom>
                    <a:noFill/>
                    <a:ln w="9525">
                      <a:noFill/>
                      <a:headEnd/>
                      <a:tailEnd/>
                    </a:ln>
                  </pic:spPr>
                </pic:pic>
              </a:graphicData>
            </a:graphic>
          </wp:inline>
        </w:drawing>
      </w:r>
    </w:p>
    <w:p>
      <w:pPr>
        <w:pStyle w:val="ImageCaption"/>
      </w:pPr>
      <w:r>
        <w:t xml:space="preserve">Figure 1. Association between exposure (the larger share, smaller share held fixed) and the hazard of sign change across specifications (log-odds per standard deviation of the larger share, with 95% confidence intervals, standard errors clustered by dyad unless the row says otherwise). Models for disputes and alliances are estimated separately; alliances are defence pacts. The Cox and complementary log-log rows are on the log-hazard scale.</w:t>
      </w:r>
    </w:p>
    <w:p>
      <w:pPr>
        <w:pStyle w:val="BodyText"/>
      </w:pPr>
      <w:r>
        <w:t xml:space="preserve">Adding fixed effects for the large alliance blocs and decades leaves the coefficients unchanged or larger (disputes 0.477, alliances 0.368). Measuring the larger share one, three, and five years before the outcome gives alliance estimates between 0.32 and 0.36 at every lag. The dispute estimate declines from 0.35 at one year to 0.30 at three years and 0.22 at five, where it is not significant. Raising the dispute threshold to hostility level 4 leaves the estimates at 0.38 for disputes and 0.37 for alliances, and defining the outcome as any sign change within three years gives 0.40 and 0.39. A dyadic-robust variance estimator that allows observations sharing a state to be correlated leaves both sign-change estimates significant (</w:t>
      </w:r>
      <m:oMath>
        <m:r>
          <m:t>p</m:t>
        </m:r>
        <m:r>
          <m:rPr>
            <m:sty m:val="p"/>
          </m:rPr>
          <m:t>=</m:t>
        </m:r>
        <m:r>
          <m:t>0.001</m:t>
        </m:r>
      </m:oMath>
      <w:r>
        <w:t xml:space="preserve"> </w:t>
      </w:r>
      <w:r>
        <w:t xml:space="preserve">and</w:t>
      </w:r>
      <w:r>
        <w:t xml:space="preserve"> </w:t>
      </w:r>
      <m:oMath>
        <m:r>
          <m:t>p</m:t>
        </m:r>
        <m:r>
          <m:rPr>
            <m:sty m:val="p"/>
          </m:rPr>
          <m:t>&lt;</m:t>
        </m:r>
        <m:r>
          <m:t>0.001</m:t>
        </m:r>
      </m:oMath>
      <w:r>
        <w:t xml:space="preserve">). Entering the pressure counts as raw counts, square roots, shares, or categories changes the dispute coefficient by at most 0.07. Dropping the 37% of dispute-years that sit in no closed triad leaves the dispute estimate at 0.34 and the alliance estimate at 0.33. Winsorised, logged, and rank versions of the larger share, and the asymmetry, log-ratio, and relative-gap measures, give positive coefficients for sign change that are significant for alliances and mostly significant for disputes (Appendix L.5). Adding contiguity, economic-size asymmetry, and regime type leaves the estimates at 0.54 for disputes and 0.27 for alliances (</w:t>
      </w:r>
      <m:oMath>
        <m:r>
          <m:t>p</m:t>
        </m:r>
        <m:r>
          <m:rPr>
            <m:sty m:val="p"/>
          </m:rPr>
          <m:t>&lt;</m:t>
        </m:r>
        <m:r>
          <m:t>0.01</m:t>
        </m:r>
      </m:oMath>
      <w:r>
        <w:t xml:space="preserve">), in the 2,427 dispute-years and 35,628 alliance-years where all are available (Appendix L.10).</w:t>
      </w:r>
    </w:p>
    <w:p>
      <w:pPr>
        <w:pStyle w:val="BodyText"/>
      </w:pPr>
      <w:r>
        <w:t xml:space="preserve">Three checks weaken the result. First, the hazard scale: for disputes, complementary log-log and Cox models give 0.20 (</w:t>
      </w:r>
      <m:oMath>
        <m:r>
          <m:t>p</m:t>
        </m:r>
        <m:r>
          <m:rPr>
            <m:sty m:val="p"/>
          </m:rPr>
          <m:t>=</m:t>
        </m:r>
        <m:r>
          <m:t>0.16</m:t>
        </m:r>
      </m:oMath>
      <w:r>
        <w:t xml:space="preserve">) and 0.17 (</w:t>
      </w:r>
      <m:oMath>
        <m:r>
          <m:t>p</m:t>
        </m:r>
        <m:r>
          <m:rPr>
            <m:sty m:val="p"/>
          </m:rPr>
          <m:t>=</m:t>
        </m:r>
        <m:r>
          <m:t>0.04</m:t>
        </m:r>
      </m:oMath>
      <w:r>
        <w:t xml:space="preserve">), about half of the logit coefficient, because odds ratios overstate hazard ratios when the event is not rare. Second, repeat change: controlling for the dyad’s prior spells cuts the alliance estimate to 0.15 (</w:t>
      </w:r>
      <m:oMath>
        <m:r>
          <m:t>p</m:t>
        </m:r>
        <m:r>
          <m:rPr>
            <m:sty m:val="p"/>
          </m:rPr>
          <m:t>=</m:t>
        </m:r>
        <m:r>
          <m:t>0.010</m:t>
        </m:r>
      </m:oMath>
      <w:r>
        <w:t xml:space="preserve">), so part of the alliance association reflects dyads that change repeatedly. Third, and most important, dyad fixed effects. Using only within-dyad variation, the estimates are 0.32 for disputes (</w:t>
      </w:r>
      <m:oMath>
        <m:r>
          <m:t>p</m:t>
        </m:r>
        <m:r>
          <m:rPr>
            <m:sty m:val="p"/>
          </m:rPr>
          <m:t>=</m:t>
        </m:r>
        <m:r>
          <m:t>0.16</m:t>
        </m:r>
      </m:oMath>
      <w:r>
        <w:t xml:space="preserve">) and 0.17 for alliances (</w:t>
      </w:r>
      <m:oMath>
        <m:r>
          <m:t>p</m:t>
        </m:r>
        <m:r>
          <m:rPr>
            <m:sty m:val="p"/>
          </m:rPr>
          <m:t>=</m:t>
        </m:r>
        <m:r>
          <m:t>0.10</m:t>
        </m:r>
      </m:oMath>
      <w:r>
        <w:t xml:space="preserve">). Both keep the sign but are not significant, and the alliance estimate is halved. Part of the association therefore reflects differences between dyads, in whether they are ties more likely to change, and not the effect of a given dyad’s exposure rising.</w:t>
      </w:r>
    </w:p>
    <w:p>
      <w:pPr>
        <w:pStyle w:val="Heading1"/>
      </w:pPr>
      <w:r>
        <w:t xml:space="preserve">Appendix P: Further checks on what the association is carried by (Section 5.3)</w:t>
      </w:r>
    </w:p>
    <w:p>
      <w:pPr>
        <w:pStyle w:val="Heading2"/>
      </w:pPr>
      <w:r>
        <w:t xml:space="preserve">P.1 Maximum exposure and asymmetry</w:t>
      </w:r>
    </w:p>
    <w:p>
      <w:pPr>
        <w:pStyle w:val="FirstParagraph"/>
      </w:pPr>
      <w:r>
        <w:t xml:space="preserve">If asymmetry as such mattered, then at a fixed larger share a higher smaller share should reduce asymmetry and with it the hazard of sign change. The main models enter the two shares separately and so test this directly. For sign change the larger share has a positive coefficient (disputes</w:t>
      </w:r>
      <w:r>
        <w:t xml:space="preserve"> </w:t>
      </w:r>
      <m:oMath>
        <m:r>
          <m:t>b</m:t>
        </m:r>
        <m:r>
          <m:rPr>
            <m:sty m:val="p"/>
          </m:rPr>
          <m:t>=</m:t>
        </m:r>
        <m:r>
          <m:t>0.405</m:t>
        </m:r>
      </m:oMath>
      <w:r>
        <w:t xml:space="preserve">,</w:t>
      </w:r>
      <w:r>
        <w:t xml:space="preserve"> </w:t>
      </w:r>
      <m:oMath>
        <m:r>
          <m:t>p</m:t>
        </m:r>
        <m:r>
          <m:rPr>
            <m:sty m:val="p"/>
          </m:rPr>
          <m:t>&lt;</m:t>
        </m:r>
        <m:r>
          <m:t>0.001</m:t>
        </m:r>
      </m:oMath>
      <w:r>
        <w:t xml:space="preserve">; alliances</w:t>
      </w:r>
      <w:r>
        <w:t xml:space="preserve"> </w:t>
      </w:r>
      <m:oMath>
        <m:r>
          <m:t>b</m:t>
        </m:r>
        <m:r>
          <m:rPr>
            <m:sty m:val="p"/>
          </m:rPr>
          <m:t>=</m:t>
        </m:r>
        <m:r>
          <m:t>0.347</m:t>
        </m:r>
      </m:oMath>
      <w:r>
        <w:t xml:space="preserve">,</w:t>
      </w:r>
      <w:r>
        <w:t xml:space="preserve"> </w:t>
      </w:r>
      <m:oMath>
        <m:r>
          <m:t>p</m:t>
        </m:r>
        <m:r>
          <m:rPr>
            <m:sty m:val="p"/>
          </m:rPr>
          <m:t>&lt;</m:t>
        </m:r>
        <m:r>
          <m:t>0.001</m:t>
        </m:r>
      </m:oMath>
      <w:r>
        <w:t xml:space="preserve">) and the smaller share has none (</w:t>
      </w:r>
      <m:oMath>
        <m:r>
          <m:t>b</m:t>
        </m:r>
        <m:r>
          <m:rPr>
            <m:sty m:val="p"/>
          </m:rPr>
          <m:t>=</m:t>
        </m:r>
        <m:r>
          <m:rPr>
            <m:sty m:val="p"/>
          </m:rPr>
          <m:t>−</m:t>
        </m:r>
        <m:r>
          <m:t>0.032</m:t>
        </m:r>
      </m:oMath>
      <w:r>
        <w:t xml:space="preserve"> </w:t>
      </w:r>
      <w:r>
        <w:t xml:space="preserve">and</w:t>
      </w:r>
      <w:r>
        <w:t xml:space="preserve"> </w:t>
      </w:r>
      <m:oMath>
        <m:r>
          <m:t>0.030</m:t>
        </m:r>
      </m:oMath>
      <w:r>
        <w:t xml:space="preserve">, both not significant). The association is carried by how exposed the</w:t>
      </w:r>
      <w:r>
        <w:t xml:space="preserve"> </w:t>
      </w:r>
      <w:r>
        <w:rPr/>
        <w:t xml:space="preserve">more</w:t>
      </w:r>
      <w:r>
        <w:t xml:space="preserve"> </w:t>
      </w:r>
      <w:r>
        <w:t xml:space="preserve">exposed state is, and raising the less exposed state’s stake does not reduce it. The data are consistent with the claim that a relationship is more likely to change when one side is highly exposed, but not with the claim that asymmetry per se is what matters. Scale-free versions of asymmetry (the log-ratio and the relative gap) remain positive (Appendix L.5), and the change in asymmetry from the previous year adds nothing beyond its level for disputes.</w:t>
      </w:r>
    </w:p>
    <w:p>
      <w:pPr>
        <w:pStyle w:val="Heading2"/>
      </w:pPr>
      <w:r>
        <w:t xml:space="preserve">P.2 Trade volume and trade relative to GDP</w:t>
      </w:r>
    </w:p>
    <w:p>
      <w:pPr>
        <w:pStyle w:val="FirstParagraph"/>
      </w:pPr>
      <w:r>
        <w:t xml:space="preserve">A different concern is that the larger share is only a proxy for how much two states trade. The table adds two measures to the model with both shares: the log of the volume of bilateral trade, which does not depend on the two shares alone, and the log of trade intensity, bilateral trade as a share of the two states’ combined trade. The second is an algebraic function of the two shares already in the model (their harmonic mean), so it tests only whether a nonlinear combination adds to their linear effects and is not an independent rival.</w:t>
      </w:r>
    </w:p>
    <w:p>
      <w:pPr>
        <w:pStyle w:val="TableCaption"/>
      </w:pPr>
      <w:r>
        <w:t xml:space="preserve">Table 46. The larger share against conventional measures of trade, sign change</w:t>
      </w:r>
    </w:p>
    <w:tbl>
      <w:tblPr>
        <w:tblLayout w:type="autofit"/>
        <w:tblStyle w:val="Table"/>
        <w:tblW w:type="pct" w:w="5000"/>
        <w:tblLook w:firstRow="1" w:lastRow="0" w:firstColumn="0" w:lastColumn="0" w:noHBand="0" w:noVBand="0" w:val="0020"/>
        <w:tblCaption w:val="Table 46. The larger share against conventional measures of trade, sign change"/>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Disputes</w:t>
            </w:r>
          </w:p>
        </w:tc>
        <w:tc>
          <w:tcPr>
            <w:gridSpan w:val="2"/>
          </w:tcPr>
          <w:p>
            <w:pPr>
              <w:pStyle w:val="Compact"/>
              <w:jc w:val="center"/>
            </w:pPr>
            <w:r>
              <w:t xml:space="preserve">Alliances</w:t>
            </w:r>
          </w:p>
        </w:tc>
      </w:tr>
      <w:tr>
        <w:tc>
          <w:tcPr/>
          <w:p>
            <w:pPr>
              <w:pStyle w:val="Compact"/>
              <w:jc w:val="left"/>
            </w:pPr>
            <w:r>
              <w:t xml:space="preserve">2-3</w:t>
            </w:r>
            <w:r>
              <w:t xml:space="preserve">(lr)</w:t>
            </w:r>
            <w:r>
              <w:t xml:space="preserve">4-5</w:t>
            </w:r>
            <w:r>
              <w:t xml:space="preserve"> </w:t>
            </w:r>
            <w:r>
              <w:t xml:space="preserve">Specification</w:t>
            </w:r>
          </w:p>
        </w:tc>
        <w:tc>
          <w:tcPr/>
          <w:p>
            <w:pPr>
              <w:pStyle w:val="Compact"/>
              <w:jc w:val="center"/>
            </w:pPr>
            <w:r>
              <w:t xml:space="preserve">Larger share</w:t>
            </w:r>
          </w:p>
        </w:tc>
        <w:tc>
          <w:tcPr/>
          <w:p>
            <w:pPr>
              <w:pStyle w:val="Compact"/>
              <w:jc w:val="center"/>
            </w:pPr>
            <w:r>
              <w:t xml:space="preserve">Added measure</w:t>
            </w:r>
          </w:p>
        </w:tc>
        <w:tc>
          <w:tcPr/>
          <w:p>
            <w:pPr>
              <w:pStyle w:val="Compact"/>
              <w:jc w:val="center"/>
            </w:pPr>
            <w:r>
              <w:t xml:space="preserve">Larger share</w:t>
            </w:r>
          </w:p>
        </w:tc>
        <w:tc>
          <w:tcPr/>
          <w:p>
            <w:pPr>
              <w:pStyle w:val="Compact"/>
              <w:jc w:val="center"/>
            </w:pPr>
            <w:r>
              <w:t xml:space="preserve">Added measure</w:t>
            </w:r>
          </w:p>
        </w:tc>
      </w:tr>
      <w:tr>
        <w:tc>
          <w:tcPr/>
          <w:p>
            <w:pPr>
              <w:pStyle w:val="Compact"/>
              <w:jc w:val="left"/>
            </w:pPr>
            <w:r>
              <w:t xml:space="preserve">Both shares only</w:t>
            </w:r>
          </w:p>
        </w:tc>
        <w:tc>
          <w:tcPr/>
          <w:p>
            <w:pPr>
              <w:pStyle w:val="Compact"/>
              <w:jc w:val="center"/>
            </w:pPr>
            <w:r>
              <w:t xml:space="preserve">0.518 (</w:t>
            </w:r>
            <m:oMath>
              <m:r>
                <m:rPr>
                  <m:sty m:val="p"/>
                </m:rPr>
                <m:t>&lt;</m:t>
              </m:r>
            </m:oMath>
            <w:r>
              <w:t xml:space="preserve">0.001)</w:t>
            </w:r>
          </w:p>
        </w:tc>
        <w:tc>
          <w:tcPr/>
          <w:p>
            <w:pPr>
              <w:pStyle w:val="Compact"/>
            </w:pPr>
          </w:p>
        </w:tc>
        <w:tc>
          <w:tcPr/>
          <w:p>
            <w:pPr>
              <w:pStyle w:val="Compact"/>
              <w:jc w:val="center"/>
            </w:pPr>
            <w:r>
              <w:t xml:space="preserve">0.339 (</w:t>
            </w:r>
            <m:oMath>
              <m:r>
                <m:rPr>
                  <m:sty m:val="p"/>
                </m:rPr>
                <m:t>&lt;</m:t>
              </m:r>
            </m:oMath>
            <w:r>
              <w:t xml:space="preserve">0.001)</w:t>
            </w:r>
          </w:p>
        </w:tc>
        <w:tc>
          <w:tcPr/>
          <w:p>
            <w:pPr>
              <w:pStyle w:val="Compact"/>
            </w:pPr>
          </w:p>
        </w:tc>
      </w:tr>
      <w:tr>
        <w:tc>
          <w:tcPr/>
          <w:p>
            <w:pPr>
              <w:pStyle w:val="Compact"/>
              <w:jc w:val="left"/>
            </w:pPr>
            <w:r>
              <w:t xml:space="preserve">+ log trade volume</w:t>
            </w:r>
          </w:p>
        </w:tc>
        <w:tc>
          <w:tcPr/>
          <w:p>
            <w:pPr>
              <w:pStyle w:val="Compact"/>
              <w:jc w:val="center"/>
            </w:pPr>
            <w:r>
              <w:t xml:space="preserve">0.571 (</w:t>
            </w:r>
            <m:oMath>
              <m:r>
                <m:rPr>
                  <m:sty m:val="p"/>
                </m:rPr>
                <m:t>&lt;</m:t>
              </m:r>
            </m:oMath>
            <w:r>
              <w:t xml:space="preserve">0.001)</w:t>
            </w:r>
          </w:p>
        </w:tc>
        <w:tc>
          <w:tcPr/>
          <w:p>
            <w:pPr>
              <w:pStyle w:val="Compact"/>
              <w:jc w:val="center"/>
            </w:pPr>
            <m:oMath>
              <m:r>
                <m:rPr>
                  <m:sty m:val="p"/>
                </m:rPr>
                <m:t>−</m:t>
              </m:r>
            </m:oMath>
            <w:r>
              <w:t xml:space="preserve">0.258 (0.053)</w:t>
            </w:r>
          </w:p>
        </w:tc>
        <w:tc>
          <w:tcPr/>
          <w:p>
            <w:pPr>
              <w:pStyle w:val="Compact"/>
              <w:jc w:val="center"/>
            </w:pPr>
            <w:r>
              <w:t xml:space="preserve">0.290 (</w:t>
            </w:r>
            <m:oMath>
              <m:r>
                <m:rPr>
                  <m:sty m:val="p"/>
                </m:rPr>
                <m:t>&lt;</m:t>
              </m:r>
            </m:oMath>
            <w:r>
              <w:t xml:space="preserve">0.001)</w:t>
            </w:r>
          </w:p>
        </w:tc>
        <w:tc>
          <w:tcPr/>
          <w:p>
            <w:pPr>
              <w:pStyle w:val="Compact"/>
              <w:jc w:val="center"/>
            </w:pPr>
            <w:r>
              <w:t xml:space="preserve">0.228 (0.003)</w:t>
            </w:r>
          </w:p>
        </w:tc>
      </w:tr>
      <w:tr>
        <w:tc>
          <w:tcPr/>
          <w:p>
            <w:pPr>
              <w:pStyle w:val="Compact"/>
              <w:jc w:val="left"/>
            </w:pPr>
            <w:r>
              <w:t xml:space="preserve">+ log harmonic-mean share</w:t>
            </w:r>
          </w:p>
        </w:tc>
        <w:tc>
          <w:tcPr/>
          <w:p>
            <w:pPr>
              <w:pStyle w:val="Compact"/>
              <w:jc w:val="center"/>
            </w:pPr>
            <w:r>
              <w:t xml:space="preserve">0.540 (</w:t>
            </w:r>
            <m:oMath>
              <m:r>
                <m:rPr>
                  <m:sty m:val="p"/>
                </m:rPr>
                <m:t>&lt;</m:t>
              </m:r>
            </m:oMath>
            <w:r>
              <w:t xml:space="preserve">0.001)</w:t>
            </w:r>
          </w:p>
        </w:tc>
        <w:tc>
          <w:tcPr/>
          <w:p>
            <w:pPr>
              <w:pStyle w:val="Compact"/>
              <w:jc w:val="center"/>
            </w:pPr>
            <m:oMath>
              <m:r>
                <m:rPr>
                  <m:sty m:val="p"/>
                </m:rPr>
                <m:t>−</m:t>
              </m:r>
            </m:oMath>
            <w:r>
              <w:t xml:space="preserve">0.100 (0.46)</w:t>
            </w:r>
          </w:p>
        </w:tc>
        <w:tc>
          <w:tcPr/>
          <w:p>
            <w:pPr>
              <w:pStyle w:val="Compact"/>
              <w:jc w:val="center"/>
            </w:pPr>
            <w:r>
              <w:t xml:space="preserve">0.241 (0.003)</w:t>
            </w:r>
          </w:p>
        </w:tc>
        <w:tc>
          <w:tcPr/>
          <w:p>
            <w:pPr>
              <w:pStyle w:val="Compact"/>
              <w:jc w:val="center"/>
            </w:pPr>
            <w:r>
              <w:t xml:space="preserve">0.538 (</w:t>
            </w:r>
            <m:oMath>
              <m:r>
                <m:rPr>
                  <m:sty m:val="p"/>
                </m:rPr>
                <m:t>&lt;</m:t>
              </m:r>
            </m:oMath>
            <w:r>
              <w:t xml:space="preserve">0.001)</w:t>
            </w:r>
          </w:p>
        </w:tc>
      </w:tr>
      <w:tr>
        <w:tc>
          <w:tcPr/>
          <w:p>
            <w:pPr>
              <w:pStyle w:val="Compact"/>
              <w:jc w:val="left"/>
            </w:pPr>
            <w:r>
              <w:t xml:space="preserve">+ volume and all controls</w:t>
            </w:r>
          </w:p>
        </w:tc>
        <w:tc>
          <w:tcPr/>
          <w:p>
            <w:pPr>
              <w:pStyle w:val="Compact"/>
              <w:jc w:val="center"/>
            </w:pPr>
            <w:r>
              <w:t xml:space="preserve">0.583 (</w:t>
            </w:r>
            <m:oMath>
              <m:r>
                <m:rPr>
                  <m:sty m:val="p"/>
                </m:rPr>
                <m:t>&lt;</m:t>
              </m:r>
            </m:oMath>
            <w:r>
              <w:t xml:space="preserve">0.001)</w:t>
            </w:r>
          </w:p>
        </w:tc>
        <w:tc>
          <w:tcPr/>
          <w:p>
            <w:pPr>
              <w:pStyle w:val="Compact"/>
              <w:jc w:val="center"/>
            </w:pPr>
            <m:oMath>
              <m:r>
                <m:rPr>
                  <m:sty m:val="p"/>
                </m:rPr>
                <m:t>−</m:t>
              </m:r>
            </m:oMath>
            <w:r>
              <w:t xml:space="preserve">0.168 (0.27)</w:t>
            </w:r>
          </w:p>
        </w:tc>
        <w:tc>
          <w:tcPr/>
          <w:p>
            <w:pPr>
              <w:pStyle w:val="Compact"/>
              <w:jc w:val="center"/>
            </w:pPr>
            <w:r>
              <w:t xml:space="preserve">0.248 (0.013)</w:t>
            </w:r>
          </w:p>
        </w:tc>
        <w:tc>
          <w:tcPr/>
          <w:p>
            <w:pPr>
              <w:pStyle w:val="Compact"/>
              <w:jc w:val="center"/>
            </w:pPr>
            <w:r>
              <w:t xml:space="preserve">0.202 (0.076)</w:t>
            </w:r>
          </w:p>
        </w:tc>
      </w:tr>
      <w:tr>
        <w:tc>
          <w:tcPr/>
          <w:p>
            <w:pPr>
              <w:pStyle w:val="Compact"/>
              <w:jc w:val="left"/>
            </w:pPr>
            <w:r>
              <w:t xml:space="preserve">+ decade fixed effects</w:t>
            </w:r>
          </w:p>
        </w:tc>
        <w:tc>
          <w:tcPr/>
          <w:p>
            <w:pPr>
              <w:pStyle w:val="Compact"/>
              <w:jc w:val="center"/>
            </w:pPr>
            <w:r>
              <w:t xml:space="preserve">0.529 (</w:t>
            </w:r>
            <m:oMath>
              <m:r>
                <m:rPr>
                  <m:sty m:val="p"/>
                </m:rPr>
                <m:t>&lt;</m:t>
              </m:r>
            </m:oMath>
            <w:r>
              <w:t xml:space="preserve">0.001)</w:t>
            </w:r>
          </w:p>
        </w:tc>
        <w:tc>
          <w:tcPr/>
          <w:p>
            <w:pPr>
              <w:pStyle w:val="Compact"/>
            </w:pPr>
          </w:p>
        </w:tc>
        <w:tc>
          <w:tcPr/>
          <w:p>
            <w:pPr>
              <w:pStyle w:val="Compact"/>
              <w:jc w:val="center"/>
            </w:pPr>
            <w:r>
              <w:t xml:space="preserve">0.356 (</w:t>
            </w:r>
            <m:oMath>
              <m:r>
                <m:rPr>
                  <m:sty m:val="p"/>
                </m:rPr>
                <m:t>&lt;</m:t>
              </m:r>
            </m:oMath>
            <w:r>
              <w:t xml:space="preserve">0.001)</w:t>
            </w:r>
          </w:p>
        </w:tc>
        <w:tc>
          <w:tcPr/>
          <w:p>
            <w:pPr>
              <w:pStyle w:val="Compact"/>
            </w:pPr>
          </w:p>
        </w:tc>
      </w:tr>
      <w:tr>
        <w:tc>
          <w:tcPr/>
          <w:p>
            <w:pPr>
              <w:pStyle w:val="Compact"/>
              <w:jc w:val="left"/>
            </w:pPr>
            <w:r>
              <w:t xml:space="preserve">Dyad-years</w:t>
            </w:r>
          </w:p>
        </w:tc>
        <w:tc>
          <w:tcPr>
            <w:gridSpan w:val="2"/>
          </w:tcPr>
          <w:p>
            <w:pPr>
              <w:pStyle w:val="Compact"/>
              <w:jc w:val="center"/>
            </w:pPr>
            <w:r>
              <w:t xml:space="preserve">1,782</w:t>
            </w:r>
          </w:p>
        </w:tc>
        <w:tc>
          <w:tcPr>
            <w:gridSpan w:val="2"/>
          </w:tcPr>
          <w:p>
            <w:pPr>
              <w:pStyle w:val="Compact"/>
              <w:jc w:val="center"/>
            </w:pPr>
            <w:r>
              <w:t xml:space="preserve">31,121</w:t>
            </w:r>
          </w:p>
        </w:tc>
      </w:tr>
      <w:tr>
        <w:tc>
          <w:tcPr/>
          <w:p>
            <w:pPr>
              <w:pStyle w:val="Compact"/>
              <w:jc w:val="left"/>
            </w:pPr>
            <w:r>
              <w:t xml:space="preserve">Events</w:t>
            </w:r>
          </w:p>
        </w:tc>
        <w:tc>
          <w:tcPr>
            <w:gridSpan w:val="2"/>
          </w:tcPr>
          <w:p>
            <w:pPr>
              <w:pStyle w:val="Compact"/>
              <w:jc w:val="center"/>
            </w:pPr>
            <w:r>
              <w:t xml:space="preserve">250</w:t>
            </w:r>
          </w:p>
        </w:tc>
        <w:tc>
          <w:tcPr>
            <w:gridSpan w:val="2"/>
          </w:tcPr>
          <w:p>
            <w:pPr>
              <w:pStyle w:val="Compact"/>
              <w:jc w:val="center"/>
            </w:pPr>
            <w:r>
              <w:t xml:space="preserve">264</w:t>
            </w:r>
          </w:p>
        </w:tc>
      </w:tr>
    </w:tbl>
    <w:p>
      <w:pPr>
        <w:pStyle w:val="BodyText"/>
      </w:pPr>
      <w:r>
        <w:t xml:space="preserve">Logit coefficients with</w:t>
      </w:r>
      <w:r>
        <w:t xml:space="preserve"> </w:t>
      </w:r>
      <m:oMath>
        <m:r>
          <m:t>p</m:t>
        </m:r>
      </m:oMath>
      <w:r>
        <w:t xml:space="preserve">-values in parentheses, standard errors clustered by dyad. All models include the smaller share, capability asymmetry, duration, and both pressure counts.</w:t>
      </w:r>
      <w:r>
        <w:t xml:space="preserve"> </w:t>
      </w:r>
      <w:r>
        <w:t xml:space="preserve">“All controls”</w:t>
      </w:r>
      <w:r>
        <w:t xml:space="preserve"> </w:t>
      </w:r>
      <w:r>
        <w:t xml:space="preserve">are contiguity, economic-size asymmetry, and regime type (minimum Polity2 and gap). The sample is restricted to dyad-years with all controls observed. The harmonic-mean share (trade intensity: twice bilateral trade over the two states’ combined trade) is a function of the two shares, so that row tests nonlinearity in the shares and not an independent measure. Script 46.</w:t>
      </w:r>
    </w:p>
    <w:p>
      <w:pPr>
        <w:pStyle w:val="BodyText"/>
      </w:pPr>
      <w:r>
        <w:t xml:space="preserve">For disputes the larger share is unchanged (0.52 to 0.58,</w:t>
      </w:r>
      <w:r>
        <w:t xml:space="preserve"> </w:t>
      </w:r>
      <m:oMath>
        <m:r>
          <m:t>p</m:t>
        </m:r>
        <m:r>
          <m:rPr>
            <m:sty m:val="p"/>
          </m:rPr>
          <m:t>&lt;</m:t>
        </m:r>
        <m:r>
          <m:t>0.001</m:t>
        </m:r>
      </m:oMath>
      <w:r>
        <w:t xml:space="preserve"> </w:t>
      </w:r>
      <w:r>
        <w:t xml:space="preserve">in every specification) and neither measure has a significant association. For alliances turning hostile, volume and the combined measure are themselves associated with the outcome (0.23 and 0.54), and the larger share falls from 0.34 to 0.29 with volume and 0.24 with the combined measure but remains significant, also with all controls (0.25,</w:t>
      </w:r>
      <w:r>
        <w:t xml:space="preserve"> </w:t>
      </w:r>
      <m:oMath>
        <m:r>
          <m:t>p</m:t>
        </m:r>
        <m:r>
          <m:rPr>
            <m:sty m:val="p"/>
          </m:rPr>
          <m:t>=</m:t>
        </m:r>
        <m:r>
          <m:t>0.013</m:t>
        </m:r>
      </m:oMath>
      <w:r>
        <w:t xml:space="preserve">). Part of the alliance association is therefore shared with how much the two states trade, and part is specific to how large a share of its own trade the more exposed state has at stake. The larger share does not interact strongly with the smaller (the interaction is</w:t>
      </w:r>
      <w:r>
        <w:t xml:space="preserve"> </w:t>
      </w:r>
      <m:oMath>
        <m:r>
          <m:rPr>
            <m:sty m:val="p"/>
          </m:rPr>
          <m:t>−</m:t>
        </m:r>
        <m:r>
          <m:t>0.06</m:t>
        </m:r>
      </m:oMath>
      <w:r>
        <w:t xml:space="preserve">,</w:t>
      </w:r>
      <w:r>
        <w:t xml:space="preserve"> </w:t>
      </w:r>
      <m:oMath>
        <m:r>
          <m:t>p</m:t>
        </m:r>
        <m:r>
          <m:rPr>
            <m:sty m:val="p"/>
          </m:rPr>
          <m:t>=</m:t>
        </m:r>
        <m:r>
          <m:t>0.09</m:t>
        </m:r>
      </m:oMath>
      <w:r>
        <w:t xml:space="preserve">, for alliances and not significant for disputes). Trade relative to GDP is examined in Appendix M: for disputes it has no association with sign change while the larger share keeps its coefficient, and for alliances it is associated with sign change and the larger share falls to about 0.2.</w:t>
      </w:r>
    </w:p>
    <w:p>
      <w:pPr>
        <w:pStyle w:val="Heading2"/>
      </w:pPr>
      <w:r>
        <w:t xml:space="preserve">P.3 Exposure and structure</w:t>
      </w:r>
    </w:p>
    <w:p>
      <w:pPr>
        <w:pStyle w:val="FirstParagraph"/>
      </w:pPr>
      <w:r>
        <w:t xml:space="preserve">If exposure mattered because pressure is released through weakly held ties, the association should strengthen with the amount of pressure. Interactions between the larger share and the two pressure counts do not show this for unbalanced triads: they are small and not significant for disputes (</w:t>
      </w:r>
      <m:oMath>
        <m:r>
          <m:rPr>
            <m:sty m:val="p"/>
          </m:rPr>
          <m:t>−</m:t>
        </m:r>
        <m:r>
          <m:t>0.05</m:t>
        </m:r>
      </m:oMath>
      <w:r>
        <w:t xml:space="preserve">,</w:t>
      </w:r>
      <w:r>
        <w:t xml:space="preserve"> </w:t>
      </w:r>
      <m:oMath>
        <m:r>
          <m:t>p</m:t>
        </m:r>
        <m:r>
          <m:rPr>
            <m:sty m:val="p"/>
          </m:rPr>
          <m:t>=</m:t>
        </m:r>
        <m:r>
          <m:t>0.39</m:t>
        </m:r>
      </m:oMath>
      <w:r>
        <w:t xml:space="preserve">) and alliances (0.05,</w:t>
      </w:r>
      <w:r>
        <w:t xml:space="preserve"> </w:t>
      </w:r>
      <m:oMath>
        <m:r>
          <m:t>p</m:t>
        </m:r>
        <m:r>
          <m:rPr>
            <m:sty m:val="p"/>
          </m:rPr>
          <m:t>=</m:t>
        </m:r>
        <m:r>
          <m:t>0.35</m:t>
        </m:r>
      </m:oMath>
      <w:r>
        <w:t xml:space="preserve">). The interaction with balanced triads is negative for disputes (</w:t>
      </w:r>
      <m:oMath>
        <m:r>
          <m:rPr>
            <m:sty m:val="p"/>
          </m:rPr>
          <m:t>−</m:t>
        </m:r>
        <m:r>
          <m:t>0.27</m:t>
        </m:r>
      </m:oMath>
      <w:r>
        <w:t xml:space="preserve">,</w:t>
      </w:r>
      <w:r>
        <w:t xml:space="preserve"> </w:t>
      </w:r>
      <m:oMath>
        <m:r>
          <m:t>p</m:t>
        </m:r>
        <m:r>
          <m:rPr>
            <m:sty m:val="p"/>
          </m:rPr>
          <m:t>=</m:t>
        </m:r>
        <m:r>
          <m:t>0.002</m:t>
        </m:r>
      </m:oMath>
      <w:r>
        <w:t xml:space="preserve">) and positive for alliances (0.07,</w:t>
      </w:r>
      <w:r>
        <w:t xml:space="preserve"> </w:t>
      </w:r>
      <m:oMath>
        <m:r>
          <m:t>p</m:t>
        </m:r>
        <m:r>
          <m:rPr>
            <m:sty m:val="p"/>
          </m:rPr>
          <m:t>=</m:t>
        </m:r>
        <m:r>
          <m:t>0.03</m:t>
        </m:r>
      </m:oMath>
      <w:r>
        <w:t xml:space="preserve">): exposure is more weakly associated with sign change for disputes among many balanced triads and more strongly for alliances. I do not interpret these interactions beyond noting that exposure and structure are not strictly additive. Exposure is associated with change net of structural conditions, and the evidence does not show that it determines where structural pressure is released.</w:t>
      </w:r>
    </w:p>
    <w:p>
      <w:pPr>
        <w:pStyle w:val="Heading2"/>
      </w:pPr>
      <w:r>
        <w:t xml:space="preserve">P.4 Ties ending outright</w:t>
      </w:r>
    </w:p>
    <w:p>
      <w:pPr>
        <w:pStyle w:val="FirstParagraph"/>
      </w:pPr>
      <w:r>
        <w:t xml:space="preserve">The exploratory expectation is a lower hazard of ending where the more exposed state’s share is larger. For alliances the coefficient is negative and significant in the baseline (</w:t>
      </w:r>
      <m:oMath>
        <m:r>
          <m:rPr>
            <m:sty m:val="p"/>
          </m:rPr>
          <m:t>−</m:t>
        </m:r>
        <m:r>
          <m:t>0.325</m:t>
        </m:r>
      </m:oMath>
      <w:r>
        <w:t xml:space="preserve">,</w:t>
      </w:r>
      <w:r>
        <w:t xml:space="preserve"> </w:t>
      </w:r>
      <m:oMath>
        <m:r>
          <m:t>p</m:t>
        </m:r>
        <m:r>
          <m:rPr>
            <m:sty m:val="p"/>
          </m:rPr>
          <m:t>=</m:t>
        </m:r>
        <m:r>
          <m:t>0.011</m:t>
        </m:r>
      </m:oMath>
      <w:r>
        <w:t xml:space="preserve">) and stays so with bloc and decade fixed effects (</w:t>
      </w:r>
      <m:oMath>
        <m:r>
          <m:rPr>
            <m:sty m:val="p"/>
          </m:rPr>
          <m:t>−</m:t>
        </m:r>
        <m:r>
          <m:t>0.22</m:t>
        </m:r>
      </m:oMath>
      <w:r>
        <w:t xml:space="preserve">,</w:t>
      </w:r>
      <w:r>
        <w:t xml:space="preserve"> </w:t>
      </w:r>
      <m:oMath>
        <m:r>
          <m:t>p</m:t>
        </m:r>
        <m:r>
          <m:rPr>
            <m:sty m:val="p"/>
          </m:rPr>
          <m:t>=</m:t>
        </m:r>
        <m:r>
          <m:t>0.035</m:t>
        </m:r>
      </m:oMath>
      <w:r>
        <w:t xml:space="preserve">), in complementary log-log (</w:t>
      </w:r>
      <m:oMath>
        <m:r>
          <m:rPr>
            <m:sty m:val="p"/>
          </m:rPr>
          <m:t>−</m:t>
        </m:r>
        <m:r>
          <m:t>0.31</m:t>
        </m:r>
      </m:oMath>
      <w:r>
        <w:t xml:space="preserve">,</w:t>
      </w:r>
      <w:r>
        <w:t xml:space="preserve"> </w:t>
      </w:r>
      <m:oMath>
        <m:r>
          <m:t>p</m:t>
        </m:r>
        <m:r>
          <m:rPr>
            <m:sty m:val="p"/>
          </m:rPr>
          <m:t>=</m:t>
        </m:r>
        <m:r>
          <m:t>0.012</m:t>
        </m:r>
      </m:oMath>
      <w:r>
        <w:t xml:space="preserve">) and Cox (</w:t>
      </w:r>
      <m:oMath>
        <m:r>
          <m:rPr>
            <m:sty m:val="p"/>
          </m:rPr>
          <m:t>−</m:t>
        </m:r>
        <m:r>
          <m:t>0.27</m:t>
        </m:r>
      </m:oMath>
      <w:r>
        <w:t xml:space="preserve">,</w:t>
      </w:r>
      <w:r>
        <w:t xml:space="preserve"> </w:t>
      </w:r>
      <m:oMath>
        <m:r>
          <m:t>p</m:t>
        </m:r>
        <m:r>
          <m:rPr>
            <m:sty m:val="p"/>
          </m:rPr>
          <m:t>=</m:t>
        </m:r>
        <m:r>
          <m:t>0.030</m:t>
        </m:r>
      </m:oMath>
      <w:r>
        <w:t xml:space="preserve">) models, and for endings within one, three, and five years (</w:t>
      </w:r>
      <m:oMath>
        <m:r>
          <m:rPr>
            <m:sty m:val="p"/>
          </m:rPr>
          <m:t>−</m:t>
        </m:r>
        <m:r>
          <m:t>0.35</m:t>
        </m:r>
      </m:oMath>
      <w:r>
        <w:t xml:space="preserve">,</w:t>
      </w:r>
      <w:r>
        <w:t xml:space="preserve"> </w:t>
      </w:r>
      <m:oMath>
        <m:r>
          <m:rPr>
            <m:sty m:val="p"/>
          </m:rPr>
          <m:t>−</m:t>
        </m:r>
        <m:r>
          <m:t>0.41</m:t>
        </m:r>
      </m:oMath>
      <w:r>
        <w:t xml:space="preserve">,</w:t>
      </w:r>
      <w:r>
        <w:t xml:space="preserve"> </w:t>
      </w:r>
      <m:oMath>
        <m:r>
          <m:rPr>
            <m:sty m:val="p"/>
          </m:rPr>
          <m:t>−</m:t>
        </m:r>
        <m:r>
          <m:t>0.31</m:t>
        </m:r>
      </m:oMath>
      <w:r>
        <w:t xml:space="preserve">;</w:t>
      </w:r>
      <w:r>
        <w:t xml:space="preserve"> </w:t>
      </w:r>
      <m:oMath>
        <m:r>
          <m:t>p</m:t>
        </m:r>
        <m:r>
          <m:rPr>
            <m:sty m:val="p"/>
          </m:rPr>
          <m:t>≤</m:t>
        </m:r>
        <m:r>
          <m:t>0.03</m:t>
        </m:r>
      </m:oMath>
      <w:r>
        <w:t xml:space="preserve">). But it is not robust to allowing for shared states (</w:t>
      </w:r>
      <m:oMath>
        <m:r>
          <m:t>p</m:t>
        </m:r>
        <m:r>
          <m:rPr>
            <m:sty m:val="p"/>
          </m:rPr>
          <m:t>=</m:t>
        </m:r>
        <m:r>
          <m:t>0.066</m:t>
        </m:r>
      </m:oMath>
      <w:r>
        <w:t xml:space="preserve">), it is weaker with lags (</w:t>
      </w:r>
      <m:oMath>
        <m:r>
          <m:rPr>
            <m:sty m:val="p"/>
          </m:rPr>
          <m:t>−</m:t>
        </m:r>
        <m:r>
          <m:t>0.24</m:t>
        </m:r>
      </m:oMath>
      <w:r>
        <w:t xml:space="preserve"> </w:t>
      </w:r>
      <w:r>
        <w:t xml:space="preserve">at one year,</w:t>
      </w:r>
      <w:r>
        <w:t xml:space="preserve"> </w:t>
      </w:r>
      <m:oMath>
        <m:r>
          <m:t>p</m:t>
        </m:r>
        <m:r>
          <m:rPr>
            <m:sty m:val="p"/>
          </m:rPr>
          <m:t>=</m:t>
        </m:r>
        <m:r>
          <m:t>0.055</m:t>
        </m:r>
      </m:oMath>
      <w:r>
        <w:t xml:space="preserve">;</w:t>
      </w:r>
      <w:r>
        <w:t xml:space="preserve"> </w:t>
      </w:r>
      <m:oMath>
        <m:r>
          <m:rPr>
            <m:sty m:val="p"/>
          </m:rPr>
          <m:t>−</m:t>
        </m:r>
        <m:r>
          <m:t>0.12</m:t>
        </m:r>
      </m:oMath>
      <w:r>
        <w:t xml:space="preserve"> </w:t>
      </w:r>
      <w:r>
        <w:t xml:space="preserve">at five years,</w:t>
      </w:r>
      <w:r>
        <w:t xml:space="preserve"> </w:t>
      </w:r>
      <m:oMath>
        <m:r>
          <m:t>p</m:t>
        </m:r>
        <m:r>
          <m:rPr>
            <m:sty m:val="p"/>
          </m:rPr>
          <m:t>=</m:t>
        </m:r>
        <m:r>
          <m:t>0.33</m:t>
        </m:r>
      </m:oMath>
      <w:r>
        <w:t xml:space="preserve">), it disappears with dyad fixed effects (0.10,</w:t>
      </w:r>
      <w:r>
        <w:t xml:space="preserve"> </w:t>
      </w:r>
      <m:oMath>
        <m:r>
          <m:t>p</m:t>
        </m:r>
        <m:r>
          <m:rPr>
            <m:sty m:val="p"/>
          </m:rPr>
          <m:t>=</m:t>
        </m:r>
        <m:r>
          <m:t>0.74</m:t>
        </m:r>
      </m:oMath>
      <w:r>
        <w:t xml:space="preserve">) and in each dyad’s first spell (</w:t>
      </w:r>
      <m:oMath>
        <m:r>
          <m:rPr>
            <m:sty m:val="p"/>
          </m:rPr>
          <m:t>−</m:t>
        </m:r>
        <m:r>
          <m:t>0.13</m:t>
        </m:r>
      </m:oMath>
      <w:r>
        <w:t xml:space="preserve">,</w:t>
      </w:r>
      <w:r>
        <w:t xml:space="preserve"> </w:t>
      </w:r>
      <m:oMath>
        <m:r>
          <m:t>p</m:t>
        </m:r>
        <m:r>
          <m:rPr>
            <m:sty m:val="p"/>
          </m:rPr>
          <m:t>=</m:t>
        </m:r>
        <m:r>
          <m:t>0.27</m:t>
        </m:r>
      </m:oMath>
      <w:r>
        <w:t xml:space="preserve">), and the larger share adds almost nothing to out-of-sample prediction of endings. For disputes the coefficient is small and not significant (</w:t>
      </w:r>
      <m:oMath>
        <m:r>
          <m:rPr>
            <m:sty m:val="p"/>
          </m:rPr>
          <m:t>−</m:t>
        </m:r>
        <m:r>
          <m:t>0.07</m:t>
        </m:r>
      </m:oMath>
      <w:r>
        <w:t xml:space="preserve">,</w:t>
      </w:r>
      <w:r>
        <w:t xml:space="preserve"> </w:t>
      </w:r>
      <m:oMath>
        <m:r>
          <m:t>p</m:t>
        </m:r>
        <m:r>
          <m:rPr>
            <m:sty m:val="p"/>
          </m:rPr>
          <m:t>=</m:t>
        </m:r>
        <m:r>
          <m:t>0.20</m:t>
        </m:r>
      </m:oMath>
      <w:r>
        <w:t xml:space="preserve">), although it is more negative with lags (</w:t>
      </w:r>
      <m:oMath>
        <m:r>
          <m:rPr>
            <m:sty m:val="p"/>
          </m:rPr>
          <m:t>−</m:t>
        </m:r>
        <m:r>
          <m:t>0.15</m:t>
        </m:r>
      </m:oMath>
      <w:r>
        <w:t xml:space="preserve"> </w:t>
      </w:r>
      <w:r>
        <w:t xml:space="preserve">at one year,</w:t>
      </w:r>
      <w:r>
        <w:t xml:space="preserve"> </w:t>
      </w:r>
      <m:oMath>
        <m:r>
          <m:t>p</m:t>
        </m:r>
        <m:r>
          <m:rPr>
            <m:sty m:val="p"/>
          </m:rPr>
          <m:t>=</m:t>
        </m:r>
        <m:r>
          <m:t>0.006</m:t>
        </m:r>
      </m:oMath>
      <w:r>
        <w:t xml:space="preserve">;</w:t>
      </w:r>
      <w:r>
        <w:t xml:space="preserve"> </w:t>
      </w:r>
      <m:oMath>
        <m:r>
          <m:rPr>
            <m:sty m:val="p"/>
          </m:rPr>
          <m:t>−</m:t>
        </m:r>
        <m:r>
          <m:t>0.17</m:t>
        </m:r>
      </m:oMath>
      <w:r>
        <w:t xml:space="preserve"> </w:t>
      </w:r>
      <w:r>
        <w:t xml:space="preserve">at three years,</w:t>
      </w:r>
      <w:r>
        <w:t xml:space="preserve"> </w:t>
      </w:r>
      <m:oMath>
        <m:r>
          <m:t>p</m:t>
        </m:r>
        <m:r>
          <m:rPr>
            <m:sty m:val="p"/>
          </m:rPr>
          <m:t>=</m:t>
        </m:r>
        <m:r>
          <m:t>0.002</m:t>
        </m:r>
      </m:oMath>
      <w:r>
        <w:t xml:space="preserve">). A competing-risks comparison finds that the larger share predicts sign change more strongly than ending (contrasts 0.48 for disputes and 0.67 for alliances,</w:t>
      </w:r>
      <w:r>
        <w:t xml:space="preserve"> </w:t>
      </w:r>
      <m:oMath>
        <m:r>
          <m:t>p</m:t>
        </m:r>
        <m:r>
          <m:rPr>
            <m:sty m:val="p"/>
          </m:rPr>
          <m:t>&lt;</m:t>
        </m:r>
        <m:r>
          <m:t>0.001</m:t>
        </m:r>
      </m:oMath>
      <w:r>
        <w:t xml:space="preserve">). For disputes this contrast is not evidence of bending rather than breaking, because a dispute’s sign change and its ending are mostly the same event occurring in allied and unallied dyads. For alliances the comparison of a dispute beginning with the alliance ending is in Appendix O.3. I read the evidence on ties ending outright as suggestive for alliances and weaker for disputes.</w:t>
      </w:r>
    </w:p>
    <w:p>
      <w:pPr>
        <w:pStyle w:val="Heading2"/>
      </w:pPr>
      <w:r>
        <w:t xml:space="preserve">P.5 Prediction and variation within dyads</w:t>
      </w:r>
    </w:p>
    <w:p>
      <w:pPr>
        <w:pStyle w:val="FirstParagraph"/>
      </w:pPr>
      <w:r>
        <w:t xml:space="preserve">An association can be reliable and add little to prediction. Comparing each model with the same model omitting the larger share, on dyad-grouped held-out dyad-years (Appendix L.8 and L.11), the larger share adds a modest improvement for sign change: the held-out log-likelihood rises by about one to one and a half per cent, and the area under the ROC curve rises from 0.919 to 0.928 for disputes and from 0.783 to 0.802 for alliances. For endings it adds nothing, and alliance status, structural pressure and duration already predict most of what can be predicted. Using only variation within dyads, the estimates are 0.32 for disputes (</w:t>
      </w:r>
      <m:oMath>
        <m:r>
          <m:t>p</m:t>
        </m:r>
        <m:r>
          <m:rPr>
            <m:sty m:val="p"/>
          </m:rPr>
          <m:t>=</m:t>
        </m:r>
        <m:r>
          <m:t>0.16</m:t>
        </m:r>
      </m:oMath>
      <w:r>
        <w:t xml:space="preserve">) and 0.17 for alliances (</w:t>
      </w:r>
      <m:oMath>
        <m:r>
          <m:t>p</m:t>
        </m:r>
        <m:r>
          <m:rPr>
            <m:sty m:val="p"/>
          </m:rPr>
          <m:t>=</m:t>
        </m:r>
        <m:r>
          <m:t>0.10</m:t>
        </m:r>
      </m:oMath>
      <w:r>
        <w:t xml:space="preserve">). The claim is accordingly about an association across ties, not about forecasting which ties will change or about the effect of a given dyad’s exposure rising.</w:t>
      </w:r>
    </w:p>
    <w:p>
      <w:pPr>
        <w:pStyle w:val="Heading2"/>
      </w:pPr>
      <w:r>
        <w:t xml:space="preserve">P.6 Substitutability</w:t>
      </w:r>
    </w:p>
    <w:p>
      <w:pPr>
        <w:pStyle w:val="FirstParagraph"/>
      </w:pPr>
      <w:r>
        <w:t xml:space="preserve">If exposure mattered through a lack of substitutes, the association should be stronger where the more exposed state’s trade is concentrated among few partners. Splitting at the median of each state’s partner-share concentration (a Herfindahl index, with and without the focal partner’s share), the association is larger where the exposed state is</w:t>
      </w:r>
      <w:r>
        <w:t xml:space="preserve"> </w:t>
      </w:r>
      <w:r>
        <w:rPr/>
        <w:t xml:space="preserve">diversified</w:t>
      </w:r>
      <w:r>
        <w:t xml:space="preserve">, not concentrated (for disputes 0.99 against 0.35 with the full index and 0.52 against 0.06 excluding the focal partner; the interactions with the continuous index are significant,</w:t>
      </w:r>
      <w:r>
        <w:t xml:space="preserve"> </w:t>
      </w:r>
      <m:oMath>
        <m:r>
          <m:t>p</m:t>
        </m:r>
        <m:r>
          <m:rPr>
            <m:sty m:val="p"/>
          </m:rPr>
          <m:t>=</m:t>
        </m:r>
        <m:r>
          <m:t>0.0002</m:t>
        </m:r>
      </m:oMath>
      <w:r>
        <w:t xml:space="preserve"> </w:t>
      </w:r>
      <w:r>
        <w:t xml:space="preserve">and</w:t>
      </w:r>
      <w:r>
        <w:t xml:space="preserve"> </w:t>
      </w:r>
      <m:oMath>
        <m:r>
          <m:t>p</m:t>
        </m:r>
        <m:r>
          <m:rPr>
            <m:sty m:val="p"/>
          </m:rPr>
          <m:t>=</m:t>
        </m:r>
        <m:r>
          <m:t>0.008</m:t>
        </m:r>
      </m:oMath>
      <w:r>
        <w:t xml:space="preserve">), and for alliances the two are similar with the full index (0.46 against 0.45) and larger where diversified excluding the focal partner (0.25 in both halves;</w:t>
      </w:r>
      <w:r>
        <w:t xml:space="preserve"> </w:t>
      </w:r>
      <m:oMath>
        <m:r>
          <m:t>p</m:t>
        </m:r>
        <m:r>
          <m:rPr>
            <m:sty m:val="p"/>
          </m:rPr>
          <m:t>=</m:t>
        </m:r>
        <m:r>
          <m:t>0.021</m:t>
        </m:r>
      </m:oMath>
      <w:r>
        <w:t xml:space="preserve"> </w:t>
      </w:r>
      <w:r>
        <w:t xml:space="preserve">and</w:t>
      </w:r>
      <w:r>
        <w:t xml:space="preserve"> </w:t>
      </w:r>
      <m:oMath>
        <m:r>
          <m:t>0.21</m:t>
        </m:r>
      </m:oMath>
      <w:r>
        <w:t xml:space="preserve"> </w:t>
      </w:r>
      <w:r>
        <w:t xml:space="preserve">for the interactions; Appendix L.8). This is the opposite of a constrained-alternatives account. It could reflect the measure, since a large share with one partner is more conspicuous in a diversified state, and I do not claim to explain it. It is a limit on the exposure interpretation.</w:t>
      </w:r>
    </w:p>
    <w:p>
      <w:pPr>
        <w:pStyle w:val="Heading1"/>
      </w:pPr>
      <w:r>
        <w:t xml:space="preserve">Appendix Q: Analyses restricted to allied dyads (Section 5.4)</w:t>
      </w:r>
    </w:p>
    <w:p>
      <w:pPr>
        <w:pStyle w:val="FirstParagraph"/>
      </w:pPr>
      <w:r>
        <w:t xml:space="preserve">The earlier version of the paper focused on disputes between allies, states bound by the same defence pact. This appendix reports those analyses. They use the signed-network sample for allied dyad-years (alliance-years with no dispute under way, in which a dispute can begin, and allied dispute-years, in which it can end) and the signed-network pressure counts</w:t>
      </w:r>
      <w:r>
        <w:t xml:space="preserve"> </w:t>
      </w:r>
      <m:oMath>
        <m:r>
          <m:t>U</m:t>
        </m:r>
      </m:oMath>
      <w:r>
        <w:t xml:space="preserve"> </w:t>
      </w:r>
      <w:r>
        <w:t xml:space="preserve">and</w:t>
      </w:r>
      <w:r>
        <w:t xml:space="preserve"> </w:t>
      </w:r>
      <m:oMath>
        <m:r>
          <m:t>B</m:t>
        </m:r>
      </m:oMath>
      <w:r>
        <w:t xml:space="preserve"> </w:t>
      </w:r>
      <w:r>
        <w:t xml:space="preserve">as controls. Disputes between allies are 14.2% of dispute-years (612 of 4,321), and 645 dispute-years in the full militarised-dispute data involve allied states, 402 of them with the use of force and 28 with war. The most frequent dyads are Greece and Turkey, Iraq and Kuwait, Russia and China, Honduras and Nicaragua, Chile and Argentina, Russia and Georgia, Armenia and Azerbaijan, Nicaragua and Costa Rica, Ecuador and Peru, and Colombia and Venezuela, and ten of the 183 dyads account for 31% of the allied dispute-years (script 64). In 91% of allied dyad-years the dyad is covered by an alliance of eight or more members (fourteen large pacts), chiefly the Arab League and the inter-American system.</w:t>
      </w:r>
    </w:p>
    <w:p>
      <w:pPr>
        <w:pStyle w:val="Heading2"/>
      </w:pPr>
      <w:r>
        <w:t xml:space="preserve">Q.1 Alliance size and ATOP coding</w:t>
      </w:r>
    </w:p>
    <w:p>
      <w:pPr>
        <w:pStyle w:val="TableCaption"/>
      </w:pPr>
      <w:r>
        <w:t xml:space="preserve">Table 47. The larger share by type of alliance: disputes between allies ending and beginning</w:t>
      </w:r>
    </w:p>
    <w:tbl>
      <w:tblPr>
        <w:tblLayout w:type="autofit"/>
        <w:tblStyle w:val="Table"/>
        <w:tblW w:type="pct" w:w="5000"/>
        <w:tblLook w:firstRow="1" w:lastRow="0" w:firstColumn="0" w:lastColumn="0" w:noHBand="0" w:noVBand="0" w:val="0020"/>
        <w:tblCaption w:val="Table 47. The larger share by type of alliance: disputes between allies ending and beginning"/>
      </w:tblPr>
      <w:tblGrid>
        <w:gridCol w:w="2640"/>
        <w:gridCol w:w="2640"/>
        <w:gridCol w:w="2640"/>
      </w:tblGrid>
      <w:tr>
        <w:trPr>
          <w:tblHeader w:val="on"/>
        </w:trPr>
        <w:tc>
          <w:tcPr/>
          <w:p>
            <w:pPr>
              <w:pStyle w:val="Compact"/>
            </w:pPr>
          </w:p>
        </w:tc>
        <w:tc>
          <w:tcPr/>
          <w:p>
            <w:pPr>
              <w:pStyle w:val="Compact"/>
              <w:jc w:val="center"/>
            </w:pPr>
            <w:r>
              <w:t xml:space="preserve">Dispute between allies ends</w:t>
            </w:r>
          </w:p>
        </w:tc>
        <w:tc>
          <w:tcPr/>
          <w:p>
            <w:pPr>
              <w:pStyle w:val="Compact"/>
              <w:jc w:val="center"/>
            </w:pPr>
            <w:r>
              <w:t xml:space="preserve">Dispute begins between allies</w:t>
            </w:r>
          </w:p>
        </w:tc>
      </w:tr>
      <w:tr>
        <w:tc>
          <w:tcPr>
            <w:gridSpan w:val="3"/>
          </w:tcPr>
          <w:p>
            <w:pPr>
              <w:pStyle w:val="Compact"/>
              <w:jc w:val="left"/>
            </w:pPr>
            <w:r>
              <w:rPr>
                <w:i/>
                <w:iCs/>
              </w:rPr>
              <w:t xml:space="preserve">Alliance size (Correlates of War)</w:t>
            </w:r>
          </w:p>
        </w:tc>
      </w:tr>
      <w:tr>
        <w:tc>
          <w:tcPr/>
          <w:p>
            <w:pPr>
              <w:pStyle w:val="Compact"/>
              <w:jc w:val="left"/>
            </w:pPr>
            <w:r>
              <w:t xml:space="preserve">Smallest covering alliance has 3 or fewer members</w:t>
            </w:r>
          </w:p>
        </w:tc>
        <w:tc>
          <w:tcPr/>
          <w:p>
            <w:pPr>
              <w:pStyle w:val="Compact"/>
              <w:jc w:val="center"/>
            </w:pPr>
            <w:r>
              <w:t xml:space="preserve">0.581 (</w:t>
            </w:r>
            <m:oMath>
              <m:r>
                <m:t>p</m:t>
              </m:r>
              <m:r>
                <m:rPr>
                  <m:sty m:val="p"/>
                </m:rPr>
                <m:t>=</m:t>
              </m:r>
              <m:r>
                <m:t>0.10</m:t>
              </m:r>
            </m:oMath>
            <w:r>
              <w:t xml:space="preserve">; 60 events)</w:t>
            </w:r>
          </w:p>
        </w:tc>
        <w:tc>
          <w:tcPr/>
          <w:p>
            <w:pPr>
              <w:pStyle w:val="Compact"/>
              <w:jc w:val="center"/>
            </w:pPr>
            <w:r>
              <w:t xml:space="preserve">0.335 (</w:t>
            </w:r>
            <m:oMath>
              <m:r>
                <m:t>p</m:t>
              </m:r>
              <m:r>
                <m:rPr>
                  <m:sty m:val="p"/>
                </m:rPr>
                <m:t>=</m:t>
              </m:r>
              <m:r>
                <m:t>0.078</m:t>
              </m:r>
            </m:oMath>
            <w:r>
              <w:t xml:space="preserve">; 72 events)</w:t>
            </w:r>
          </w:p>
        </w:tc>
      </w:tr>
      <w:tr>
        <w:tc>
          <w:tcPr/>
          <w:p>
            <w:pPr>
              <w:pStyle w:val="Compact"/>
              <w:jc w:val="left"/>
            </w:pPr>
            <w:r>
              <w:t xml:space="preserve">Smallest covering alliance has 8 or more members</w:t>
            </w:r>
          </w:p>
        </w:tc>
        <w:tc>
          <w:tcPr/>
          <w:p>
            <w:pPr>
              <w:pStyle w:val="Compact"/>
              <w:jc w:val="center"/>
            </w:pPr>
            <w:r>
              <w:t xml:space="preserve">0.351 (</w:t>
            </w:r>
            <m:oMath>
              <m:r>
                <m:t>p</m:t>
              </m:r>
              <m:r>
                <m:rPr>
                  <m:sty m:val="p"/>
                </m:rPr>
                <m:t>=</m:t>
              </m:r>
              <m:r>
                <m:t>0.029</m:t>
              </m:r>
            </m:oMath>
            <w:r>
              <w:t xml:space="preserve">; 238 events)</w:t>
            </w:r>
          </w:p>
        </w:tc>
        <w:tc>
          <w:tcPr/>
          <w:p>
            <w:pPr>
              <w:pStyle w:val="Compact"/>
              <w:jc w:val="center"/>
            </w:pPr>
            <w:r>
              <w:t xml:space="preserve">0.359 (</w:t>
            </w:r>
            <m:oMath>
              <m:r>
                <m:t>p</m:t>
              </m:r>
              <m:r>
                <m:rPr>
                  <m:sty m:val="p"/>
                </m:rPr>
                <m:t>&lt;</m:t>
              </m:r>
              <m:r>
                <m:t>0.001</m:t>
              </m:r>
            </m:oMath>
            <w:r>
              <w:t xml:space="preserve">; 242 events)</w:t>
            </w:r>
          </w:p>
        </w:tc>
      </w:tr>
      <w:tr>
        <w:tc>
          <w:tcPr/>
          <w:p>
            <w:pPr>
              <w:pStyle w:val="Compact"/>
              <w:jc w:val="left"/>
            </w:pPr>
            <w:r>
              <w:t xml:space="preserve">Interaction: larger share</w:t>
            </w:r>
            <w:r>
              <w:t xml:space="preserve"> </w:t>
            </w:r>
            <m:oMath>
              <m:r>
                <m:rPr>
                  <m:sty m:val="p"/>
                </m:rPr>
                <m:t>×</m:t>
              </m:r>
            </m:oMath>
            <w:r>
              <w:t xml:space="preserve"> </w:t>
            </w:r>
            <w:r>
              <w:t xml:space="preserve">large alliance</w:t>
            </w:r>
          </w:p>
        </w:tc>
        <w:tc>
          <w:tcPr/>
          <w:p>
            <w:pPr>
              <w:pStyle w:val="Compact"/>
              <w:jc w:val="center"/>
            </w:pPr>
            <m:oMath>
              <m:r>
                <m:rPr>
                  <m:sty m:val="p"/>
                </m:rPr>
                <m:t>−</m:t>
              </m:r>
            </m:oMath>
            <w:r>
              <w:t xml:space="preserve">0.092 (</w:t>
            </w:r>
            <m:oMath>
              <m:r>
                <m:t>p</m:t>
              </m:r>
              <m:r>
                <m:rPr>
                  <m:sty m:val="p"/>
                </m:rPr>
                <m:t>=</m:t>
              </m:r>
              <m:r>
                <m:t>0.67</m:t>
              </m:r>
            </m:oMath>
            <w:r>
              <w:t xml:space="preserve">)</w:t>
            </w:r>
          </w:p>
        </w:tc>
        <w:tc>
          <w:tcPr/>
          <w:p>
            <w:pPr>
              <w:pStyle w:val="Compact"/>
              <w:jc w:val="center"/>
            </w:pPr>
            <w:r>
              <w:t xml:space="preserve">0.249 (</w:t>
            </w:r>
            <m:oMath>
              <m:r>
                <m:t>p</m:t>
              </m:r>
              <m:r>
                <m:rPr>
                  <m:sty m:val="p"/>
                </m:rPr>
                <m:t>=</m:t>
              </m:r>
              <m:r>
                <m:t>0.002</m:t>
              </m:r>
            </m:oMath>
            <w:r>
              <w:t xml:space="preserve">)</w:t>
            </w:r>
          </w:p>
        </w:tc>
      </w:tr>
      <w:tr>
        <w:tc>
          <w:tcPr>
            <w:gridSpan w:val="3"/>
          </w:tcPr>
          <w:p>
            <w:pPr>
              <w:pStyle w:val="Compact"/>
              <w:jc w:val="left"/>
            </w:pPr>
            <w:r>
              <w:rPr>
                <w:i/>
                <w:iCs/>
              </w:rPr>
              <w:t xml:space="preserve">Bilateral and multilateral alliances, and dispute provisions (ATOP defence or offence pledges)</w:t>
            </w:r>
          </w:p>
        </w:tc>
      </w:tr>
      <w:tr>
        <w:tc>
          <w:tcPr/>
          <w:p>
            <w:pPr>
              <w:pStyle w:val="Compact"/>
              <w:jc w:val="left"/>
            </w:pPr>
            <w:r>
              <w:t xml:space="preserve">Dyad covered by multilateral alliances only</w:t>
            </w:r>
          </w:p>
        </w:tc>
        <w:tc>
          <w:tcPr/>
          <w:p>
            <w:pPr>
              <w:pStyle w:val="Compact"/>
              <w:jc w:val="center"/>
            </w:pPr>
            <w:r>
              <w:t xml:space="preserve">0.394 (</w:t>
            </w:r>
            <m:oMath>
              <m:r>
                <m:t>p</m:t>
              </m:r>
              <m:r>
                <m:rPr>
                  <m:sty m:val="p"/>
                </m:rPr>
                <m:t>=</m:t>
              </m:r>
              <m:r>
                <m:t>0.019</m:t>
              </m:r>
            </m:oMath>
            <w:r>
              <w:t xml:space="preserve">)</w:t>
            </w:r>
          </w:p>
        </w:tc>
        <w:tc>
          <w:tcPr/>
          <w:p>
            <w:pPr>
              <w:pStyle w:val="Compact"/>
              <w:jc w:val="center"/>
            </w:pPr>
            <w:r>
              <w:t xml:space="preserve">0.409 (</w:t>
            </w:r>
            <m:oMath>
              <m:r>
                <m:t>p</m:t>
              </m:r>
              <m:r>
                <m:rPr>
                  <m:sty m:val="p"/>
                </m:rPr>
                <m:t>&lt;</m:t>
              </m:r>
              <m:r>
                <m:t>0.001</m:t>
              </m:r>
            </m:oMath>
            <w:r>
              <w:t xml:space="preserve">)</w:t>
            </w:r>
          </w:p>
        </w:tc>
      </w:tr>
      <w:tr>
        <w:tc>
          <w:tcPr/>
          <w:p>
            <w:pPr>
              <w:pStyle w:val="Compact"/>
              <w:jc w:val="left"/>
            </w:pPr>
            <w:r>
              <w:t xml:space="preserve">Interaction: larger share</w:t>
            </w:r>
            <w:r>
              <w:t xml:space="preserve"> </w:t>
            </w:r>
            <m:oMath>
              <m:r>
                <m:rPr>
                  <m:sty m:val="p"/>
                </m:rPr>
                <m:t>×</m:t>
              </m:r>
            </m:oMath>
            <w:r>
              <w:t xml:space="preserve"> </w:t>
            </w:r>
            <w:r>
              <w:t xml:space="preserve">a bilateral alliance covers the dyad</w:t>
            </w:r>
          </w:p>
        </w:tc>
        <w:tc>
          <w:tcPr/>
          <w:p>
            <w:pPr>
              <w:pStyle w:val="Compact"/>
              <w:jc w:val="center"/>
            </w:pPr>
            <w:r>
              <w:t xml:space="preserve">0.030 (</w:t>
            </w:r>
            <m:oMath>
              <m:r>
                <m:t>p</m:t>
              </m:r>
              <m:r>
                <m:rPr>
                  <m:sty m:val="p"/>
                </m:rPr>
                <m:t>=</m:t>
              </m:r>
              <m:r>
                <m:t>0.89</m:t>
              </m:r>
            </m:oMath>
            <w:r>
              <w:t xml:space="preserve">)</w:t>
            </w:r>
          </w:p>
        </w:tc>
        <w:tc>
          <w:tcPr/>
          <w:p>
            <w:pPr>
              <w:pStyle w:val="Compact"/>
              <w:jc w:val="center"/>
            </w:pPr>
            <m:oMath>
              <m:r>
                <m:rPr>
                  <m:sty m:val="p"/>
                </m:rPr>
                <m:t>−</m:t>
              </m:r>
            </m:oMath>
            <w:r>
              <w:t xml:space="preserve">0.326 (</w:t>
            </w:r>
            <m:oMath>
              <m:r>
                <m:t>p</m:t>
              </m:r>
              <m:r>
                <m:rPr>
                  <m:sty m:val="p"/>
                </m:rPr>
                <m:t>=</m:t>
              </m:r>
              <m:r>
                <m:t>0.002</m:t>
              </m:r>
            </m:oMath>
            <w:r>
              <w:t xml:space="preserve">)</w:t>
            </w:r>
          </w:p>
        </w:tc>
      </w:tr>
      <w:tr>
        <w:tc>
          <w:tcPr/>
          <w:p>
            <w:pPr>
              <w:pStyle w:val="Compact"/>
              <w:jc w:val="left"/>
            </w:pPr>
            <w:r>
              <w:t xml:space="preserve">No covering alliance mentions conflict among members or mediation</w:t>
            </w:r>
          </w:p>
        </w:tc>
        <w:tc>
          <w:tcPr/>
          <w:p>
            <w:pPr>
              <w:pStyle w:val="Compact"/>
              <w:jc w:val="center"/>
            </w:pPr>
            <w:r>
              <w:t xml:space="preserve">0.542 (</w:t>
            </w:r>
            <m:oMath>
              <m:r>
                <m:t>p</m:t>
              </m:r>
              <m:r>
                <m:rPr>
                  <m:sty m:val="p"/>
                </m:rPr>
                <m:t>=</m:t>
              </m:r>
              <m:r>
                <m:t>0.003</m:t>
              </m:r>
            </m:oMath>
            <w:r>
              <w:t xml:space="preserve">)</w:t>
            </w:r>
          </w:p>
        </w:tc>
        <w:tc>
          <w:tcPr/>
          <w:p>
            <w:pPr>
              <w:pStyle w:val="Compact"/>
              <w:jc w:val="center"/>
            </w:pPr>
            <w:r>
              <w:t xml:space="preserve">0.164 (</w:t>
            </w:r>
            <m:oMath>
              <m:r>
                <m:t>p</m:t>
              </m:r>
              <m:r>
                <m:rPr>
                  <m:sty m:val="p"/>
                </m:rPr>
                <m:t>=</m:t>
              </m:r>
              <m:r>
                <m:t>0.063</m:t>
              </m:r>
            </m:oMath>
            <w:r>
              <w:t xml:space="preserve">)</w:t>
            </w:r>
          </w:p>
        </w:tc>
      </w:tr>
      <w:tr>
        <w:tc>
          <w:tcPr/>
          <w:p>
            <w:pPr>
              <w:pStyle w:val="Compact"/>
              <w:jc w:val="left"/>
            </w:pPr>
            <w:r>
              <w:t xml:space="preserve">Interaction: larger share</w:t>
            </w:r>
            <w:r>
              <w:t xml:space="preserve"> </w:t>
            </w:r>
            <m:oMath>
              <m:r>
                <m:rPr>
                  <m:sty m:val="p"/>
                </m:rPr>
                <m:t>×</m:t>
              </m:r>
            </m:oMath>
            <w:r>
              <w:t xml:space="preserve"> </w:t>
            </w:r>
            <w:r>
              <w:t xml:space="preserve">such provisions present</w:t>
            </w:r>
          </w:p>
        </w:tc>
        <w:tc>
          <w:tcPr/>
          <w:p>
            <w:pPr>
              <w:pStyle w:val="Compact"/>
              <w:jc w:val="center"/>
            </w:pPr>
            <m:oMath>
              <m:r>
                <m:rPr>
                  <m:sty m:val="p"/>
                </m:rPr>
                <m:t>−</m:t>
              </m:r>
            </m:oMath>
            <w:r>
              <w:t xml:space="preserve">0.242 (</w:t>
            </w:r>
            <m:oMath>
              <m:r>
                <m:t>p</m:t>
              </m:r>
              <m:r>
                <m:rPr>
                  <m:sty m:val="p"/>
                </m:rPr>
                <m:t>=</m:t>
              </m:r>
              <m:r>
                <m:t>0.24</m:t>
              </m:r>
            </m:oMath>
            <w:r>
              <w:t xml:space="preserve">)</w:t>
            </w:r>
          </w:p>
        </w:tc>
        <w:tc>
          <w:tcPr/>
          <w:p>
            <w:pPr>
              <w:pStyle w:val="Compact"/>
              <w:jc w:val="center"/>
            </w:pPr>
            <w:r>
              <w:t xml:space="preserve">0.253 (</w:t>
            </w:r>
            <m:oMath>
              <m:r>
                <m:t>p</m:t>
              </m:r>
              <m:r>
                <m:rPr>
                  <m:sty m:val="p"/>
                </m:rPr>
                <m:t>=</m:t>
              </m:r>
              <m:r>
                <m:t>0.005</m:t>
              </m:r>
            </m:oMath>
            <w:r>
              <w:t xml:space="preserve">)</w:t>
            </w:r>
          </w:p>
        </w:tc>
      </w:tr>
    </w:tbl>
    <w:p>
      <w:pPr>
        <w:pStyle w:val="BodyText"/>
      </w:pPr>
      <w:r>
        <w:t xml:space="preserve">Logit coefficients per standard deviation of the larger share, with the smaller share, capability asymmetry, duration, and both pressure counts as controls, standard errors clustered by dyad. Medium-sized alliances (four to seven members) are omitted from the size rows (12 and 16 events). The ATOP rows (version 5.1, which codes an alliance as bilateral if it has no more than two members) use 559 allied dispute-years with 312 endings and 49,939 alliance-years with 338 dispute onsets, with ATOP alliances that include a defence or offence pledge in place of Correlates of War alliances. Provisions are present in 50% of allied dispute-years and 60% of alliance-years. Scripts 60 and 61.</w:t>
      </w:r>
    </w:p>
    <w:p>
      <w:pPr>
        <w:pStyle w:val="BodyText"/>
      </w:pPr>
      <w:r>
        <w:t xml:space="preserve">The evidence that the onset association is concentrated in large multilateral pacts is mixed. In the ATOP coding it is 0.41 among dyads covered only by multilateral alliances and 0.33 lower where a bilateral alliance covers the dyad (</w:t>
      </w:r>
      <m:oMath>
        <m:r>
          <m:t>p</m:t>
        </m:r>
        <m:r>
          <m:rPr>
            <m:sty m:val="p"/>
          </m:rPr>
          <m:t>=</m:t>
        </m:r>
        <m:r>
          <m:t>0.002</m:t>
        </m:r>
      </m:oMath>
      <w:r>
        <w:t xml:space="preserve">), and the pooled interaction with a large alliance is 0.25 (</w:t>
      </w:r>
      <m:oMath>
        <m:r>
          <m:t>p</m:t>
        </m:r>
        <m:r>
          <m:rPr>
            <m:sty m:val="p"/>
          </m:rPr>
          <m:t>=</m:t>
        </m:r>
        <m:r>
          <m:t>0.002</m:t>
        </m:r>
      </m:oMath>
      <w:r>
        <w:t xml:space="preserve">). But estimated separately, the association is similar in alliances of three or fewer members (0.34,</w:t>
      </w:r>
      <w:r>
        <w:t xml:space="preserve"> </w:t>
      </w:r>
      <m:oMath>
        <m:r>
          <m:t>p</m:t>
        </m:r>
        <m:r>
          <m:rPr>
            <m:sty m:val="p"/>
          </m:rPr>
          <m:t>=</m:t>
        </m:r>
        <m:r>
          <m:t>0.08</m:t>
        </m:r>
      </m:oMath>
      <w:r>
        <w:t xml:space="preserve">, 72 events) and in alliances of eight or more (0.36,</w:t>
      </w:r>
      <w:r>
        <w:t xml:space="preserve"> </w:t>
      </w:r>
      <m:oMath>
        <m:r>
          <m:t>p</m:t>
        </m:r>
        <m:r>
          <m:rPr>
            <m:sty m:val="p"/>
          </m:rPr>
          <m:t>&lt;</m:t>
        </m:r>
        <m:r>
          <m:t>0.001</m:t>
        </m:r>
      </m:oMath>
      <w:r>
        <w:t xml:space="preserve">). The association is present where a covering alliance mentions conflict among its members or commits them to mediation and weaker where none does, but that overlaps with pact size, so I do not claim that provisions explain it. For dispute endings there is no evidence of a difference by pact size, bilateral coverage, or provisions (</w:t>
      </w:r>
      <m:oMath>
        <m:r>
          <m:t>p</m:t>
        </m:r>
        <m:r>
          <m:rPr>
            <m:sty m:val="p"/>
          </m:rPr>
          <m:t>&gt;</m:t>
        </m:r>
        <m:r>
          <m:t>0.2</m:t>
        </m:r>
      </m:oMath>
      <w:r>
        <w:t xml:space="preserve">), although the small-alliance estimates are imprecise. The strongest result therefore comes mostly from regional organisations that anticipate disputes among their own members, and I do not claim it for bilateral alliances. Replacing Correlates of War alliances by ATOP alliances with a defence or offence pledge leaves the main result in place (Appendix N).</w:t>
      </w:r>
    </w:p>
    <w:p>
      <w:pPr>
        <w:pStyle w:val="Heading2"/>
      </w:pPr>
      <w:r>
        <w:t xml:space="preserve">Q.2 Proximity, interaction, and pact controls among allied dyads</w:t>
      </w:r>
    </w:p>
    <w:p>
      <w:pPr>
        <w:pStyle w:val="TableCaption"/>
      </w:pPr>
      <w:r>
        <w:t xml:space="preserve">Table 48. The larger share with proximity, interaction, and pact controls: disputes between allies beginning and ending</w:t>
      </w:r>
    </w:p>
    <w:tbl>
      <w:tblPr>
        <w:tblLayout w:type="autofit"/>
        <w:tblStyle w:val="Table"/>
        <w:tblW w:type="pct" w:w="5000"/>
        <w:tblLook w:firstRow="1" w:lastRow="0" w:firstColumn="0" w:lastColumn="0" w:noHBand="0" w:noVBand="0" w:val="0020"/>
        <w:tblCaption w:val="Table 48. The larger share with proximity, interaction, and pact controls: disputes between allies beginning and ending"/>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Main model</w:t>
            </w:r>
          </w:p>
        </w:tc>
        <w:tc>
          <w:tcPr/>
          <w:p>
            <w:pPr>
              <w:pStyle w:val="Compact"/>
              <w:jc w:val="center"/>
            </w:pPr>
            <w:r>
              <w:t xml:space="preserve">+ Borders, distance</w:t>
            </w:r>
          </w:p>
        </w:tc>
        <w:tc>
          <w:tcPr/>
          <w:p>
            <w:pPr>
              <w:pStyle w:val="Compact"/>
              <w:jc w:val="center"/>
            </w:pPr>
            <w:r>
              <w:t xml:space="preserve">+ Trade volume</w:t>
            </w:r>
          </w:p>
        </w:tc>
        <w:tc>
          <w:tcPr/>
          <w:p>
            <w:pPr>
              <w:pStyle w:val="Compact"/>
              <w:jc w:val="center"/>
            </w:pPr>
            <w:r>
              <w:t xml:space="preserve">+ Prior militarised activity</w:t>
            </w:r>
          </w:p>
        </w:tc>
        <w:tc>
          <w:tcPr/>
          <w:p>
            <w:pPr>
              <w:pStyle w:val="Compact"/>
              <w:jc w:val="center"/>
            </w:pPr>
            <w:r>
              <w:t xml:space="preserve">+ Pact fixed effects</w:t>
            </w:r>
          </w:p>
        </w:tc>
      </w:tr>
      <w:tr>
        <w:tc>
          <w:tcPr/>
          <w:p>
            <w:pPr>
              <w:pStyle w:val="Compact"/>
              <w:jc w:val="left"/>
            </w:pPr>
            <w:r>
              <w:t xml:space="preserve">Dispute begins between allies (44,196 alliance-years, 327 events)</w:t>
            </w:r>
          </w:p>
        </w:tc>
        <w:tc>
          <w:tcPr/>
          <w:p>
            <w:pPr>
              <w:pStyle w:val="Compact"/>
              <w:jc w:val="center"/>
            </w:pPr>
            <w:r>
              <w:t xml:space="preserve">0.341 (0.057)</w:t>
            </w:r>
          </w:p>
        </w:tc>
        <w:tc>
          <w:tcPr/>
          <w:p>
            <w:pPr>
              <w:pStyle w:val="Compact"/>
              <w:jc w:val="center"/>
            </w:pPr>
            <w:r>
              <w:t xml:space="preserve">0.321 (0.077)</w:t>
            </w:r>
          </w:p>
        </w:tc>
        <w:tc>
          <w:tcPr/>
          <w:p>
            <w:pPr>
              <w:pStyle w:val="Compact"/>
              <w:jc w:val="center"/>
            </w:pPr>
            <w:r>
              <w:t xml:space="preserve">0.296 (0.085)</w:t>
            </w:r>
          </w:p>
        </w:tc>
        <w:tc>
          <w:tcPr/>
          <w:p>
            <w:pPr>
              <w:pStyle w:val="Compact"/>
              <w:jc w:val="center"/>
            </w:pPr>
            <w:r>
              <w:t xml:space="preserve">0.243 (0.068)</w:t>
            </w:r>
          </w:p>
        </w:tc>
        <w:tc>
          <w:tcPr/>
          <w:p>
            <w:pPr>
              <w:pStyle w:val="Compact"/>
              <w:jc w:val="center"/>
            </w:pPr>
            <w:r>
              <w:t xml:space="preserve">0.250 (0.073)</w:t>
            </w:r>
          </w:p>
        </w:tc>
      </w:tr>
      <w:tr>
        <w:tc>
          <w:tcPr/>
          <w:p>
            <w:pPr>
              <w:pStyle w:val="Compact"/>
              <w:jc w:val="left"/>
            </w:pPr>
            <w:r>
              <w:t xml:space="preserve">within large pacts only (42,535; 282 events)</w:t>
            </w:r>
          </w:p>
        </w:tc>
        <w:tc>
          <w:tcPr/>
          <w:p>
            <w:pPr>
              <w:pStyle w:val="Compact"/>
              <w:jc w:val="center"/>
            </w:pPr>
            <w:r>
              <w:t xml:space="preserve">0.343 (0.060)</w:t>
            </w:r>
          </w:p>
        </w:tc>
        <w:tc>
          <w:tcPr/>
          <w:p>
            <w:pPr>
              <w:pStyle w:val="Compact"/>
              <w:jc w:val="center"/>
            </w:pPr>
            <w:r>
              <w:t xml:space="preserve">0.289 (0.089)</w:t>
            </w:r>
          </w:p>
        </w:tc>
        <w:tc>
          <w:tcPr/>
          <w:p>
            <w:pPr>
              <w:pStyle w:val="Compact"/>
              <w:jc w:val="center"/>
            </w:pPr>
            <w:r>
              <w:t xml:space="preserve">0.272 (0.097)</w:t>
            </w:r>
          </w:p>
        </w:tc>
        <w:tc>
          <w:tcPr/>
          <w:p>
            <w:pPr>
              <w:pStyle w:val="Compact"/>
              <w:jc w:val="center"/>
            </w:pPr>
            <w:r>
              <w:t xml:space="preserve">0.231 (0.077)</w:t>
            </w:r>
          </w:p>
        </w:tc>
        <w:tc>
          <w:tcPr/>
          <w:p>
            <w:pPr>
              <w:pStyle w:val="Compact"/>
              <w:jc w:val="center"/>
            </w:pPr>
            <w:r>
              <w:t xml:space="preserve">0.254 (0.079)</w:t>
            </w:r>
          </w:p>
        </w:tc>
      </w:tr>
      <w:tr>
        <w:tc>
          <w:tcPr/>
          <w:p>
            <w:pPr>
              <w:pStyle w:val="Compact"/>
              <w:jc w:val="left"/>
            </w:pPr>
            <w:r>
              <w:t xml:space="preserve">land-border dyads only (5,865; 223 events)</w:t>
            </w:r>
          </w:p>
        </w:tc>
        <w:tc>
          <w:tcPr/>
          <w:p>
            <w:pPr>
              <w:pStyle w:val="Compact"/>
              <w:jc w:val="center"/>
            </w:pPr>
            <w:r>
              <w:t xml:space="preserve">0.093 (0.136)</w:t>
            </w:r>
          </w:p>
        </w:tc>
        <w:tc>
          <w:tcPr/>
          <w:p>
            <w:pPr>
              <w:pStyle w:val="Compact"/>
              <w:jc w:val="center"/>
            </w:pPr>
            <w:r>
              <w:t xml:space="preserve">0.112 (0.136)</w:t>
            </w:r>
          </w:p>
        </w:tc>
        <w:tc>
          <w:tcPr/>
          <w:p>
            <w:pPr>
              <w:pStyle w:val="Compact"/>
              <w:jc w:val="center"/>
            </w:pPr>
            <w:r>
              <w:t xml:space="preserve">0.106 (0.143)</w:t>
            </w:r>
          </w:p>
        </w:tc>
        <w:tc>
          <w:tcPr/>
          <w:p>
            <w:pPr>
              <w:pStyle w:val="Compact"/>
              <w:jc w:val="center"/>
            </w:pPr>
            <w:r>
              <w:t xml:space="preserve">0.145 (0.130)</w:t>
            </w:r>
          </w:p>
        </w:tc>
        <w:tc>
          <w:tcPr/>
          <w:p>
            <w:pPr>
              <w:pStyle w:val="Compact"/>
              <w:jc w:val="center"/>
            </w:pPr>
            <w:r>
              <w:t xml:space="preserve">0.155 (0.136)</w:t>
            </w:r>
          </w:p>
        </w:tc>
      </w:tr>
      <w:tr>
        <w:tc>
          <w:tcPr/>
          <w:p>
            <w:pPr>
              <w:pStyle w:val="Compact"/>
              <w:jc w:val="left"/>
            </w:pPr>
            <w:r>
              <w:t xml:space="preserve">Dispute between allies ends (552 allied dispute-years, 308 events)</w:t>
            </w:r>
          </w:p>
        </w:tc>
        <w:tc>
          <w:tcPr/>
          <w:p>
            <w:pPr>
              <w:pStyle w:val="Compact"/>
              <w:jc w:val="center"/>
            </w:pPr>
            <w:r>
              <w:t xml:space="preserve">0.400 (0.150)</w:t>
            </w:r>
          </w:p>
        </w:tc>
        <w:tc>
          <w:tcPr/>
          <w:p>
            <w:pPr>
              <w:pStyle w:val="Compact"/>
              <w:jc w:val="center"/>
            </w:pPr>
            <w:r>
              <w:t xml:space="preserve">0.418 (0.152)</w:t>
            </w:r>
          </w:p>
        </w:tc>
        <w:tc>
          <w:tcPr/>
          <w:p>
            <w:pPr>
              <w:pStyle w:val="Compact"/>
              <w:jc w:val="center"/>
            </w:pPr>
            <w:r>
              <w:t xml:space="preserve">0.473 (0.172)</w:t>
            </w:r>
          </w:p>
        </w:tc>
        <w:tc>
          <w:tcPr/>
          <w:p>
            <w:pPr>
              <w:pStyle w:val="Compact"/>
              <w:jc w:val="center"/>
            </w:pPr>
            <w:r>
              <w:t xml:space="preserve">0.479 (0.172)</w:t>
            </w:r>
          </w:p>
        </w:tc>
        <w:tc>
          <w:tcPr/>
          <w:p>
            <w:pPr>
              <w:pStyle w:val="Compact"/>
              <w:jc w:val="center"/>
            </w:pPr>
            <w:r>
              <w:t xml:space="preserve">0.500 (0.181)</w:t>
            </w:r>
          </w:p>
        </w:tc>
      </w:tr>
    </w:tbl>
    <w:p>
      <w:pPr>
        <w:pStyle w:val="BodyText"/>
      </w:pPr>
      <w:r>
        <w:t xml:space="preserve">Logit coefficients per standard deviation of the larger share (dyad-clustered standard errors), 1886–2011, identical observations across columns within a row. All models include the smaller share, capability asymmetry, log duration, and both pressure counts. Borders and distance: land border, water contiguity, and log distance between capitals (CShapes 2.0). Prior militarised activity: log of the number of years with a militarised incident (hostility level 2 or higher) in the previous ten years, and any earlier incident in the dyad. Pact fixed effects: the largest covering alliance of five or more members. All cells are significant at</w:t>
      </w:r>
      <w:r>
        <w:t xml:space="preserve"> </w:t>
      </w:r>
      <m:oMath>
        <m:r>
          <m:t>p</m:t>
        </m:r>
        <m:r>
          <m:rPr>
            <m:sty m:val="p"/>
          </m:rPr>
          <m:t>&lt;</m:t>
        </m:r>
        <m:r>
          <m:t>0.01</m:t>
        </m:r>
      </m:oMath>
      <w:r>
        <w:t xml:space="preserve"> </w:t>
      </w:r>
      <w:r>
        <w:t xml:space="preserve">except the land-border row (</w:t>
      </w:r>
      <m:oMath>
        <m:r>
          <m:t>p</m:t>
        </m:r>
      </m:oMath>
      <w:r>
        <w:t xml:space="preserve"> </w:t>
      </w:r>
      <w:r>
        <w:t xml:space="preserve">between 0.25 and 0.50). Script 63.</w:t>
      </w:r>
    </w:p>
    <w:p>
      <w:pPr>
        <w:pStyle w:val="BodyText"/>
      </w:pPr>
      <w:r>
        <w:t xml:space="preserve">The onset association is stable through borders and distance (0.34 to 0.32), falls to 0.30 with trade volume and to 0.24 with prior militarised activity, and is 0.25 with pact fixed effects (</w:t>
      </w:r>
      <m:oMath>
        <m:r>
          <m:t>p</m:t>
        </m:r>
        <m:r>
          <m:rPr>
            <m:sty m:val="p"/>
          </m:rPr>
          <m:t>&lt;</m:t>
        </m:r>
        <m:r>
          <m:t>0.001</m:t>
        </m:r>
      </m:oMath>
      <w:r>
        <w:t xml:space="preserve">). Among states in the same pact, at comparable distances and with similar histories of militarised activity, more exposed pairs are still more likely to enter disputes. Prior activity removes about 30% of the coefficient (0.34 to 0.24), which fits the reading that part of the association reflects persistently active relationships, but it does not remove it. Among dyads that share a land border (223 onsets) the coefficient is smaller and not significant (0.09 to 0.16), so the association is mainly among states that do not share a border, and the data are too thin to say more about neighbours. For disputes between allies ending the coefficient is 0.40 to 0.50 and significant in every column (</w:t>
      </w:r>
      <m:oMath>
        <m:r>
          <m:t>p</m:t>
        </m:r>
        <m:r>
          <m:rPr>
            <m:sty m:val="p"/>
          </m:rPr>
          <m:t>&lt;</m:t>
        </m:r>
        <m:r>
          <m:t>0.01</m:t>
        </m:r>
      </m:oMath>
      <w:r>
        <w:t xml:space="preserve">). These controls are crude measures of proximity and interaction, so the comparison is diagnostic and not an identification of the mechanism.</w:t>
      </w:r>
    </w:p>
    <w:p>
      <w:pPr>
        <w:pStyle w:val="Heading2"/>
      </w:pPr>
      <w:r>
        <w:t xml:space="preserve">Q.3 Predictors among allied dyads</w:t>
      </w:r>
    </w:p>
    <w:p>
      <w:pPr>
        <w:pStyle w:val="TableCaption"/>
      </w:pPr>
      <w:r>
        <w:t xml:space="preserve">Table 49. What predicts disputes between allies ending and beginning: standardised coefficients and single-predictor held-out AUC</w:t>
      </w:r>
    </w:p>
    <w:tbl>
      <w:tblPr>
        <w:tblLayout w:type="autofit"/>
        <w:tblStyle w:val="Table"/>
        <w:tblW w:type="pct" w:w="5000"/>
        <w:tblLook w:firstRow="1" w:lastRow="0" w:firstColumn="0" w:lastColumn="0" w:noHBand="0" w:noVBand="0" w:val="0020"/>
        <w:tblCaption w:val="Table 49. What predicts disputes between allies ending and beginning: standardised coefficients and single-predictor held-out AUC"/>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Dispute between allies ends</w:t>
            </w:r>
          </w:p>
        </w:tc>
        <w:tc>
          <w:tcPr>
            <w:gridSpan w:val="2"/>
          </w:tcPr>
          <w:p>
            <w:pPr>
              <w:pStyle w:val="Compact"/>
              <w:jc w:val="center"/>
            </w:pPr>
            <w:r>
              <w:t xml:space="preserve">Dispute begins between allies</w:t>
            </w:r>
          </w:p>
        </w:tc>
      </w:tr>
      <w:tr>
        <w:tc>
          <w:tcPr/>
          <w:p>
            <w:pPr>
              <w:pStyle w:val="Compact"/>
              <w:jc w:val="left"/>
            </w:pPr>
            <w:r>
              <w:t xml:space="preserve">2-3</w:t>
            </w:r>
            <w:r>
              <w:t xml:space="preserve">(lr)</w:t>
            </w:r>
            <w:r>
              <w:t xml:space="preserve">4-5</w:t>
            </w:r>
            <w:r>
              <w:t xml:space="preserve"> </w:t>
            </w:r>
            <w:r>
              <w:t xml:space="preserve">Predictor (per SD)</w:t>
            </w:r>
          </w:p>
        </w:tc>
        <w:tc>
          <w:tcPr/>
          <w:p>
            <w:pPr>
              <w:pStyle w:val="Compact"/>
              <w:jc w:val="center"/>
            </w:pPr>
            <w:r>
              <w:t xml:space="preserve">Coefficient (SE)</w:t>
            </w:r>
          </w:p>
        </w:tc>
        <w:tc>
          <w:tcPr/>
          <w:p>
            <w:pPr>
              <w:pStyle w:val="Compact"/>
              <w:jc w:val="center"/>
            </w:pPr>
            <w:r>
              <w:t xml:space="preserve">AUC</w:t>
            </w:r>
          </w:p>
        </w:tc>
        <w:tc>
          <w:tcPr/>
          <w:p>
            <w:pPr>
              <w:pStyle w:val="Compact"/>
              <w:jc w:val="center"/>
            </w:pPr>
            <w:r>
              <w:t xml:space="preserve">Coefficient (SE)</w:t>
            </w:r>
          </w:p>
        </w:tc>
        <w:tc>
          <w:tcPr/>
          <w:p>
            <w:pPr>
              <w:pStyle w:val="Compact"/>
              <w:jc w:val="center"/>
            </w:pPr>
            <w:r>
              <w:t xml:space="preserve">AUC</w:t>
            </w:r>
          </w:p>
        </w:tc>
      </w:tr>
      <w:tr>
        <w:tc>
          <w:tcPr/>
          <w:p>
            <w:pPr>
              <w:pStyle w:val="Compact"/>
              <w:jc w:val="left"/>
            </w:pPr>
            <w:r>
              <w:t xml:space="preserve">Duration of current state</w:t>
            </w:r>
          </w:p>
        </w:tc>
        <w:tc>
          <w:tcPr/>
          <w:p>
            <w:pPr>
              <w:pStyle w:val="Compact"/>
              <w:jc w:val="center"/>
            </w:pPr>
            <m:oMath>
              <m:r>
                <m:rPr>
                  <m:sty m:val="p"/>
                </m:rPr>
                <m:t>−</m:t>
              </m:r>
            </m:oMath>
            <w:r>
              <w:t xml:space="preserve">0.588 (0.091)</w:t>
            </w:r>
          </w:p>
        </w:tc>
        <w:tc>
          <w:tcPr/>
          <w:p>
            <w:pPr>
              <w:pStyle w:val="Compact"/>
              <w:jc w:val="center"/>
            </w:pPr>
            <w:r>
              <w:t xml:space="preserve">0.610</w:t>
            </w:r>
          </w:p>
        </w:tc>
        <w:tc>
          <w:tcPr/>
          <w:p>
            <w:pPr>
              <w:pStyle w:val="Compact"/>
              <w:jc w:val="center"/>
            </w:pPr>
            <m:oMath>
              <m:r>
                <m:rPr>
                  <m:sty m:val="p"/>
                </m:rPr>
                <m:t>−</m:t>
              </m:r>
            </m:oMath>
            <w:r>
              <w:t xml:space="preserve">0.721 (0.057)</w:t>
            </w:r>
          </w:p>
        </w:tc>
        <w:tc>
          <w:tcPr/>
          <w:p>
            <w:pPr>
              <w:pStyle w:val="Compact"/>
              <w:jc w:val="center"/>
            </w:pPr>
            <w:r>
              <w:t xml:space="preserve">0.739</w:t>
            </w:r>
          </w:p>
        </w:tc>
      </w:tr>
      <w:tr>
        <w:tc>
          <w:tcPr/>
          <w:p>
            <w:pPr>
              <w:pStyle w:val="Compact"/>
              <w:jc w:val="left"/>
            </w:pPr>
            <w:r>
              <w:t xml:space="preserve">Larger share</w:t>
            </w:r>
          </w:p>
        </w:tc>
        <w:tc>
          <w:tcPr/>
          <w:p>
            <w:pPr>
              <w:pStyle w:val="Compact"/>
              <w:jc w:val="center"/>
            </w:pPr>
            <w:r>
              <w:t xml:space="preserve">0.367 (0.143)</w:t>
            </w:r>
          </w:p>
        </w:tc>
        <w:tc>
          <w:tcPr/>
          <w:p>
            <w:pPr>
              <w:pStyle w:val="Compact"/>
              <w:jc w:val="center"/>
            </w:pPr>
            <w:r>
              <w:t xml:space="preserve">0.498</w:t>
            </w:r>
          </w:p>
        </w:tc>
        <w:tc>
          <w:tcPr/>
          <w:p>
            <w:pPr>
              <w:pStyle w:val="Compact"/>
              <w:jc w:val="center"/>
            </w:pPr>
            <w:r>
              <w:t xml:space="preserve">0.347 (0.056)</w:t>
            </w:r>
          </w:p>
        </w:tc>
        <w:tc>
          <w:tcPr/>
          <w:p>
            <w:pPr>
              <w:pStyle w:val="Compact"/>
              <w:jc w:val="center"/>
            </w:pPr>
            <w:r>
              <w:t xml:space="preserve">0.611</w:t>
            </w:r>
          </w:p>
        </w:tc>
      </w:tr>
      <w:tr>
        <w:tc>
          <w:tcPr/>
          <w:p>
            <w:pPr>
              <w:pStyle w:val="Compact"/>
              <w:jc w:val="left"/>
            </w:pPr>
            <w:r>
              <w:t xml:space="preserve">Unbalanced triads,</w:t>
            </w:r>
            <w:r>
              <w:t xml:space="preserve"> </w:t>
            </w:r>
            <m:oMath>
              <m:r>
                <m:rPr>
                  <m:sty m:val="p"/>
                </m:rPr>
                <m:t>log</m:t>
              </m:r>
              <m:r>
                <m:rPr>
                  <m:sty m:val="p"/>
                </m:rPr>
                <m:t>(</m:t>
              </m:r>
              <m:r>
                <m:t>1</m:t>
              </m:r>
              <m:r>
                <m:rPr>
                  <m:sty m:val="p"/>
                </m:rPr>
                <m:t>+</m:t>
              </m:r>
              <m:r>
                <m:t>U</m:t>
              </m:r>
              <m:r>
                <m:rPr>
                  <m:sty m:val="p"/>
                </m:rPr>
                <m:t>)</m:t>
              </m:r>
            </m:oMath>
          </w:p>
        </w:tc>
        <w:tc>
          <w:tcPr/>
          <w:p>
            <w:pPr>
              <w:pStyle w:val="Compact"/>
              <w:jc w:val="center"/>
            </w:pPr>
            <w:r>
              <w:t xml:space="preserve">0.163 (0.079)</w:t>
            </w:r>
          </w:p>
        </w:tc>
        <w:tc>
          <w:tcPr/>
          <w:p>
            <w:pPr>
              <w:pStyle w:val="Compact"/>
              <w:jc w:val="center"/>
            </w:pPr>
            <w:r>
              <w:t xml:space="preserve">0.462</w:t>
            </w:r>
          </w:p>
        </w:tc>
        <w:tc>
          <w:tcPr/>
          <w:p>
            <w:pPr>
              <w:pStyle w:val="Compact"/>
              <w:jc w:val="center"/>
            </w:pPr>
            <w:r>
              <w:t xml:space="preserve">0.257 (0.052)</w:t>
            </w:r>
          </w:p>
        </w:tc>
        <w:tc>
          <w:tcPr/>
          <w:p>
            <w:pPr>
              <w:pStyle w:val="Compact"/>
              <w:jc w:val="center"/>
            </w:pPr>
            <w:r>
              <w:t xml:space="preserve">0.501</w:t>
            </w:r>
          </w:p>
        </w:tc>
      </w:tr>
      <w:tr>
        <w:tc>
          <w:tcPr/>
          <w:p>
            <w:pPr>
              <w:pStyle w:val="Compact"/>
              <w:jc w:val="left"/>
            </w:pPr>
            <w:r>
              <w:t xml:space="preserve">Capability asymmetry</w:t>
            </w:r>
          </w:p>
        </w:tc>
        <w:tc>
          <w:tcPr/>
          <w:p>
            <w:pPr>
              <w:pStyle w:val="Compact"/>
              <w:jc w:val="center"/>
            </w:pPr>
            <m:oMath>
              <m:r>
                <m:rPr>
                  <m:sty m:val="p"/>
                </m:rPr>
                <m:t>−</m:t>
              </m:r>
            </m:oMath>
            <w:r>
              <w:t xml:space="preserve">0.231 (0.115)</w:t>
            </w:r>
          </w:p>
        </w:tc>
        <w:tc>
          <w:tcPr/>
          <w:p>
            <w:pPr>
              <w:pStyle w:val="Compact"/>
              <w:jc w:val="center"/>
            </w:pPr>
            <w:r>
              <w:t xml:space="preserve">0.366</w:t>
            </w:r>
          </w:p>
        </w:tc>
        <w:tc>
          <w:tcPr/>
          <w:p>
            <w:pPr>
              <w:pStyle w:val="Compact"/>
              <w:jc w:val="center"/>
            </w:pPr>
            <m:oMath>
              <m:r>
                <m:rPr>
                  <m:sty m:val="p"/>
                </m:rPr>
                <m:t>−</m:t>
              </m:r>
            </m:oMath>
            <w:r>
              <w:t xml:space="preserve">0.488 (0.118)</w:t>
            </w:r>
          </w:p>
        </w:tc>
        <w:tc>
          <w:tcPr/>
          <w:p>
            <w:pPr>
              <w:pStyle w:val="Compact"/>
              <w:jc w:val="center"/>
            </w:pPr>
            <w:r>
              <w:t xml:space="preserve">0.549</w:t>
            </w:r>
          </w:p>
        </w:tc>
      </w:tr>
      <w:tr>
        <w:tc>
          <w:tcPr/>
          <w:p>
            <w:pPr>
              <w:pStyle w:val="Compact"/>
              <w:jc w:val="left"/>
            </w:pPr>
            <w:r>
              <w:t xml:space="preserve">Balanced triads,</w:t>
            </w:r>
            <w:r>
              <w:t xml:space="preserve"> </w:t>
            </w:r>
            <m:oMath>
              <m:r>
                <m:rPr>
                  <m:sty m:val="p"/>
                </m:rPr>
                <m:t>log</m:t>
              </m:r>
              <m:r>
                <m:rPr>
                  <m:sty m:val="p"/>
                </m:rPr>
                <m:t>(</m:t>
              </m:r>
              <m:r>
                <m:t>1</m:t>
              </m:r>
              <m:r>
                <m:rPr>
                  <m:sty m:val="p"/>
                </m:rPr>
                <m:t>+</m:t>
              </m:r>
              <m:r>
                <m:t>B</m:t>
              </m:r>
              <m:r>
                <m:rPr>
                  <m:sty m:val="p"/>
                </m:rPr>
                <m:t>)</m:t>
              </m:r>
            </m:oMath>
          </w:p>
        </w:tc>
        <w:tc>
          <w:tcPr/>
          <w:p>
            <w:pPr>
              <w:pStyle w:val="Compact"/>
              <w:jc w:val="center"/>
            </w:pPr>
            <w:r>
              <w:t xml:space="preserve">0.223 (0.082)</w:t>
            </w:r>
          </w:p>
        </w:tc>
        <w:tc>
          <w:tcPr/>
          <w:p>
            <w:pPr>
              <w:pStyle w:val="Compact"/>
              <w:jc w:val="center"/>
            </w:pPr>
            <w:r>
              <w:t xml:space="preserve">0.499</w:t>
            </w:r>
          </w:p>
        </w:tc>
        <w:tc>
          <w:tcPr/>
          <w:p>
            <w:pPr>
              <w:pStyle w:val="Compact"/>
              <w:jc w:val="center"/>
            </w:pPr>
            <m:oMath>
              <m:r>
                <m:rPr>
                  <m:sty m:val="p"/>
                </m:rPr>
                <m:t>−</m:t>
              </m:r>
            </m:oMath>
            <w:r>
              <w:t xml:space="preserve">0.202 (0.065)</w:t>
            </w:r>
          </w:p>
        </w:tc>
        <w:tc>
          <w:tcPr/>
          <w:p>
            <w:pPr>
              <w:pStyle w:val="Compact"/>
              <w:jc w:val="center"/>
            </w:pPr>
            <w:r>
              <w:t xml:space="preserve">0.649</w:t>
            </w:r>
          </w:p>
        </w:tc>
      </w:tr>
      <w:tr>
        <w:tc>
          <w:tcPr/>
          <w:p>
            <w:pPr>
              <w:pStyle w:val="Compact"/>
              <w:jc w:val="left"/>
            </w:pPr>
            <w:r>
              <w:t xml:space="preserve">Smaller share</w:t>
            </w:r>
          </w:p>
        </w:tc>
        <w:tc>
          <w:tcPr/>
          <w:p>
            <w:pPr>
              <w:pStyle w:val="Compact"/>
              <w:jc w:val="center"/>
            </w:pPr>
            <w:r>
              <w:t xml:space="preserve">0.119 (0.118)</w:t>
            </w:r>
          </w:p>
        </w:tc>
        <w:tc>
          <w:tcPr/>
          <w:p>
            <w:pPr>
              <w:pStyle w:val="Compact"/>
              <w:jc w:val="center"/>
            </w:pPr>
            <w:r>
              <w:t xml:space="preserve">0.486</w:t>
            </w:r>
          </w:p>
        </w:tc>
        <w:tc>
          <w:tcPr/>
          <w:p>
            <w:pPr>
              <w:pStyle w:val="Compact"/>
              <w:jc w:val="center"/>
            </w:pPr>
            <w:r>
              <w:t xml:space="preserve">0.030 (0.037)</w:t>
            </w:r>
          </w:p>
        </w:tc>
        <w:tc>
          <w:tcPr/>
          <w:p>
            <w:pPr>
              <w:pStyle w:val="Compact"/>
              <w:jc w:val="center"/>
            </w:pPr>
            <w:r>
              <w:t xml:space="preserve">0.611</w:t>
            </w:r>
          </w:p>
        </w:tc>
      </w:tr>
      <w:tr>
        <w:tc>
          <w:tcPr/>
          <w:p>
            <w:pPr>
              <w:pStyle w:val="Compact"/>
              <w:jc w:val="left"/>
            </w:pPr>
            <w:r>
              <w:t xml:space="preserve">Observations / events</w:t>
            </w:r>
          </w:p>
        </w:tc>
        <w:tc>
          <w:tcPr>
            <w:gridSpan w:val="2"/>
          </w:tcPr>
          <w:p>
            <w:pPr>
              <w:pStyle w:val="Compact"/>
              <w:jc w:val="center"/>
            </w:pPr>
            <w:r>
              <w:t xml:space="preserve">557 / 310</w:t>
            </w:r>
          </w:p>
        </w:tc>
        <w:tc>
          <w:tcPr>
            <w:gridSpan w:val="2"/>
          </w:tcPr>
          <w:p>
            <w:pPr>
              <w:pStyle w:val="Compact"/>
              <w:jc w:val="center"/>
            </w:pPr>
            <w:r>
              <w:t xml:space="preserve">44,394 / 330</w:t>
            </w:r>
          </w:p>
        </w:tc>
      </w:tr>
    </w:tbl>
    <w:p>
      <w:pPr>
        <w:pStyle w:val="BodyText"/>
      </w:pPr>
      <w:r>
        <w:t xml:space="preserve">Joint logit model with all six predictors standardised, dyad-clustered standard errors; AUC is for a model with that predictor alone, from dyad-grouped ten-fold cross-validation repeated five times. Script 62.</w:t>
      </w:r>
    </w:p>
    <w:p>
      <w:pPr>
        <w:pStyle w:val="BodyText"/>
      </w:pPr>
      <w:r>
        <w:t xml:space="preserve">Network structure is the other alternative. Within alliances (Table 42), duration is the strongest predictor and exposure is larger than unbalanced triads. The exposure coefficient does not fall when structure enters (for disputes it goes from 0.31 to 0.41, and for alliances from 0.39 to 0.35), so it is not a proxy for structure. Exposure does not interact with unbalanced triads (</w:t>
      </w:r>
      <m:oMath>
        <m:r>
          <m:rPr>
            <m:sty m:val="p"/>
          </m:rPr>
          <m:t>−</m:t>
        </m:r>
        <m:r>
          <m:t>0.05</m:t>
        </m:r>
      </m:oMath>
      <w:r>
        <w:t xml:space="preserve">,</w:t>
      </w:r>
      <w:r>
        <w:t xml:space="preserve"> </w:t>
      </w:r>
      <m:oMath>
        <m:r>
          <m:t>p</m:t>
        </m:r>
        <m:r>
          <m:rPr>
            <m:sty m:val="p"/>
          </m:rPr>
          <m:t>=</m:t>
        </m:r>
        <m:r>
          <m:t>0.39</m:t>
        </m:r>
      </m:oMath>
      <w:r>
        <w:t xml:space="preserve">, for disputes and 0.05,</w:t>
      </w:r>
      <w:r>
        <w:t xml:space="preserve"> </w:t>
      </w:r>
      <m:oMath>
        <m:r>
          <m:t>p</m:t>
        </m:r>
        <m:r>
          <m:rPr>
            <m:sty m:val="p"/>
          </m:rPr>
          <m:t>=</m:t>
        </m:r>
        <m:r>
          <m:t>0.35</m:t>
        </m:r>
      </m:oMath>
      <w:r>
        <w:t xml:space="preserve">, for alliances) but it does interact with balanced triads, negatively for disputes (</w:t>
      </w:r>
      <m:oMath>
        <m:r>
          <m:rPr>
            <m:sty m:val="p"/>
          </m:rPr>
          <m:t>−</m:t>
        </m:r>
        <m:r>
          <m:t>0.27</m:t>
        </m:r>
      </m:oMath>
      <w:r>
        <w:t xml:space="preserve">,</w:t>
      </w:r>
      <w:r>
        <w:t xml:space="preserve"> </w:t>
      </w:r>
      <m:oMath>
        <m:r>
          <m:t>p</m:t>
        </m:r>
        <m:r>
          <m:rPr>
            <m:sty m:val="p"/>
          </m:rPr>
          <m:t>=</m:t>
        </m:r>
        <m:r>
          <m:t>0.002</m:t>
        </m:r>
      </m:oMath>
      <w:r>
        <w:t xml:space="preserve">) and positively for alliances (0.07,</w:t>
      </w:r>
      <w:r>
        <w:t xml:space="preserve"> </w:t>
      </w:r>
      <m:oMath>
        <m:r>
          <m:t>p</m:t>
        </m:r>
        <m:r>
          <m:rPr>
            <m:sty m:val="p"/>
          </m:rPr>
          <m:t>=</m:t>
        </m:r>
        <m:r>
          <m:t>0.03</m:t>
        </m:r>
      </m:oMath>
      <w:r>
        <w:t xml:space="preserve">), so I do not claim strict additivity (Appendix P). The strength of structure for disputes in the signed network comes from alliance status: the unbalanced-triad coefficient falls from 1.58 to 0.19 once an alliance indicator is in the model, and unbalanced triads then add no reliable held-out information (Appendix O). Balanced triads protect alliances (</w:t>
      </w:r>
      <m:oMath>
        <m:r>
          <m:rPr>
            <m:sty m:val="p"/>
          </m:rPr>
          <m:t>−</m:t>
        </m:r>
        <m:r>
          <m:t>0.20</m:t>
        </m:r>
      </m:oMath>
      <w:r>
        <w:t xml:space="preserve">), but that is largely a bloc effect.</w:t>
      </w:r>
    </w:p>
    <w:p>
      <w:pPr>
        <w:pStyle w:val="Heading1"/>
      </w:pPr>
      <w:r>
        <w:t xml:space="preserve">Part III: Supplementary documentation of the earlier triad-level design (Appendices R to V)</w:t>
      </w:r>
    </w:p>
    <w:p>
      <w:pPr>
        <w:pStyle w:val="FirstParagraph"/>
      </w:pPr>
      <w:r>
        <w:t xml:space="preserve">Appendices R to U use dependence asymmetry as the predictor and Appendix V re-estimates the triad-level model in the larger-share form. All rest on the original signed network.</w:t>
      </w:r>
    </w:p>
    <w:p>
      <w:pPr>
        <w:pStyle w:val="Heading1"/>
      </w:pPr>
      <w:r>
        <w:t xml:space="preserve">Appendix R: Whole-triad diagnostic (Section 5.5)</w:t>
      </w:r>
    </w:p>
    <w:p>
      <w:pPr>
        <w:pStyle w:val="FirstParagraph"/>
      </w:pPr>
      <w:r>
        <w:t xml:space="preserve">The triad-level design reported in Section 5.5 of the main text set aside an initial specification testing whether trade-dependence asymmetry (the maximum across a triad’s three relationships) lowers the overall hazard that a triad resolves via sign change. The table gives the nested-model diagnostic behind that decision.</w:t>
      </w:r>
    </w:p>
    <w:p>
      <w:pPr>
        <w:pStyle w:val="TableCaption"/>
      </w:pPr>
      <w:r>
        <w:t xml:space="preserve">Sign change hazard, triad level, with and without bloc fixed effects</w:t>
      </w:r>
    </w:p>
    <w:tbl>
      <w:tblPr>
        <w:tblLayout w:type="autofit"/>
        <w:tblStyle w:val="Table"/>
        <w:tblW w:type="pct" w:w="5000"/>
        <w:tblLook w:firstRow="1" w:lastRow="0" w:firstColumn="0" w:lastColumn="0" w:noHBand="0" w:noVBand="0" w:val="0020"/>
        <w:tblCaption w:val="Sign change hazard, triad level, with and without bloc fixed effects"/>
      </w:tblPr>
      <w:tblGrid>
        <w:gridCol w:w="2640"/>
        <w:gridCol w:w="2640"/>
        <w:gridCol w:w="2640"/>
      </w:tblGrid>
      <w:tr>
        <w:trPr>
          <w:tblHeader w:val="on"/>
        </w:trPr>
        <w:tc>
          <w:tcPr/>
          <w:p>
            <w:pPr>
              <w:pStyle w:val="Compact"/>
            </w:pPr>
          </w:p>
        </w:tc>
        <w:tc>
          <w:tcPr/>
          <w:p>
            <w:pPr>
              <w:pStyle w:val="Compact"/>
              <w:jc w:val="center"/>
            </w:pPr>
            <w:r>
              <w:t xml:space="preserve">Estimate</w:t>
            </w:r>
          </w:p>
        </w:tc>
        <w:tc>
          <w:tcPr/>
          <w:p>
            <w:pPr>
              <w:pStyle w:val="Compact"/>
              <w:jc w:val="center"/>
            </w:pPr>
            <m:oMath>
              <m:r>
                <m:t>p</m:t>
              </m:r>
            </m:oMath>
            <w:r>
              <w:t xml:space="preserve"> </w:t>
            </w:r>
            <w:r>
              <w:t xml:space="preserve">(triad-clustered)</w:t>
            </w:r>
          </w:p>
        </w:tc>
      </w:tr>
      <w:tr>
        <w:tc>
          <w:tcPr/>
          <w:p>
            <w:pPr>
              <w:pStyle w:val="Compact"/>
              <w:jc w:val="left"/>
            </w:pPr>
            <w:r>
              <w:t xml:space="preserve">Trade-dependence asymmetry (max), no bloc fixed effects</w:t>
            </w:r>
          </w:p>
        </w:tc>
        <w:tc>
          <w:tcPr/>
          <w:p>
            <w:pPr>
              <w:pStyle w:val="Compact"/>
              <w:jc w:val="center"/>
            </w:pPr>
            <m:oMath>
              <m:r>
                <m:rPr>
                  <m:sty m:val="p"/>
                </m:rPr>
                <m:t>−</m:t>
              </m:r>
              <m:r>
                <m:t>0.081</m:t>
              </m:r>
            </m:oMath>
          </w:p>
        </w:tc>
        <w:tc>
          <w:tcPr/>
          <w:p>
            <w:pPr>
              <w:pStyle w:val="Compact"/>
              <w:jc w:val="center"/>
            </w:pPr>
            <w:r>
              <w:t xml:space="preserve">0.019</w:t>
            </w:r>
          </w:p>
        </w:tc>
      </w:tr>
      <w:tr>
        <w:tc>
          <w:tcPr/>
          <w:p>
            <w:pPr>
              <w:pStyle w:val="Compact"/>
              <w:jc w:val="left"/>
            </w:pPr>
            <w:r>
              <w:t xml:space="preserve">two-way clustering by triad and bloc</w:t>
            </w:r>
          </w:p>
        </w:tc>
        <w:tc>
          <w:tcPr/>
          <w:p>
            <w:pPr>
              <w:pStyle w:val="Compact"/>
              <w:jc w:val="center"/>
            </w:pPr>
            <m:oMath>
              <m:r>
                <m:rPr>
                  <m:sty m:val="p"/>
                </m:rPr>
                <m:t>−</m:t>
              </m:r>
              <m:r>
                <m:t>0.081</m:t>
              </m:r>
            </m:oMath>
          </w:p>
        </w:tc>
        <w:tc>
          <w:tcPr/>
          <w:p>
            <w:pPr>
              <w:pStyle w:val="Compact"/>
              <w:jc w:val="center"/>
            </w:pPr>
            <w:r>
              <w:t xml:space="preserve">0.281</w:t>
            </w:r>
          </w:p>
        </w:tc>
      </w:tr>
      <w:tr>
        <w:tc>
          <w:tcPr/>
          <w:p>
            <w:pPr>
              <w:pStyle w:val="Compact"/>
              <w:jc w:val="left"/>
            </w:pPr>
            <w:r>
              <w:t xml:space="preserve">Trade-dependence asymmetry (max), with bloc fixed effects</w:t>
            </w:r>
          </w:p>
        </w:tc>
        <w:tc>
          <w:tcPr/>
          <w:p>
            <w:pPr>
              <w:pStyle w:val="Compact"/>
              <w:jc w:val="center"/>
            </w:pPr>
            <m:oMath>
              <m:r>
                <m:t>0.014</m:t>
              </m:r>
            </m:oMath>
          </w:p>
        </w:tc>
        <w:tc>
          <w:tcPr/>
          <w:p>
            <w:pPr>
              <w:pStyle w:val="Compact"/>
              <w:jc w:val="center"/>
            </w:pPr>
            <w:r>
              <w:t xml:space="preserve">0.687</w:t>
            </w:r>
          </w:p>
        </w:tc>
      </w:tr>
    </w:tbl>
    <w:p>
      <w:pPr>
        <w:pStyle w:val="BodyText"/>
      </w:pPr>
      <w:r>
        <w:t xml:space="preserve">Without bloc fixed effects, triads containing a highly asymmetric relationship look less likely to resolve at all, and this survives contiguity and regime-type controls. Two-way clustering by triad and bloc already takes</w:t>
      </w:r>
      <w:r>
        <w:t xml:space="preserve"> </w:t>
      </w:r>
      <m:oMath>
        <m:r>
          <m:t>p</m:t>
        </m:r>
      </m:oMath>
      <w:r>
        <w:t xml:space="preserve"> </w:t>
      </w:r>
      <w:r>
        <w:t xml:space="preserve">from 0.019 to 0.281 (the standard error rises from 0.034 to 0.075), and adding bloc fixed effects (jointly decisive in a likelihood-ratio test,</w:t>
      </w:r>
      <w:r>
        <w:t xml:space="preserve"> </w:t>
      </w:r>
      <m:oMath>
        <m:r>
          <m:t>p</m:t>
        </m:r>
        <m:r>
          <m:rPr>
            <m:sty m:val="p"/>
          </m:rPr>
          <m:t>&lt;</m:t>
        </m:r>
        <m:r>
          <m:t>2.2</m:t>
        </m:r>
        <m:r>
          <m:rPr>
            <m:sty m:val="p"/>
          </m:rPr>
          <m:t>×</m:t>
        </m:r>
        <m:sSup>
          <m:e>
            <m:r>
              <m:t>10</m:t>
            </m:r>
          </m:e>
          <m:sup>
            <m:r>
              <m:rPr>
                <m:sty m:val="p"/>
              </m:rPr>
              <m:t>−</m:t>
            </m:r>
            <m:r>
              <m:t>16</m:t>
            </m:r>
          </m:sup>
        </m:sSup>
      </m:oMath>
      <w:r>
        <w:t xml:space="preserve">) reduces the coefficient to a small, wrong-signed, indistinguishable-from-zero estimate. Nineteen multilateral alliances with eight or more members account for 85% of the trade-valid sample, dominated by the Arab League and the Rio Pact and inter-American system, so the apparent suppression effect reflected between-bloc composition. Clustering corrects only the standard error and could not have diagnosed that. Several bloc fixed-effect coefficients in the dissolution version of this model are large (about</w:t>
      </w:r>
      <w:r>
        <w:t xml:space="preserve"> </w:t>
      </w:r>
      <m:oMath>
        <m:r>
          <m:rPr>
            <m:sty m:val="p"/>
          </m:rPr>
          <m:t>−</m:t>
        </m:r>
        <m:r>
          <m:t>18</m:t>
        </m:r>
      </m:oMath>
      <w:r>
        <w:t xml:space="preserve"> </w:t>
      </w:r>
      <w:r>
        <w:t xml:space="preserve">to</w:t>
      </w:r>
      <w:r>
        <w:t xml:space="preserve"> </w:t>
      </w:r>
      <m:oMath>
        <m:r>
          <m:rPr>
            <m:sty m:val="p"/>
          </m:rPr>
          <m:t>−</m:t>
        </m:r>
        <m:r>
          <m:t>19</m:t>
        </m:r>
      </m:oMath>
      <w:r>
        <w:t xml:space="preserve"> </w:t>
      </w:r>
      <w:r>
        <w:t xml:space="preserve">on the logit scale) because some blocs have no dissolution events, a quasi-separation artefact and not a finding.</w:t>
      </w:r>
    </w:p>
    <w:p>
      <w:pPr>
        <w:pStyle w:val="Heading1"/>
      </w:pPr>
      <w:r>
        <w:t xml:space="preserve">Appendix S: Comparing included and excluded sign-change events</w:t>
      </w:r>
    </w:p>
    <w:p>
      <w:pPr>
        <w:pStyle w:val="FirstParagraph"/>
      </w:pPr>
      <w:r>
        <w:t xml:space="preserve">Restricting the tie-choice analysis to sign-change events with valid trade data on all three candidate relationships (Section 5.5) drops 1,958 of 5,414 single-relationship sign-change events (36%). Only 39 of these (2%) predate 1870. The remaining 1,919 occur</w:t>
      </w:r>
      <w:r>
        <w:t xml:space="preserve"> </w:t>
      </w:r>
      <w:r>
        <w:rPr/>
        <w:t xml:space="preserve">within</w:t>
      </w:r>
      <w:r>
        <w:t xml:space="preserve"> </w:t>
      </w:r>
      <w:r>
        <w:t xml:space="preserve">the trade data’s coverage window but are missing valid data on at least one candidate relationship regardless – and overwhelmingly (1,792 of 1,919, 93%) on exactly one of the three, not all three, consistent with gaps in Correlates of War’s national-trade coverage for specific state-years (a state can be missing from the trade data, or fall below the $50 million reported-trade floor used to guard against unstable shares from tiny or misreported totals) rather than with any systematic feature of the historical period. Table 3 below compares included and excluded events on three observable characteristics available for both groups.</w:t>
      </w:r>
    </w:p>
    <w:p>
      <w:pPr>
        <w:pStyle w:val="TableCaption"/>
      </w:pPr>
      <w:r>
        <w:t xml:space="preserve">Included vs. excluded sign-change events</w:t>
      </w:r>
    </w:p>
    <w:tbl>
      <w:tblPr>
        <w:tblLayout w:type="autofit"/>
        <w:tblStyle w:val="Table"/>
        <w:tblW w:type="pct" w:w="5000"/>
        <w:tblLook w:firstRow="1" w:lastRow="0" w:firstColumn="0" w:lastColumn="0" w:noHBand="0" w:noVBand="0" w:val="0020"/>
        <w:tblCaption w:val="Included vs. excluded sign-change events"/>
      </w:tblPr>
      <w:tblGrid>
        <w:gridCol w:w="2640"/>
        <w:gridCol w:w="2640"/>
        <w:gridCol w:w="2640"/>
      </w:tblGrid>
      <w:tr>
        <w:trPr>
          <w:tblHeader w:val="on"/>
        </w:trPr>
        <w:tc>
          <w:tcPr/>
          <w:p>
            <w:pPr>
              <w:pStyle w:val="Compact"/>
            </w:pPr>
          </w:p>
        </w:tc>
        <w:tc>
          <w:tcPr/>
          <w:p>
            <w:pPr>
              <w:pStyle w:val="Compact"/>
              <w:jc w:val="center"/>
            </w:pPr>
            <w:r>
              <w:t xml:space="preserve">Excluded (</w:t>
            </w:r>
            <m:oMath>
              <m:r>
                <m:t>n</m:t>
              </m:r>
              <m:r>
                <m:rPr>
                  <m:sty m:val="p"/>
                </m:rPr>
                <m:t>=</m:t>
              </m:r>
              <m:r>
                <m:t>1</m:t>
              </m:r>
              <m:r>
                <m:rPr>
                  <m:sty m:val="p"/>
                </m:rPr>
                <m:t>,</m:t>
              </m:r>
              <m:r>
                <m:t>958</m:t>
              </m:r>
            </m:oMath>
            <w:r>
              <w:t xml:space="preserve">)</w:t>
            </w:r>
          </w:p>
        </w:tc>
        <w:tc>
          <w:tcPr/>
          <w:p>
            <w:pPr>
              <w:pStyle w:val="Compact"/>
              <w:jc w:val="center"/>
            </w:pPr>
            <w:r>
              <w:t xml:space="preserve">Included (</w:t>
            </w:r>
            <m:oMath>
              <m:r>
                <m:t>n</m:t>
              </m:r>
              <m:r>
                <m:rPr>
                  <m:sty m:val="p"/>
                </m:rPr>
                <m:t>=</m:t>
              </m:r>
              <m:r>
                <m:t>3</m:t>
              </m:r>
              <m:r>
                <m:rPr>
                  <m:sty m:val="p"/>
                </m:rPr>
                <m:t>,</m:t>
              </m:r>
              <m:r>
                <m:t>456</m:t>
              </m:r>
            </m:oMath>
            <w:r>
              <w:t xml:space="preserve">)</w:t>
            </w:r>
          </w:p>
        </w:tc>
      </w:tr>
      <w:tr>
        <w:tc>
          <w:tcPr/>
          <w:p>
            <w:pPr>
              <w:pStyle w:val="Compact"/>
              <w:jc w:val="left"/>
            </w:pPr>
            <w:r>
              <w:t xml:space="preserve">Mean year of sign change</w:t>
            </w:r>
          </w:p>
        </w:tc>
        <w:tc>
          <w:tcPr/>
          <w:p>
            <w:pPr>
              <w:pStyle w:val="Compact"/>
              <w:jc w:val="center"/>
            </w:pPr>
            <w:r>
              <w:t xml:space="preserve">1978</w:t>
            </w:r>
          </w:p>
        </w:tc>
        <w:tc>
          <w:tcPr/>
          <w:p>
            <w:pPr>
              <w:pStyle w:val="Compact"/>
              <w:jc w:val="center"/>
            </w:pPr>
            <w:r>
              <w:t xml:space="preserve">1987</w:t>
            </w:r>
          </w:p>
        </w:tc>
      </w:tr>
      <w:tr>
        <w:tc>
          <w:tcPr/>
          <w:p>
            <w:pPr>
              <w:pStyle w:val="Compact"/>
              <w:jc w:val="left"/>
            </w:pPr>
            <w:r>
              <w:t xml:space="preserve">Median year</w:t>
            </w:r>
          </w:p>
        </w:tc>
        <w:tc>
          <w:tcPr/>
          <w:p>
            <w:pPr>
              <w:pStyle w:val="Compact"/>
              <w:jc w:val="center"/>
            </w:pPr>
            <w:r>
              <w:t xml:space="preserve">1983</w:t>
            </w:r>
          </w:p>
        </w:tc>
        <w:tc>
          <w:tcPr/>
          <w:p>
            <w:pPr>
              <w:pStyle w:val="Compact"/>
              <w:jc w:val="center"/>
            </w:pPr>
            <w:r>
              <w:t xml:space="preserve">1989</w:t>
            </w:r>
          </w:p>
        </w:tc>
      </w:tr>
      <w:tr>
        <w:tc>
          <w:tcPr/>
          <w:p>
            <w:pPr>
              <w:pStyle w:val="Compact"/>
              <w:jc w:val="left"/>
            </w:pPr>
            <w:r>
              <w:t xml:space="preserve">Mean unbalanced load (max of 3 ties)</w:t>
            </w:r>
          </w:p>
        </w:tc>
        <w:tc>
          <w:tcPr/>
          <w:p>
            <w:pPr>
              <w:pStyle w:val="Compact"/>
              <w:jc w:val="center"/>
            </w:pPr>
            <w:r>
              <w:t xml:space="preserve">23.3</w:t>
            </w:r>
          </w:p>
        </w:tc>
        <w:tc>
          <w:tcPr/>
          <w:p>
            <w:pPr>
              <w:pStyle w:val="Compact"/>
              <w:jc w:val="center"/>
            </w:pPr>
            <w:r>
              <w:t xml:space="preserve">17.1</w:t>
            </w:r>
          </w:p>
        </w:tc>
      </w:tr>
      <w:tr>
        <w:tc>
          <w:tcPr/>
          <w:p>
            <w:pPr>
              <w:pStyle w:val="Compact"/>
              <w:jc w:val="left"/>
            </w:pPr>
            <w:r>
              <w:t xml:space="preserve">Mean embeddedness (mean of 3 ties)</w:t>
            </w:r>
          </w:p>
        </w:tc>
        <w:tc>
          <w:tcPr/>
          <w:p>
            <w:pPr>
              <w:pStyle w:val="Compact"/>
              <w:jc w:val="center"/>
            </w:pPr>
            <w:r>
              <w:t xml:space="preserve">24.9</w:t>
            </w:r>
          </w:p>
        </w:tc>
        <w:tc>
          <w:tcPr/>
          <w:p>
            <w:pPr>
              <w:pStyle w:val="Compact"/>
              <w:jc w:val="center"/>
            </w:pPr>
            <w:r>
              <w:t xml:space="preserve">18.8</w:t>
            </w:r>
          </w:p>
        </w:tc>
      </w:tr>
    </w:tbl>
    <w:p>
      <w:pPr>
        <w:pStyle w:val="BodyText"/>
      </w:pPr>
      <w:r>
        <w:t xml:space="preserve">Excluded events are not randomly distributed: they skew toward triads with</w:t>
      </w:r>
      <w:r>
        <w:t xml:space="preserve"> </w:t>
      </w:r>
      <w:r>
        <w:rPr/>
        <w:t xml:space="preserve">higher</w:t>
      </w:r>
      <w:r>
        <w:t xml:space="preserve"> </w:t>
      </w:r>
      <w:r>
        <w:t xml:space="preserve">unbalanced load and</w:t>
      </w:r>
      <w:r>
        <w:t xml:space="preserve"> </w:t>
      </w:r>
      <w:r>
        <w:rPr/>
        <w:t xml:space="preserve">higher</w:t>
      </w:r>
      <w:r>
        <w:t xml:space="preserve"> </w:t>
      </w:r>
      <w:r>
        <w:t xml:space="preserve">embeddedness than included events – that is, excluded events are, if anything, drawn from</w:t>
      </w:r>
      <w:r>
        <w:t xml:space="preserve"> </w:t>
      </w:r>
      <w:r>
        <w:rPr/>
        <w:t xml:space="preserve">more</w:t>
      </w:r>
      <w:r>
        <w:t xml:space="preserve"> </w:t>
      </w:r>
      <w:r>
        <w:t xml:space="preserve">densely overlapping, more structurally central triads, not more peripheral ones. Read alongside the missingness pattern above, this points to national trade-data gaps for at least one of a triad’s three states being somewhat more common precisely where triads are large and multilaterally embedded (plausibly because such triads are more likely to include a state whose trade records are incomplete for a given year), rather than to any pattern involving small or economically marginal states specifically. The two groups’ year distributions overlap substantially rather than representing distinct historical periods (excluded events run 1850–2011, included events 1891–2011). The attrition is therefore not random with respect to structural position: the included sample skews toward somewhat</w:t>
      </w:r>
      <w:r>
        <w:t xml:space="preserve"> </w:t>
      </w:r>
      <w:r>
        <w:rPr/>
        <w:t xml:space="preserve">less</w:t>
      </w:r>
      <w:r>
        <w:t xml:space="preserve"> </w:t>
      </w:r>
      <w:r>
        <w:t xml:space="preserve">structurally embedded triads than the full population of sign-change events, a modest limit on how far the main result generalizes to the most densely overlapping, multilaterally embedded triads specifically.</w:t>
      </w:r>
    </w:p>
    <w:p>
      <w:pPr>
        <w:pStyle w:val="Heading1"/>
      </w:pPr>
      <w:r>
        <w:t xml:space="preserve">Appendix T: Robustness and measurement checks (Section 5.5)</w:t>
      </w:r>
    </w:p>
    <w:p>
      <w:pPr>
        <w:pStyle w:val="FirstParagraph"/>
      </w:pPr>
      <w:r>
        <w:t xml:space="preserve">The main text summarizes these checks briefly. This appendix reports them in full.</w:t>
      </w:r>
    </w:p>
    <w:p>
      <w:pPr>
        <w:pStyle w:val="Heading2"/>
      </w:pPr>
      <w:r>
        <w:t xml:space="preserve">T.1 Bloc composition and alliance definition</w:t>
      </w:r>
    </w:p>
    <w:p>
      <w:pPr>
        <w:pStyle w:val="FirstParagraph"/>
      </w:pPr>
      <w:r>
        <w:t xml:space="preserve">Three further checks probe whether the main result depends on features of the sample, not a general relationship-level pattern. Excluding each of the four largest blocs identified in Section 5.2 in turn – the Arab League, the Rio Pact/inter-American system, NATO, and the Warsaw Pact – leaves the coefficient stable (range</w:t>
      </w:r>
      <w:r>
        <w:t xml:space="preserve"> </w:t>
      </w:r>
      <m:oMath>
        <m:r>
          <m:t>b</m:t>
        </m:r>
        <m:r>
          <m:rPr>
            <m:sty m:val="p"/>
          </m:rPr>
          <m:t>=</m:t>
        </m:r>
        <m:r>
          <m:t>0.26</m:t>
        </m:r>
      </m:oMath>
      <w:r>
        <w:t xml:space="preserve">–</w:t>
      </w:r>
      <m:oMath>
        <m:r>
          <m:t>0.38</m:t>
        </m:r>
      </m:oMath>
      <w:r>
        <w:t xml:space="preserve">, all</w:t>
      </w:r>
      <w:r>
        <w:t xml:space="preserve"> </w:t>
      </w:r>
      <m:oMath>
        <m:r>
          <m:t>p</m:t>
        </m:r>
        <m:r>
          <m:rPr>
            <m:sty m:val="p"/>
          </m:rPr>
          <m:t>&lt;</m:t>
        </m:r>
        <m:r>
          <m:t>0.001</m:t>
        </m:r>
      </m:oMath>
      <w:r>
        <w:t xml:space="preserve">); restricting to the 219 events in triads touching none of the nineteen large blocs at all, the estimate remains significant (</w:t>
      </w:r>
      <m:oMath>
        <m:r>
          <m:t>b</m:t>
        </m:r>
        <m:r>
          <m:rPr>
            <m:sty m:val="p"/>
          </m:rPr>
          <m:t>=</m:t>
        </m:r>
        <m:r>
          <m:t>0.264</m:t>
        </m:r>
      </m:oMath>
      <w:r>
        <w:t xml:space="preserve">,</w:t>
      </w:r>
      <w:r>
        <w:t xml:space="preserve"> </w:t>
      </w:r>
      <m:oMath>
        <m:r>
          <m:t>p</m:t>
        </m:r>
        <m:r>
          <m:rPr>
            <m:sty m:val="p"/>
          </m:rPr>
          <m:t>=</m:t>
        </m:r>
        <m:r>
          <m:t>0.016</m:t>
        </m:r>
      </m:oMath>
      <w:r>
        <w:t xml:space="preserve">) despite the much smaller sample. Restricting the alliance definition to defence pacts specifically, the strictest of the four Correlates of War commitment types and the one closest to a common-sense definition of</w:t>
      </w:r>
      <w:r>
        <w:t xml:space="preserve"> </w:t>
      </w:r>
      <w:r>
        <w:t xml:space="preserve">“ally,”</w:t>
      </w:r>
      <w:r>
        <w:t xml:space="preserve"> </w:t>
      </w:r>
      <w:r>
        <w:t xml:space="preserve">rather than pooling all four types as the main analysis does, reproduces the result on an independently rebuilt sample of 2,903 events (</w:t>
      </w:r>
      <m:oMath>
        <m:r>
          <m:t>b</m:t>
        </m:r>
        <m:r>
          <m:rPr>
            <m:sty m:val="p"/>
          </m:rPr>
          <m:t>=</m:t>
        </m:r>
        <m:r>
          <m:t>0.295</m:t>
        </m:r>
      </m:oMath>
      <w:r>
        <w:t xml:space="preserve">,</w:t>
      </w:r>
      <w:r>
        <w:t xml:space="preserve"> </w:t>
      </w:r>
      <m:oMath>
        <m:r>
          <m:t>p</m:t>
        </m:r>
        <m:r>
          <m:rPr>
            <m:sty m:val="p"/>
          </m:rPr>
          <m:t>=</m:t>
        </m:r>
        <m:r>
          <m:t>0.015</m:t>
        </m:r>
      </m:oMath>
      <w:r>
        <w:t xml:space="preserve">). An era split shows the same sign in both periods, though the pre-1945 subsample is small and only marginally powered (pre-1945:</w:t>
      </w:r>
      <w:r>
        <w:t xml:space="preserve"> </w:t>
      </w:r>
      <m:oMath>
        <m:r>
          <m:t>b</m:t>
        </m:r>
        <m:r>
          <m:rPr>
            <m:sty m:val="p"/>
          </m:rPr>
          <m:t>=</m:t>
        </m:r>
        <m:r>
          <m:t>0.685</m:t>
        </m:r>
      </m:oMath>
      <w:r>
        <w:t xml:space="preserve">,</w:t>
      </w:r>
      <w:r>
        <w:t xml:space="preserve"> </w:t>
      </w:r>
      <m:oMath>
        <m:r>
          <m:t>p</m:t>
        </m:r>
        <m:r>
          <m:rPr>
            <m:sty m:val="p"/>
          </m:rPr>
          <m:t>=</m:t>
        </m:r>
        <m:r>
          <m:t>0.076</m:t>
        </m:r>
      </m:oMath>
      <w:r>
        <w:t xml:space="preserve">,</w:t>
      </w:r>
      <w:r>
        <w:t xml:space="preserve"> </w:t>
      </w:r>
      <m:oMath>
        <m:r>
          <m:t>n</m:t>
        </m:r>
        <m:r>
          <m:rPr>
            <m:sty m:val="p"/>
          </m:rPr>
          <m:t>=</m:t>
        </m:r>
        <m:r>
          <m:t>48</m:t>
        </m:r>
      </m:oMath>
      <w:r>
        <w:t xml:space="preserve"> </w:t>
      </w:r>
      <w:r>
        <w:t xml:space="preserve">events; 1945-present:</w:t>
      </w:r>
      <w:r>
        <w:t xml:space="preserve"> </w:t>
      </w:r>
      <m:oMath>
        <m:r>
          <m:t>b</m:t>
        </m:r>
        <m:r>
          <m:rPr>
            <m:sty m:val="p"/>
          </m:rPr>
          <m:t>=</m:t>
        </m:r>
        <m:r>
          <m:t>0.275</m:t>
        </m:r>
      </m:oMath>
      <w:r>
        <w:t xml:space="preserve">,</w:t>
      </w:r>
      <w:r>
        <w:t xml:space="preserve"> </w:t>
      </w:r>
      <m:oMath>
        <m:r>
          <m:t>p</m:t>
        </m:r>
        <m:r>
          <m:rPr>
            <m:sty m:val="p"/>
          </m:rPr>
          <m:t>&lt;</m:t>
        </m:r>
        <m:r>
          <m:t>0.001</m:t>
        </m:r>
      </m:oMath>
      <w:r>
        <w:t xml:space="preserve">,</w:t>
      </w:r>
      <w:r>
        <w:t xml:space="preserve"> </w:t>
      </w:r>
      <m:oMath>
        <m:r>
          <m:t>n</m:t>
        </m:r>
        <m:r>
          <m:rPr>
            <m:sty m:val="p"/>
          </m:rPr>
          <m:t>=</m:t>
        </m:r>
        <m:r>
          <m:t>3</m:t>
        </m:r>
        <m:r>
          <m:rPr>
            <m:sty m:val="p"/>
          </m:rPr>
          <m:t>,</m:t>
        </m:r>
        <m:r>
          <m:t>408</m:t>
        </m:r>
      </m:oMath>
      <w:r>
        <w:t xml:space="preserve"> </w:t>
      </w:r>
      <w:r>
        <w:t xml:space="preserve">events, the latter being effectively the full sample). This bears on how the paper’s historical scope should be read: although the underlying signed network is reconstructed from 1816 and trade data are available from 1870, the identifying variation for the main result is overwhelmingly a post-1945 phenomenon. The pre-1945 extension is best read as a boundary check consistent with the same pattern, not as evidence of comparable coverage across the full 1870–2012 window.</w:t>
      </w:r>
    </w:p>
    <w:p>
      <w:pPr>
        <w:pStyle w:val="Heading2"/>
      </w:pPr>
      <w:r>
        <w:t xml:space="preserve">T.2 Dyad- and state-level clustering</w:t>
      </w:r>
    </w:p>
    <w:p>
      <w:pPr>
        <w:pStyle w:val="FirstParagraph"/>
      </w:pPr>
      <w:r>
        <w:t xml:space="preserve">Triads also overlap in the specific pairs of states forming their relationships (the same dyad can appear as a candidate relationship in many different triads, up to 129 times for the most frequently recurring pair in this sample), which neither triad clustering nor bloc fixed effects address. Clustering by the specific dyad forming each candidate relationship, rather than by the triad it happens to sit in, leaves the coefficient effectively unchanged (dyad-clustered:</w:t>
      </w:r>
      <w:r>
        <w:t xml:space="preserve"> </w:t>
      </w:r>
      <m:oMath>
        <m:r>
          <m:t>p</m:t>
        </m:r>
        <m:r>
          <m:rPr>
            <m:sty m:val="p"/>
          </m:rPr>
          <m:t>&lt;</m:t>
        </m:r>
        <m:r>
          <m:t>0.001</m:t>
        </m:r>
      </m:oMath>
      <w:r>
        <w:t xml:space="preserve">; two-way triad-and-dyad clustered:</w:t>
      </w:r>
      <w:r>
        <w:t xml:space="preserve"> </w:t>
      </w:r>
      <m:oMath>
        <m:r>
          <m:t>p</m:t>
        </m:r>
        <m:r>
          <m:rPr>
            <m:sty m:val="p"/>
          </m:rPr>
          <m:t>=</m:t>
        </m:r>
        <m:r>
          <m:t>0.0006</m:t>
        </m:r>
      </m:oMath>
      <w:r>
        <w:t xml:space="preserve">). A dyad is an unordered pair, so this clustering is unambiguous regardless of which state a dataset happens to list first. Combining triad, bloc, and dyad into a single three-way clustered estimate (Cameron-Gelbach-Miller multiway sandwich) leaves the point estimate unchanged, since multiway clustering corrects only the standard error attached to it, not the estimate itself, and the standard error remains small enough for the result to stay significant:</w:t>
      </w:r>
      <w:r>
        <w:t xml:space="preserve"> </w:t>
      </w:r>
      <m:oMath>
        <m:r>
          <m:t>p</m:t>
        </m:r>
        <m:r>
          <m:rPr>
            <m:sty m:val="p"/>
          </m:rPr>
          <m:t>=</m:t>
        </m:r>
        <m:r>
          <m:t>0.018</m:t>
        </m:r>
      </m:oMath>
      <w:r>
        <w:t xml:space="preserve">, comparable to the</w:t>
      </w:r>
      <w:r>
        <w:t xml:space="preserve"> </w:t>
      </w:r>
      <m:oMath>
        <m:r>
          <m:t>p</m:t>
        </m:r>
        <m:r>
          <m:rPr>
            <m:sty m:val="p"/>
          </m:rPr>
          <m:t>=</m:t>
        </m:r>
        <m:r>
          <m:t>0.022</m:t>
        </m:r>
      </m:oMath>
      <w:r>
        <w:t xml:space="preserve"> </w:t>
      </w:r>
      <w:r>
        <w:t xml:space="preserve">two-way (triad+bloc) specification reported in the main text.</w:t>
      </w:r>
    </w:p>
    <w:p>
      <w:pPr>
        <w:pStyle w:val="BodyText"/>
      </w:pPr>
      <w:r>
        <w:t xml:space="preserve">Dyad clustering catches the same exact pair of states recurring across triads, but not two</w:t>
      </w:r>
      <w:r>
        <w:t xml:space="preserve"> </w:t>
      </w:r>
      <w:r>
        <w:rPr/>
        <w:t xml:space="preserve">different</w:t>
      </w:r>
      <w:r>
        <w:t xml:space="preserve"> </w:t>
      </w:r>
      <w:r>
        <w:t xml:space="preserve">dyads sharing one common state (a triad’s US-UK and US-France relationships, say). Two seemingly natural approaches do not provide the required correction. Clustering separately on each relationship’s lower- and higher-ccode state understates the problem: the same state sits in different columns for different relationships, so a shared state is only recognised as dependent when it lands in the same column twice. Clustering instead on the connected component of the graph formed by every relationship’s two states over-corrects: component membership is transitive, so an</w:t>
      </w:r>
      <w:r>
        <w:t xml:space="preserve"> </w:t>
      </w:r>
      <m:oMath>
        <m:r>
          <m:t>A</m:t>
        </m:r>
      </m:oMath>
      <w:r>
        <w:t xml:space="preserve">-</w:t>
      </w:r>
      <m:oMath>
        <m:r>
          <m:t>B</m:t>
        </m:r>
      </m:oMath>
      <w:r>
        <w:t xml:space="preserve"> </w:t>
      </w:r>
      <w:r>
        <w:t xml:space="preserve">tie and an unrelated</w:t>
      </w:r>
      <w:r>
        <w:t xml:space="preserve"> </w:t>
      </w:r>
      <m:oMath>
        <m:r>
          <m:t>C</m:t>
        </m:r>
      </m:oMath>
      <w:r>
        <w:t xml:space="preserve">-</w:t>
      </w:r>
      <m:oMath>
        <m:r>
          <m:t>D</m:t>
        </m:r>
      </m:oMath>
      <w:r>
        <w:t xml:space="preserve"> </w:t>
      </w:r>
      <w:r>
        <w:t xml:space="preserve">tie are pooled together whenever some chain –</w:t>
      </w:r>
      <w:r>
        <w:t xml:space="preserve"> </w:t>
      </w:r>
      <m:oMath>
        <m:r>
          <m:t>B</m:t>
        </m:r>
      </m:oMath>
      <w:r>
        <w:t xml:space="preserve">-</w:t>
      </w:r>
      <m:oMath>
        <m:r>
          <m:t>C</m:t>
        </m:r>
      </m:oMath>
      <w:r>
        <w:t xml:space="preserve">, say – connects them. On the M4 sample this collapses 127 of 139 states, 92% of events, into one component – a property of transitive over-linking, not evidence the true actor-overlap structure is similarly total.</w:t>
      </w:r>
    </w:p>
    <w:p>
      <w:pPr>
        <w:pStyle w:val="BodyText"/>
      </w:pPr>
      <w:r>
        <w:t xml:space="preserve">The correction this requires is a</w:t>
      </w:r>
      <w:r>
        <w:t xml:space="preserve"> </w:t>
      </w:r>
      <w:r>
        <w:rPr/>
        <w:t xml:space="preserve">dyadic-robust</w:t>
      </w:r>
      <w:r>
        <w:t xml:space="preserve"> </w:t>
      </w:r>
      <w:r>
        <w:t xml:space="preserve">variance estimator in the sense of Cameron and Miller (2015, Section VI) and Aronow, Samii, and Assenova (2015): two observations are correlated if and only if they share at least one constituent actor</w:t>
      </w:r>
      <w:r>
        <w:t xml:space="preserve"> </w:t>
      </w:r>
      <w:r>
        <w:rPr/>
        <w:t xml:space="preserve">directly</w:t>
      </w:r>
      <w:r>
        <w:t xml:space="preserve">, with no transitive closure through a third observation. Writing</w:t>
      </w:r>
      <w:r>
        <w:t xml:space="preserve"> </w:t>
      </w:r>
      <m:oMath>
        <m:sSub>
          <m:e>
            <m:r>
              <m:t>u</m:t>
            </m:r>
          </m:e>
          <m:sub>
            <m:r>
              <m:t>i</m:t>
            </m:r>
          </m:sub>
        </m:sSub>
      </m:oMath>
      <w:r>
        <w:t xml:space="preserve"> </w:t>
      </w:r>
      <w:r>
        <w:t xml:space="preserve">for observation</w:t>
      </w:r>
      <w:r>
        <w:t xml:space="preserve"> </w:t>
      </w:r>
      <m:oMath>
        <m:r>
          <m:t>i</m:t>
        </m:r>
      </m:oMath>
      <w:r>
        <w:t xml:space="preserve">’s score contribution and, for each state</w:t>
      </w:r>
      <w:r>
        <w:t xml:space="preserve"> </w:t>
      </w:r>
      <m:oMath>
        <m:r>
          <m:t>g</m:t>
        </m:r>
      </m:oMath>
      <w:r>
        <w:t xml:space="preserve">,</w:t>
      </w:r>
      <w:r>
        <w:t xml:space="preserve"> </w:t>
      </w:r>
      <m:oMath>
        <m:sSub>
          <m:e>
            <m:r>
              <m:t>S</m:t>
            </m:r>
          </m:e>
          <m:sub>
            <m:r>
              <m:t>g</m:t>
            </m:r>
          </m:sub>
        </m:sSub>
        <m:r>
          <m:rPr>
            <m:sty m:val="p"/>
          </m:rPr>
          <m:t>=</m:t>
        </m:r>
        <m:nary>
          <m:naryPr>
            <m:chr m:val="∑"/>
            <m:limLoc m:val="undOvr"/>
            <m:subHide m:val="off"/>
            <m:supHide m:val="on"/>
          </m:naryPr>
          <m:sub>
            <m:r>
              <m:t>i</m:t>
            </m:r>
            <m:r>
              <m:rPr>
                <m:sty m:val="p"/>
              </m:rPr>
              <m:t>:</m:t>
            </m:r>
            <m:r>
              <m:t>g</m:t>
            </m:r>
            <m:r>
              <m:rPr>
                <m:sty m:val="p"/>
              </m:rPr>
              <m:t>∈</m:t>
            </m:r>
            <m:r>
              <m:rPr>
                <m:sty m:val="p"/>
              </m:rPr>
              <m:t>{</m:t>
            </m:r>
            <m:sSub>
              <m:e>
                <m:r>
                  <m:t>s</m:t>
                </m:r>
              </m:e>
              <m:sub>
                <m:r>
                  <m:t>1</m:t>
                </m:r>
                <m:r>
                  <m:t>i</m:t>
                </m:r>
              </m:sub>
            </m:sSub>
            <m:r>
              <m:rPr>
                <m:sty m:val="p"/>
              </m:rPr>
              <m:t>,</m:t>
            </m:r>
            <m:sSub>
              <m:e>
                <m:r>
                  <m:t>s</m:t>
                </m:r>
              </m:e>
              <m:sub>
                <m:r>
                  <m:t>2</m:t>
                </m:r>
                <m:r>
                  <m:t>i</m:t>
                </m:r>
              </m:sub>
            </m:sSub>
            <m:r>
              <m:rPr>
                <m:sty m:val="p"/>
              </m:rPr>
              <m:t>}</m:t>
            </m:r>
          </m:sub>
          <m:sup>
            <m:r>
              <m:t>​</m:t>
            </m:r>
          </m:sup>
          <m:e>
            <m:sSub>
              <m:e>
                <m:r>
                  <m:t>u</m:t>
                </m:r>
              </m:e>
              <m:sub>
                <m:r>
                  <m:t>i</m:t>
                </m:r>
              </m:sub>
            </m:sSub>
          </m:e>
        </m:nary>
      </m:oMath>
      <w:r>
        <w:t xml:space="preserve"> </w:t>
      </w:r>
      <w:r>
        <w:t xml:space="preserve">(the sum of scores over every relationship touching</w:t>
      </w:r>
      <w:r>
        <w:t xml:space="preserve"> </w:t>
      </w:r>
      <m:oMath>
        <m:r>
          <m:t>g</m:t>
        </m:r>
      </m:oMath>
      <w:r>
        <w:t xml:space="preserve">, in either position),</w:t>
      </w:r>
      <w:r>
        <w:t xml:space="preserve"> </w:t>
      </w:r>
      <m:oMath>
        <m:nary>
          <m:naryPr>
            <m:chr m:val="∑"/>
            <m:limLoc m:val="undOvr"/>
            <m:subHide m:val="off"/>
            <m:supHide m:val="on"/>
          </m:naryPr>
          <m:sub>
            <m:r>
              <m:t>g</m:t>
            </m:r>
          </m:sub>
          <m:sup>
            <m:r>
              <m:t>​</m:t>
            </m:r>
          </m:sup>
          <m:e>
            <m:sSub>
              <m:e>
                <m:r>
                  <m:t>S</m:t>
                </m:r>
              </m:e>
              <m:sub>
                <m:r>
                  <m:t>g</m:t>
                </m:r>
              </m:sub>
            </m:sSub>
          </m:e>
        </m:nary>
        <m:sSub>
          <m:e>
            <m:r>
              <m:t>S</m:t>
            </m:r>
          </m:e>
          <m:sub>
            <m:sSup>
              <m:e>
                <m:r>
                  <m:t>g</m:t>
                </m:r>
              </m:e>
              <m:sup>
                <m:r>
                  <m:rPr>
                    <m:sty m:val="p"/>
                  </m:rPr>
                  <m:t>′</m:t>
                </m:r>
              </m:sup>
            </m:sSup>
          </m:sub>
        </m:sSub>
      </m:oMath>
      <w:r>
        <w:t xml:space="preserve"> </w:t>
      </w:r>
      <w:r>
        <w:t xml:space="preserve">counts each pair of observations once for every state they share – 0, 1, or 2, since each relationship has exactly two states – so it double-counts pairs sharing</w:t>
      </w:r>
      <w:r>
        <w:t xml:space="preserve"> </w:t>
      </w:r>
      <w:r>
        <w:rPr/>
        <w:t xml:space="preserve">both</w:t>
      </w:r>
      <w:r>
        <w:t xml:space="preserve"> </w:t>
      </w:r>
      <w:r>
        <w:t xml:space="preserve">states, i.e. pairs belonging to the same dyad. Subtracting the ordinary one-way dyad-clustered meat, which is exactly that double-counted quantity, leaves each genuinely dependent pair counted once:</w:t>
      </w:r>
      <w:r>
        <w:t xml:space="preserve"> </w:t>
      </w:r>
      <m:oMath>
        <m:sSub>
          <m:e>
            <m:r>
              <m:rPr>
                <m:sty m:val="p"/>
              </m:rPr>
              <m:t>M</m:t>
            </m:r>
            <m:r>
              <m:rPr>
                <m:sty m:val="p"/>
              </m:rPr>
              <m:t>e</m:t>
            </m:r>
            <m:r>
              <m:rPr>
                <m:sty m:val="p"/>
              </m:rPr>
              <m:t>a</m:t>
            </m:r>
            <m:r>
              <m:rPr>
                <m:sty m:val="p"/>
              </m:rPr>
              <m:t>t</m:t>
            </m:r>
          </m:e>
          <m:sub>
            <m:r>
              <m:rPr>
                <m:sty m:val="p"/>
              </m:rPr>
              <m:t>d</m:t>
            </m:r>
            <m:r>
              <m:rPr>
                <m:sty m:val="p"/>
              </m:rPr>
              <m:t>y</m:t>
            </m:r>
            <m:r>
              <m:rPr>
                <m:sty m:val="p"/>
              </m:rPr>
              <m:t>a</m:t>
            </m:r>
            <m:r>
              <m:rPr>
                <m:sty m:val="p"/>
              </m:rPr>
              <m:t>d</m:t>
            </m:r>
            <m:r>
              <m:rPr>
                <m:sty m:val="p"/>
              </m:rPr>
              <m:t>i</m:t>
            </m:r>
            <m:r>
              <m:rPr>
                <m:sty m:val="p"/>
              </m:rPr>
              <m:t>c</m:t>
            </m:r>
          </m:sub>
        </m:sSub>
        <m:r>
          <m:rPr>
            <m:sty m:val="p"/>
          </m:rPr>
          <m:t>=</m:t>
        </m:r>
        <m:nary>
          <m:naryPr>
            <m:chr m:val="∑"/>
            <m:limLoc m:val="undOvr"/>
            <m:subHide m:val="off"/>
            <m:supHide m:val="on"/>
          </m:naryPr>
          <m:sub>
            <m:r>
              <m:t>g</m:t>
            </m:r>
          </m:sub>
          <m:sup>
            <m:r>
              <m:t>​</m:t>
            </m:r>
          </m:sup>
          <m:e>
            <m:sSub>
              <m:e>
                <m:r>
                  <m:t>S</m:t>
                </m:r>
              </m:e>
              <m:sub>
                <m:r>
                  <m:t>g</m:t>
                </m:r>
              </m:sub>
            </m:sSub>
          </m:e>
        </m:nary>
        <m:sSub>
          <m:e>
            <m:r>
              <m:t>S</m:t>
            </m:r>
          </m:e>
          <m:sub>
            <m:sSup>
              <m:e>
                <m:r>
                  <m:t>g</m:t>
                </m:r>
              </m:e>
              <m:sup>
                <m:r>
                  <m:rPr>
                    <m:sty m:val="p"/>
                  </m:rPr>
                  <m:t>′</m:t>
                </m:r>
              </m:sup>
            </m:sSup>
          </m:sub>
        </m:sSub>
        <m:r>
          <m:rPr>
            <m:sty m:val="p"/>
          </m:rPr>
          <m:t>−</m:t>
        </m:r>
        <m:sSub>
          <m:e>
            <m:r>
              <m:rPr>
                <m:sty m:val="p"/>
              </m:rPr>
              <m:t>M</m:t>
            </m:r>
            <m:r>
              <m:rPr>
                <m:sty m:val="p"/>
              </m:rPr>
              <m:t>e</m:t>
            </m:r>
            <m:r>
              <m:rPr>
                <m:sty m:val="p"/>
              </m:rPr>
              <m:t>a</m:t>
            </m:r>
            <m:r>
              <m:rPr>
                <m:sty m:val="p"/>
              </m:rPr>
              <m:t>t</m:t>
            </m:r>
          </m:e>
          <m:sub>
            <m:r>
              <m:rPr>
                <m:sty m:val="p"/>
              </m:rPr>
              <m:t>d</m:t>
            </m:r>
            <m:r>
              <m:rPr>
                <m:sty m:val="p"/>
              </m:rPr>
              <m:t>y</m:t>
            </m:r>
            <m:r>
              <m:rPr>
                <m:sty m:val="p"/>
              </m:rPr>
              <m:t>a</m:t>
            </m:r>
            <m:r>
              <m:rPr>
                <m:sty m:val="p"/>
              </m:rPr>
              <m:t>d</m:t>
            </m:r>
          </m:sub>
        </m:sSub>
      </m:oMath>
      <w:r>
        <w:t xml:space="preserve">. This construction was validated by confirming it exactly reproduces</w:t>
      </w:r>
      <w:r>
        <w:t xml:space="preserve"> </w:t>
      </w:r>
      <w:r>
        <w:rPr>
          <w:rStyle w:val="VerbatimChar"/>
        </w:rPr>
        <w:t xml:space="preserve">vcovCL</w:t>
      </w:r>
      <w:r>
        <w:t xml:space="preserve">’s own one-way dyad-clustered variance when applied to the dyad grouping alone (relative error</w:t>
      </w:r>
      <w:r>
        <w:t xml:space="preserve"> </w:t>
      </w:r>
      <m:oMath>
        <m:r>
          <m:t>1.7</m:t>
        </m:r>
        <m:r>
          <m:rPr>
            <m:sty m:val="p"/>
          </m:rPr>
          <m:t>×</m:t>
        </m:r>
        <m:sSup>
          <m:e>
            <m:r>
              <m:t>10</m:t>
            </m:r>
          </m:e>
          <m:sup>
            <m:r>
              <m:rPr>
                <m:sty m:val="p"/>
              </m:rPr>
              <m:t>−</m:t>
            </m:r>
            <m:r>
              <m:t>16</m:t>
            </m:r>
          </m:sup>
        </m:sSup>
      </m:oMath>
      <w:r>
        <w:t xml:space="preserve">), then applied with the state-level grouping described above. Because a state can sit in many relationships simultaneously, this dependence is not a partition, so it is reported as its own check rather than forced into Table 52’s partition-based machinery.</w:t>
      </w:r>
    </w:p>
    <w:p>
      <w:pPr>
        <w:pStyle w:val="BodyText"/>
      </w:pPr>
      <w:r>
        <w:t xml:space="preserve">The result survives: clustering M4 by actor overlap across all 139 states gives</w:t>
      </w:r>
      <w:r>
        <w:t xml:space="preserve"> </w:t>
      </w:r>
      <m:oMath>
        <m:r>
          <m:t>b</m:t>
        </m:r>
        <m:r>
          <m:rPr>
            <m:sty m:val="p"/>
          </m:rPr>
          <m:t>=</m:t>
        </m:r>
        <m:r>
          <m:t>0.298</m:t>
        </m:r>
      </m:oMath>
      <w:r>
        <w:t xml:space="preserve">,</w:t>
      </w:r>
      <w:r>
        <w:t xml:space="preserve"> </w:t>
      </w:r>
      <m:oMath>
        <m:r>
          <m:t>S</m:t>
        </m:r>
        <m:r>
          <m:t>E</m:t>
        </m:r>
        <m:r>
          <m:rPr>
            <m:sty m:val="p"/>
          </m:rPr>
          <m:t>=</m:t>
        </m:r>
        <m:r>
          <m:t>0.124</m:t>
        </m:r>
      </m:oMath>
      <w:r>
        <w:t xml:space="preserve">,</w:t>
      </w:r>
      <w:r>
        <w:t xml:space="preserve"> </w:t>
      </w:r>
      <m:oMath>
        <m:r>
          <m:t>p</m:t>
        </m:r>
        <m:r>
          <m:rPr>
            <m:sty m:val="p"/>
          </m:rPr>
          <m:t>=</m:t>
        </m:r>
        <m:r>
          <m:t>0.017</m:t>
        </m:r>
      </m:oMath>
      <w:r>
        <w:t xml:space="preserve"> </w:t>
      </w:r>
      <w:r>
        <w:t xml:space="preserve">– comparable to the</w:t>
      </w:r>
      <w:r>
        <w:t xml:space="preserve"> </w:t>
      </w:r>
      <m:oMath>
        <m:r>
          <m:t>p</m:t>
        </m:r>
        <m:r>
          <m:rPr>
            <m:sty m:val="p"/>
          </m:rPr>
          <m:t>=</m:t>
        </m:r>
        <m:r>
          <m:t>0.018</m:t>
        </m:r>
      </m:oMath>
      <w:r>
        <w:t xml:space="preserve"> </w:t>
      </w:r>
      <w:r>
        <w:t xml:space="preserve">triad+bloc+dyad estimate above, and, unlike the transitive-closure attempt, a validated correction for the actual concern: that the same state recurring across many different relationships, not only the same dyad, could be driving the standard errors reported elsewhere.</w:t>
      </w:r>
    </w:p>
    <w:p>
      <w:pPr>
        <w:pStyle w:val="TableCaption"/>
      </w:pPr>
      <w:r>
        <w:t xml:space="preserve">Table 52. M4 dependence-asymmetry coefficient under progressively fuller multiway clustering, plus the separate actor-overlap check</w:t>
      </w:r>
    </w:p>
    <w:tbl>
      <w:tblPr>
        <w:tblLayout w:type="autofit"/>
        <w:tblStyle w:val="Table"/>
        <w:tblW w:type="pct" w:w="5000"/>
        <w:tblLook w:firstRow="1" w:lastRow="0" w:firstColumn="0" w:lastColumn="0" w:noHBand="0" w:noVBand="0" w:val="0020"/>
        <w:tblCaption w:val="Table 52. M4 dependence-asymmetry coefficient under progressively fuller multiway clustering, plus the separate actor-overlap check"/>
      </w:tblPr>
      <w:tblGrid>
        <w:gridCol w:w="1980"/>
        <w:gridCol w:w="1980"/>
        <w:gridCol w:w="1980"/>
        <w:gridCol w:w="1980"/>
      </w:tblGrid>
      <w:tr>
        <w:trPr>
          <w:tblHeader w:val="on"/>
        </w:trPr>
        <w:tc>
          <w:tcPr/>
          <w:p>
            <w:pPr>
              <w:pStyle w:val="Compact"/>
              <w:jc w:val="left"/>
            </w:pPr>
            <w:r>
              <w:t xml:space="preserve">Cluster dimensions</w:t>
            </w:r>
          </w:p>
        </w:tc>
        <w:tc>
          <w:tcPr/>
          <w:p>
            <w:pPr>
              <w:pStyle w:val="Compact"/>
              <w:jc w:val="center"/>
            </w:pPr>
            <w:r>
              <w:t xml:space="preserve">Estimate</w:t>
            </w:r>
          </w:p>
        </w:tc>
        <w:tc>
          <w:tcPr/>
          <w:p>
            <w:pPr>
              <w:pStyle w:val="Compact"/>
              <w:jc w:val="center"/>
            </w:pPr>
            <w:r>
              <w:t xml:space="preserve">SE</w:t>
            </w:r>
          </w:p>
        </w:tc>
        <w:tc>
          <w:tcPr/>
          <w:p>
            <w:pPr>
              <w:pStyle w:val="Compact"/>
              <w:jc w:val="center"/>
            </w:pPr>
            <m:oMath>
              <m:r>
                <m:t>p</m:t>
              </m:r>
            </m:oMath>
          </w:p>
        </w:tc>
      </w:tr>
      <w:tr>
        <w:tc>
          <w:tcPr/>
          <w:p>
            <w:pPr>
              <w:pStyle w:val="Compact"/>
              <w:jc w:val="left"/>
            </w:pPr>
            <w:r>
              <w:t xml:space="preserve">Triad only</w:t>
            </w:r>
          </w:p>
        </w:tc>
        <w:tc>
          <w:tcPr/>
          <w:p>
            <w:pPr>
              <w:pStyle w:val="Compact"/>
              <w:jc w:val="center"/>
            </w:pPr>
            <w:r>
              <w:t xml:space="preserve">0.298</w:t>
            </w:r>
          </w:p>
        </w:tc>
        <w:tc>
          <w:tcPr/>
          <w:p>
            <w:pPr>
              <w:pStyle w:val="Compact"/>
              <w:jc w:val="center"/>
            </w:pPr>
            <w:r>
              <w:t xml:space="preserve">0.090</w:t>
            </w:r>
          </w:p>
        </w:tc>
        <w:tc>
          <w:tcPr/>
          <w:p>
            <w:pPr>
              <w:pStyle w:val="Compact"/>
              <w:jc w:val="center"/>
            </w:pPr>
            <w:r>
              <w:t xml:space="preserve">0.001</w:t>
            </w:r>
          </w:p>
        </w:tc>
      </w:tr>
      <w:tr>
        <w:tc>
          <w:tcPr/>
          <w:p>
            <w:pPr>
              <w:pStyle w:val="Compact"/>
              <w:jc w:val="left"/>
            </w:pPr>
            <w:r>
              <w:t xml:space="preserve">Triad + bloc</w:t>
            </w:r>
          </w:p>
        </w:tc>
        <w:tc>
          <w:tcPr/>
          <w:p>
            <w:pPr>
              <w:pStyle w:val="Compact"/>
              <w:jc w:val="center"/>
            </w:pPr>
            <w:r>
              <w:t xml:space="preserve">0.298</w:t>
            </w:r>
          </w:p>
        </w:tc>
        <w:tc>
          <w:tcPr/>
          <w:p>
            <w:pPr>
              <w:pStyle w:val="Compact"/>
              <w:jc w:val="center"/>
            </w:pPr>
            <w:r>
              <w:t xml:space="preserve">0.130</w:t>
            </w:r>
          </w:p>
        </w:tc>
        <w:tc>
          <w:tcPr/>
          <w:p>
            <w:pPr>
              <w:pStyle w:val="Compact"/>
              <w:jc w:val="center"/>
            </w:pPr>
            <w:r>
              <w:t xml:space="preserve">0.022</w:t>
            </w:r>
          </w:p>
        </w:tc>
      </w:tr>
      <w:tr>
        <w:tc>
          <w:tcPr/>
          <w:p>
            <w:pPr>
              <w:pStyle w:val="Compact"/>
              <w:jc w:val="left"/>
            </w:pPr>
            <w:r>
              <w:t xml:space="preserve">Triad + bloc + dyad</w:t>
            </w:r>
          </w:p>
        </w:tc>
        <w:tc>
          <w:tcPr/>
          <w:p>
            <w:pPr>
              <w:pStyle w:val="Compact"/>
              <w:jc w:val="center"/>
            </w:pPr>
            <w:r>
              <w:t xml:space="preserve">0.298</w:t>
            </w:r>
          </w:p>
        </w:tc>
        <w:tc>
          <w:tcPr/>
          <w:p>
            <w:pPr>
              <w:pStyle w:val="Compact"/>
              <w:jc w:val="center"/>
            </w:pPr>
            <w:r>
              <w:t xml:space="preserve">0.126</w:t>
            </w:r>
          </w:p>
        </w:tc>
        <w:tc>
          <w:tcPr/>
          <w:p>
            <w:pPr>
              <w:pStyle w:val="Compact"/>
              <w:jc w:val="center"/>
            </w:pPr>
            <w:r>
              <w:t xml:space="preserve">0.018</w:t>
            </w:r>
          </w:p>
        </w:tc>
      </w:tr>
      <w:tr>
        <w:tc>
          <w:tcPr/>
          <w:p>
            <w:pPr>
              <w:pStyle w:val="Compact"/>
              <w:jc w:val="left"/>
            </w:pPr>
            <w:r>
              <w:t xml:space="preserve">Actor overlap (dyadic-robust, one-way)</w:t>
            </w:r>
          </w:p>
        </w:tc>
        <w:tc>
          <w:tcPr/>
          <w:p>
            <w:pPr>
              <w:pStyle w:val="Compact"/>
              <w:jc w:val="center"/>
            </w:pPr>
            <w:r>
              <w:t xml:space="preserve">0.298</w:t>
            </w:r>
          </w:p>
        </w:tc>
        <w:tc>
          <w:tcPr/>
          <w:p>
            <w:pPr>
              <w:pStyle w:val="Compact"/>
              <w:jc w:val="center"/>
            </w:pPr>
            <w:r>
              <w:t xml:space="preserve">0.124</w:t>
            </w:r>
          </w:p>
        </w:tc>
        <w:tc>
          <w:tcPr/>
          <w:p>
            <w:pPr>
              <w:pStyle w:val="Compact"/>
              <w:jc w:val="center"/>
            </w:pPr>
            <w:r>
              <w:t xml:space="preserve">0.017</w:t>
            </w:r>
          </w:p>
        </w:tc>
      </w:tr>
    </w:tbl>
    <w:p>
      <w:pPr>
        <w:pStyle w:val="BodyText"/>
      </w:pPr>
      <w:r>
        <w:t xml:space="preserve">Same M4 specification and</w:t>
      </w:r>
      <w:r>
        <w:t xml:space="preserve"> </w:t>
      </w:r>
      <m:oMath>
        <m:r>
          <m:t>n</m:t>
        </m:r>
        <m:r>
          <m:rPr>
            <m:sty m:val="p"/>
          </m:rPr>
          <m:t>=</m:t>
        </m:r>
        <m:r>
          <m:t>3</m:t>
        </m:r>
        <m:r>
          <m:rPr>
            <m:sty m:val="p"/>
          </m:rPr>
          <m:t>,</m:t>
        </m:r>
        <m:r>
          <m:t>456</m:t>
        </m:r>
      </m:oMath>
      <w:r>
        <w:t xml:space="preserve">-event sample as the table in Appendix V; only the clustering structure of the standard error changes across rows. Triad/bloc/dyad rows estimated via</w:t>
      </w:r>
      <w:r>
        <w:t xml:space="preserve"> </w:t>
      </w:r>
      <w:r>
        <w:rPr>
          <w:rStyle w:val="VerbatimChar"/>
        </w:rPr>
        <w:t xml:space="preserve">sandwich::vcovCL</w:t>
      </w:r>
      <w:r>
        <w:t xml:space="preserve"> </w:t>
      </w:r>
      <w:r>
        <w:t xml:space="preserve">with a multi-column cluster data frame (Cameron-Gelbach-Miller multiway sandwich,</w:t>
      </w:r>
      <w:r>
        <w:t xml:space="preserve"> </w:t>
      </w:r>
      <w:r>
        <w:rPr>
          <w:rStyle w:val="VerbatimChar"/>
        </w:rPr>
        <w:t xml:space="preserve">multi0=TRUE</w:t>
      </w:r>
      <w:r>
        <w:t xml:space="preserve">); the actor-overlap row is a separately constructed, validated dyadic-robust estimator (see text) not combinable with the multiway rows above via the same partition-based machinery.</w:t>
      </w:r>
    </w:p>
    <w:p>
      <w:pPr>
        <w:pStyle w:val="Heading2"/>
      </w:pPr>
      <w:r>
        <w:t xml:space="preserve">T.3 Trade-reporting floor</w:t>
      </w:r>
    </w:p>
    <w:p>
      <w:pPr>
        <w:pStyle w:val="FirstParagraph"/>
      </w:pPr>
      <w:r>
        <w:t xml:space="preserve">The $50 million minimum-national-trade floor used to compute trade shares (Section 4.3) is a fixed nominal threshold applied across 1870-2012; if its effective stringency changes substantially over that window, results could be sensitive to it. They are not: removing the floor entirely, or setting it at $10 million or $200 million, leaves the coefficient in a narrow band (</w:t>
      </w:r>
      <m:oMath>
        <m:r>
          <m:t>b</m:t>
        </m:r>
        <m:r>
          <m:rPr>
            <m:sty m:val="p"/>
          </m:rPr>
          <m:t>=</m:t>
        </m:r>
        <m:r>
          <m:t>0.25</m:t>
        </m:r>
      </m:oMath>
      <w:r>
        <w:t xml:space="preserve">-</w:t>
      </w:r>
      <m:oMath>
        <m:r>
          <m:t>0.29</m:t>
        </m:r>
      </m:oMath>
      <w:r>
        <w:t xml:space="preserve">, all</w:t>
      </w:r>
      <w:r>
        <w:t xml:space="preserve"> </w:t>
      </w:r>
      <m:oMath>
        <m:r>
          <m:t>p</m:t>
        </m:r>
        <m:r>
          <m:rPr>
            <m:sty m:val="p"/>
          </m:rPr>
          <m:t>&lt;</m:t>
        </m:r>
        <m:r>
          <m:t>0.001</m:t>
        </m:r>
      </m:oMath>
      <w:r>
        <w:t xml:space="preserve">), with no trend suggesting the floor choice is doing any of the work.</w:t>
      </w:r>
    </w:p>
    <w:p>
      <w:pPr>
        <w:pStyle w:val="Heading2"/>
      </w:pPr>
      <w:r>
        <w:t xml:space="preserve">T.4 Alliance/dispute overlap and dispute threshold</w:t>
      </w:r>
    </w:p>
    <w:p>
      <w:pPr>
        <w:pStyle w:val="FirstParagraph"/>
      </w:pPr>
      <w:r>
        <w:t xml:space="preserve">This check follows up on the alliance/militarised-dispute overlap flagged already in Appendix L.4: 99.9% of hostility-to-alliance events involve a dyad already bound by a standing alliance throughout the dispute, chiefly because the Arab League and Rio Pact blocs dominating the sample rarely lapse regardless of specific member disputes. This changes how the main result should be read, but does not undermine it. Restricting to the 120 events where the changed relationship was</w:t>
      </w:r>
      <w:r>
        <w:t xml:space="preserve"> </w:t>
      </w:r>
      <w:r>
        <w:rPr/>
        <w:t xml:space="preserve">not</w:t>
      </w:r>
      <w:r>
        <w:t xml:space="preserve"> </w:t>
      </w:r>
      <w:r>
        <w:t xml:space="preserve">already bound by a coexisting alliance – the cases closest to two states newly allying from open hostility – the coefficient survives on this much smaller and substantively narrower sample (</w:t>
      </w:r>
      <m:oMath>
        <m:r>
          <m:t>b</m:t>
        </m:r>
        <m:r>
          <m:rPr>
            <m:sty m:val="p"/>
          </m:rPr>
          <m:t>=</m:t>
        </m:r>
        <m:r>
          <m:t>0.313</m:t>
        </m:r>
      </m:oMath>
      <w:r>
        <w:t xml:space="preserve">,</w:t>
      </w:r>
      <w:r>
        <w:t xml:space="preserve"> </w:t>
      </w:r>
      <m:oMath>
        <m:r>
          <m:t>p</m:t>
        </m:r>
        <m:r>
          <m:rPr>
            <m:sty m:val="p"/>
          </m:rPr>
          <m:t>=</m:t>
        </m:r>
        <m:r>
          <m:t>0.029</m:t>
        </m:r>
      </m:oMath>
      <w:r>
        <w:t xml:space="preserve">). Rebuilding the network at a stricter hostility threshold, which reduces reliance on brief or marginal disputes without changing the overlap issue directly, also reproduces the result at hihost</w:t>
      </w:r>
      <w:r>
        <w:t xml:space="preserve"> </w:t>
      </w:r>
      <m:oMath>
        <m:r>
          <m:rPr>
            <m:sty m:val="p"/>
          </m:rPr>
          <m:t>≥</m:t>
        </m:r>
        <m:r>
          <m:t>4</m:t>
        </m:r>
      </m:oMath>
      <w:r>
        <w:t xml:space="preserve"> </w:t>
      </w:r>
      <w:r>
        <w:t xml:space="preserve">(</w:t>
      </w:r>
      <m:oMath>
        <m:r>
          <m:t>b</m:t>
        </m:r>
        <m:r>
          <m:rPr>
            <m:sty m:val="p"/>
          </m:rPr>
          <m:t>=</m:t>
        </m:r>
        <m:r>
          <m:t>0.191</m:t>
        </m:r>
      </m:oMath>
      <w:r>
        <w:t xml:space="preserve">,</w:t>
      </w:r>
      <w:r>
        <w:t xml:space="preserve"> </w:t>
      </w:r>
      <m:oMath>
        <m:r>
          <m:t>p</m:t>
        </m:r>
        <m:r>
          <m:rPr>
            <m:sty m:val="p"/>
          </m:rPr>
          <m:t>=</m:t>
        </m:r>
        <m:r>
          <m:t>0.031</m:t>
        </m:r>
      </m:oMath>
      <w:r>
        <w:t xml:space="preserve">, on an independently reconstructed sample of 2,464 events); at hihost</w:t>
      </w:r>
      <w:r>
        <w:t xml:space="preserve"> </w:t>
      </w:r>
      <m:oMath>
        <m:r>
          <m:rPr>
            <m:sty m:val="p"/>
          </m:rPr>
          <m:t>≥</m:t>
        </m:r>
        <m:r>
          <m:t>5</m:t>
        </m:r>
      </m:oMath>
      <w:r>
        <w:t xml:space="preserve"> </w:t>
      </w:r>
      <w:r>
        <w:t xml:space="preserve">the dispute sample becomes too sparse for a reliable estimate (108 events, non-convergent, with an implausibly large coefficient that should be read as an estimation failure rather than evidence of anything) and is reported here only so it is not mistaken for a favorable result if these checks are consulted independently of the main text.</w:t>
      </w:r>
    </w:p>
    <w:p>
      <w:pPr>
        <w:pStyle w:val="Heading2"/>
      </w:pPr>
      <w:r>
        <w:t xml:space="preserve">T.5 Relationship duration</w:t>
      </w:r>
    </w:p>
    <w:p>
      <w:pPr>
        <w:pStyle w:val="FirstParagraph"/>
      </w:pPr>
      <w:r>
        <w:t xml:space="preserve">Alliances and militarised disputes have very different typical durations, and a relationship’s current-sign duration could correlate with dependence asymmetry on its own. Adding the number of consecutive years a candidate relationship has already held its current sign (log-transformed; median 9 years, mean 15, maximum 99) to M4 leaves dependence asymmetry essentially unchanged (</w:t>
      </w:r>
      <m:oMath>
        <m:r>
          <m:t>b</m:t>
        </m:r>
        <m:r>
          <m:rPr>
            <m:sty m:val="p"/>
          </m:rPr>
          <m:t>=</m:t>
        </m:r>
        <m:r>
          <m:t>0.291</m:t>
        </m:r>
      </m:oMath>
      <w:r>
        <w:t xml:space="preserve">,</w:t>
      </w:r>
      <w:r>
        <w:t xml:space="preserve"> </w:t>
      </w:r>
      <m:oMath>
        <m:r>
          <m:t>p</m:t>
        </m:r>
        <m:r>
          <m:rPr>
            <m:sty m:val="p"/>
          </m:rPr>
          <m:t>&lt;</m:t>
        </m:r>
        <m:r>
          <m:t>0.001</m:t>
        </m:r>
      </m:oMath>
      <w:r>
        <w:t xml:space="preserve">), while duration itself is strongly negative and highly significant (</w:t>
      </w:r>
      <m:oMath>
        <m:r>
          <m:t>p</m:t>
        </m:r>
        <m:r>
          <m:rPr>
            <m:sty m:val="p"/>
          </m:rPr>
          <m:t>&lt;</m:t>
        </m:r>
        <m:r>
          <m:t>0.001</m:t>
        </m:r>
      </m:oMath>
      <w:r>
        <w:t xml:space="preserve">), consistent with longer-standing relationships simply being less likely to change for reasons unrelated to dependence asymmetry.</w:t>
      </w:r>
    </w:p>
    <w:p>
      <w:pPr>
        <w:pStyle w:val="Heading2"/>
      </w:pPr>
      <w:r>
        <w:t xml:space="preserve">T.6 Geography</w:t>
      </w:r>
    </w:p>
    <w:p>
      <w:pPr>
        <w:pStyle w:val="FirstParagraph"/>
      </w:pPr>
      <w:r>
        <w:t xml:space="preserve">Geography predicts both bilateral trade and militarised disputes, and is absent from M4 as specified in the main text. Adding dyadic contiguity (direct land or sea-separated borders, present for 42.5% of candidate relationships in this sample) leaves dependence asymmetry essentially unchanged (</w:t>
      </w:r>
      <m:oMath>
        <m:r>
          <m:t>b</m:t>
        </m:r>
        <m:r>
          <m:rPr>
            <m:sty m:val="p"/>
          </m:rPr>
          <m:t>=</m:t>
        </m:r>
        <m:r>
          <m:t>0.287</m:t>
        </m:r>
      </m:oMath>
      <w:r>
        <w:t xml:space="preserve">,</w:t>
      </w:r>
      <w:r>
        <w:t xml:space="preserve"> </w:t>
      </w:r>
      <m:oMath>
        <m:r>
          <m:t>p</m:t>
        </m:r>
        <m:r>
          <m:rPr>
            <m:sty m:val="p"/>
          </m:rPr>
          <m:t>&lt;</m:t>
        </m:r>
        <m:r>
          <m:t>0.001</m:t>
        </m:r>
      </m:oMath>
      <w:r>
        <w:t xml:space="preserve">), while contiguity itself is a strong, independent predictor of which relationship changes (</w:t>
      </w:r>
      <m:oMath>
        <m:r>
          <m:t>b</m:t>
        </m:r>
        <m:r>
          <m:rPr>
            <m:sty m:val="p"/>
          </m:rPr>
          <m:t>=</m:t>
        </m:r>
        <m:r>
          <m:t>1.013</m:t>
        </m:r>
      </m:oMath>
      <w:r>
        <w:t xml:space="preserve">,</w:t>
      </w:r>
      <w:r>
        <w:t xml:space="preserve"> </w:t>
      </w:r>
      <m:oMath>
        <m:r>
          <m:t>p</m:t>
        </m:r>
        <m:r>
          <m:rPr>
            <m:sty m:val="p"/>
          </m:rPr>
          <m:t>&lt;</m:t>
        </m:r>
        <m:r>
          <m:t>0.001</m:t>
        </m:r>
      </m:oMath>
      <w:r>
        <w:t xml:space="preserve">) – unsurprising, since neighboring states’ relationships are more actively contested on both dimensions this design measures. Weak-link mutual dependence, which correlates with contiguity for the ordinary reason that neighbors trade more with each other as a share of their own totals, loses its independent significance once contiguity is added (</w:t>
      </w:r>
      <m:oMath>
        <m:r>
          <m:t>p</m:t>
        </m:r>
        <m:r>
          <m:rPr>
            <m:sty m:val="p"/>
          </m:rPr>
          <m:t>=</m:t>
        </m:r>
        <m:r>
          <m:t>0.45</m:t>
        </m:r>
      </m:oMath>
      <w:r>
        <w:t xml:space="preserve">); dependence asymmetry does not. That contrast is itself a small validation of the distinction drawn in Section 4.3 between overall dependence and its distribution: a relationship’s overall economic importance partly tracks the familiar geography of interstate interaction, and is absorbed by it once geography is in the model, while the</w:t>
      </w:r>
      <w:r>
        <w:t xml:space="preserve"> </w:t>
      </w:r>
      <w:r>
        <w:rPr/>
        <w:t xml:space="preserve">distribution</w:t>
      </w:r>
      <w:r>
        <w:t xml:space="preserve"> </w:t>
      </w:r>
      <w:r>
        <w:t xml:space="preserve">of dependence between the two sides keeps distinguishing which relationship adjusts even after geography is accounted for.</w:t>
      </w:r>
    </w:p>
    <w:p>
      <w:pPr>
        <w:pStyle w:val="Heading1"/>
      </w:pPr>
      <w:r>
        <w:t xml:space="preserve">Appendix U: Triad-level design, episode-level and predictive analyses (Section 5.5)</w:t>
      </w:r>
    </w:p>
    <w:p>
      <w:pPr>
        <w:pStyle w:val="Heading2"/>
      </w:pPr>
      <w:r>
        <w:t xml:space="preserve">U.1 Unit of observation</w:t>
      </w:r>
    </w:p>
    <w:p>
      <w:pPr>
        <w:pStyle w:val="FirstParagraph"/>
      </w:pPr>
      <w:r>
        <w:t xml:space="preserve">Of the 3,456 triad-level cases, each is assigned to a political episode defined by the changed dyad, the year, and the direction of change. This yields 414 distinct episodes (323 hostility-to-alliance, 91 alliance-to-hostility). The median episode appears in 13 triads (interquartile range 10–17; maximum 33), and 75% of triad-level cases belong to episodes appearing in ten or more triads. Appendix V reports the M4 estimate (in the larger-share form) under episode clustering, equal-weight episodes, restriction to episodes in few triads, and by transition type. For the transition-type estimates the starting-sign indicator is omitted because within a transition type it separates the outcome perfectly (the changed relationship is always the one already negative in one-negative triads); the models still include unbalanced load, embeddedness, weak-link mutual dependence, and capability asymmetry. Scripts:</w:t>
      </w:r>
      <w:r>
        <w:t xml:space="preserve"> </w:t>
      </w:r>
      <w:r>
        <w:rPr>
          <w:rStyle w:val="VerbatimChar"/>
        </w:rPr>
        <w:t xml:space="preserve">33_event_level_and_predictive.R</w:t>
      </w:r>
      <w:r>
        <w:t xml:space="preserve"> </w:t>
      </w:r>
      <w:r>
        <w:t xml:space="preserve">(asymmetry form, used in this appendix for U.2 and U.3) and</w:t>
      </w:r>
      <w:r>
        <w:t xml:space="preserve"> </w:t>
      </w:r>
      <w:r>
        <w:rPr>
          <w:rStyle w:val="VerbatimChar"/>
        </w:rPr>
        <w:t xml:space="preserve">56_triad_larger_share.R</w:t>
      </w:r>
      <w:r>
        <w:t xml:space="preserve"> </w:t>
      </w:r>
      <w:r>
        <w:t xml:space="preserve">(larger-share form, Appendix V).</w:t>
      </w:r>
    </w:p>
    <w:p>
      <w:pPr>
        <w:pStyle w:val="Heading2"/>
      </w:pPr>
      <w:r>
        <w:t xml:space="preserve">U.2 Out-of-sample predictive comparison</w:t>
      </w:r>
    </w:p>
    <w:p>
      <w:pPr>
        <w:pStyle w:val="FirstParagraph"/>
      </w:pPr>
      <w:r>
        <w:t xml:space="preserve">Both models are conditional logits on the three relationships in each event, the full model being M4 (in its original form, with dependence asymmetry) and the comparison model omitting dependence asymmetry. Each is estimated on training folds and scored on the held-out events by the log of the conditional probability of the relationship that changed, and by whether the highest-scoring relationship is the one that changed. In ten folds that keep each episode together the mean per-event log-likelihood is</w:t>
      </w:r>
      <w:r>
        <w:t xml:space="preserve"> </w:t>
      </w:r>
      <m:oMath>
        <m:r>
          <m:rPr>
            <m:sty m:val="p"/>
          </m:rPr>
          <m:t>−</m:t>
        </m:r>
        <m:r>
          <m:t>0.1659</m:t>
        </m:r>
      </m:oMath>
      <w:r>
        <w:t xml:space="preserve"> </w:t>
      </w:r>
      <w:r>
        <w:t xml:space="preserve">(full) against</w:t>
      </w:r>
      <w:r>
        <w:t xml:space="preserve"> </w:t>
      </w:r>
      <m:oMath>
        <m:r>
          <m:rPr>
            <m:sty m:val="p"/>
          </m:rPr>
          <m:t>−</m:t>
        </m:r>
        <m:r>
          <m:t>0.1669</m:t>
        </m:r>
      </m:oMath>
      <w:r>
        <w:t xml:space="preserve"> </w:t>
      </w:r>
      <w:r>
        <w:t xml:space="preserve">(without asymmetry), a gain of 0.0010 (bootstrap 95% CI</w:t>
      </w:r>
      <w:r>
        <w:t xml:space="preserve"> </w:t>
      </w:r>
      <m:oMath>
        <m:r>
          <m:rPr>
            <m:sty m:val="p"/>
          </m:rPr>
          <m:t>−</m:t>
        </m:r>
        <m:r>
          <m:t>0.0007</m:t>
        </m:r>
      </m:oMath>
      <w:r>
        <w:t xml:space="preserve"> </w:t>
      </w:r>
      <w:r>
        <w:t xml:space="preserve">to</w:t>
      </w:r>
      <w:r>
        <w:t xml:space="preserve"> </w:t>
      </w:r>
      <m:oMath>
        <m:r>
          <m:t>0.0028</m:t>
        </m:r>
      </m:oMath>
      <w:r>
        <w:t xml:space="preserve">). In eight folds that keep each decade together it is</w:t>
      </w:r>
      <w:r>
        <w:t xml:space="preserve"> </w:t>
      </w:r>
      <m:oMath>
        <m:r>
          <m:rPr>
            <m:sty m:val="p"/>
          </m:rPr>
          <m:t>−</m:t>
        </m:r>
        <m:r>
          <m:t>0.1677</m:t>
        </m:r>
      </m:oMath>
      <w:r>
        <w:t xml:space="preserve"> </w:t>
      </w:r>
      <w:r>
        <w:t xml:space="preserve">against</w:t>
      </w:r>
      <w:r>
        <w:t xml:space="preserve"> </w:t>
      </w:r>
      <m:oMath>
        <m:r>
          <m:rPr>
            <m:sty m:val="p"/>
          </m:rPr>
          <m:t>−</m:t>
        </m:r>
        <m:r>
          <m:t>0.1675</m:t>
        </m:r>
      </m:oMath>
      <w:r>
        <w:t xml:space="preserve">, a gain of</w:t>
      </w:r>
      <w:r>
        <w:t xml:space="preserve"> </w:t>
      </w:r>
      <m:oMath>
        <m:r>
          <m:rPr>
            <m:sty m:val="p"/>
          </m:rPr>
          <m:t>−</m:t>
        </m:r>
        <m:r>
          <m:t>0.0001</m:t>
        </m:r>
      </m:oMath>
      <w:r>
        <w:t xml:space="preserve"> </w:t>
      </w:r>
      <w:r>
        <w:t xml:space="preserve">(</w:t>
      </w:r>
      <m:oMath>
        <m:r>
          <m:rPr>
            <m:sty m:val="p"/>
          </m:rPr>
          <m:t>−</m:t>
        </m:r>
        <m:r>
          <m:t>0.0026</m:t>
        </m:r>
      </m:oMath>
      <w:r>
        <w:t xml:space="preserve"> </w:t>
      </w:r>
      <w:r>
        <w:t xml:space="preserve">to</w:t>
      </w:r>
      <w:r>
        <w:t xml:space="preserve"> </w:t>
      </w:r>
      <m:oMath>
        <m:r>
          <m:t>0.0022</m:t>
        </m:r>
      </m:oMath>
      <w:r>
        <w:t xml:space="preserve">). Top-1 accuracy is 96.5% in both models in both schemes.</w:t>
      </w:r>
    </w:p>
    <w:p>
      <w:pPr>
        <w:pStyle w:val="Heading2"/>
      </w:pPr>
      <w:r>
        <w:t xml:space="preserve">U.3 Diversification</w:t>
      </w:r>
    </w:p>
    <w:p>
      <w:pPr>
        <w:pStyle w:val="FirstParagraph"/>
      </w:pPr>
      <w:r>
        <w:t xml:space="preserve">Diversification is the Herfindahl index of the more exposed state’s bilateral trade shares in the year before the change. The second version excludes the focal partner’s own share from the index. Subsample coefficients are on the full-sample standardised asymmetry.</w:t>
      </w:r>
    </w:p>
    <w:p>
      <w:pPr>
        <w:pStyle w:val="TableCaption"/>
      </w:pPr>
      <w:r>
        <w:t xml:space="preserve">Dependence-asymmetry coefficient by trade concentration of the more exposed state (M4)</w:t>
      </w:r>
    </w:p>
    <w:tbl>
      <w:tblPr>
        <w:tblLayout w:type="autofit"/>
        <w:tblStyle w:val="Table"/>
        <w:tblW w:type="pct" w:w="5000"/>
        <w:tblLook w:firstRow="1" w:lastRow="0" w:firstColumn="0" w:lastColumn="0" w:noHBand="0" w:noVBand="0" w:val="0020"/>
        <w:tblCaption w:val="Dependence-asymmetry coefficient by trade concentration of the more exposed state (M4)"/>
      </w:tblPr>
      <w:tblGrid>
        <w:gridCol w:w="1980"/>
        <w:gridCol w:w="1980"/>
        <w:gridCol w:w="1980"/>
        <w:gridCol w:w="1980"/>
      </w:tblGrid>
      <w:tr>
        <w:trPr>
          <w:tblHeader w:val="on"/>
        </w:trPr>
        <w:tc>
          <w:tcPr/>
          <w:p>
            <w:pPr>
              <w:pStyle w:val="Compact"/>
              <w:jc w:val="left"/>
            </w:pPr>
            <w:r>
              <w:t xml:space="preserve">Subsample</w:t>
            </w:r>
          </w:p>
        </w:tc>
        <w:tc>
          <w:tcPr/>
          <w:p>
            <w:pPr>
              <w:pStyle w:val="Compact"/>
              <w:jc w:val="center"/>
            </w:pPr>
            <m:oMath>
              <m:r>
                <m:t>b</m:t>
              </m:r>
            </m:oMath>
            <w:r>
              <w:t xml:space="preserve"> </w:t>
            </w:r>
            <w:r>
              <w:t xml:space="preserve">(SE)</w:t>
            </w:r>
          </w:p>
        </w:tc>
        <w:tc>
          <w:tcPr/>
          <w:p>
            <w:pPr>
              <w:pStyle w:val="Compact"/>
              <w:jc w:val="center"/>
            </w:pPr>
            <m:oMath>
              <m:r>
                <m:t>p</m:t>
              </m:r>
            </m:oMath>
          </w:p>
        </w:tc>
        <w:tc>
          <w:tcPr/>
          <w:p>
            <w:pPr>
              <w:pStyle w:val="Compact"/>
              <w:jc w:val="center"/>
            </w:pPr>
            <w:r>
              <w:t xml:space="preserve">Events</w:t>
            </w:r>
          </w:p>
        </w:tc>
      </w:tr>
      <w:tr>
        <w:tc>
          <w:tcPr/>
          <w:p>
            <w:pPr>
              <w:pStyle w:val="Compact"/>
              <w:jc w:val="left"/>
            </w:pPr>
            <w:r>
              <w:t xml:space="preserve">Concentrated (HHI above median)</w:t>
            </w:r>
          </w:p>
        </w:tc>
        <w:tc>
          <w:tcPr/>
          <w:p>
            <w:pPr>
              <w:pStyle w:val="Compact"/>
              <w:jc w:val="center"/>
            </w:pPr>
            <w:r>
              <w:t xml:space="preserve">0.062 (0.160)</w:t>
            </w:r>
          </w:p>
        </w:tc>
        <w:tc>
          <w:tcPr/>
          <w:p>
            <w:pPr>
              <w:pStyle w:val="Compact"/>
              <w:jc w:val="center"/>
            </w:pPr>
            <w:r>
              <w:t xml:space="preserve">0.699</w:t>
            </w:r>
          </w:p>
        </w:tc>
        <w:tc>
          <w:tcPr/>
          <w:p>
            <w:pPr>
              <w:pStyle w:val="Compact"/>
              <w:jc w:val="center"/>
            </w:pPr>
            <w:r>
              <w:t xml:space="preserve">2,406</w:t>
            </w:r>
          </w:p>
        </w:tc>
      </w:tr>
      <w:tr>
        <w:tc>
          <w:tcPr/>
          <w:p>
            <w:pPr>
              <w:pStyle w:val="Compact"/>
              <w:jc w:val="left"/>
            </w:pPr>
            <w:r>
              <w:t xml:space="preserve">Diversified (HHI at or below median)</w:t>
            </w:r>
          </w:p>
        </w:tc>
        <w:tc>
          <w:tcPr/>
          <w:p>
            <w:pPr>
              <w:pStyle w:val="Compact"/>
              <w:jc w:val="center"/>
            </w:pPr>
            <w:r>
              <w:t xml:space="preserve">1.124 (0.312)</w:t>
            </w:r>
          </w:p>
        </w:tc>
        <w:tc>
          <w:tcPr/>
          <w:p>
            <w:pPr>
              <w:pStyle w:val="Compact"/>
              <w:jc w:val="center"/>
            </w:pPr>
            <m:oMath>
              <m:r>
                <m:rPr>
                  <m:sty m:val="p"/>
                </m:rPr>
                <m:t>&lt;</m:t>
              </m:r>
            </m:oMath>
            <w:r>
              <w:t xml:space="preserve">0.001</w:t>
            </w:r>
          </w:p>
        </w:tc>
        <w:tc>
          <w:tcPr/>
          <w:p>
            <w:pPr>
              <w:pStyle w:val="Compact"/>
              <w:jc w:val="center"/>
            </w:pPr>
            <w:r>
              <w:t xml:space="preserve">2,403</w:t>
            </w:r>
          </w:p>
        </w:tc>
      </w:tr>
      <w:tr>
        <w:tc>
          <w:tcPr/>
          <w:p>
            <w:pPr>
              <w:pStyle w:val="Compact"/>
              <w:jc w:val="left"/>
            </w:pPr>
            <w:r>
              <w:t xml:space="preserve">Other-partner HHI above median</w:t>
            </w:r>
          </w:p>
        </w:tc>
        <w:tc>
          <w:tcPr/>
          <w:p>
            <w:pPr>
              <w:pStyle w:val="Compact"/>
              <w:jc w:val="center"/>
            </w:pPr>
            <w:r>
              <w:t xml:space="preserve">0.113 (0.268)</w:t>
            </w:r>
          </w:p>
        </w:tc>
        <w:tc>
          <w:tcPr/>
          <w:p>
            <w:pPr>
              <w:pStyle w:val="Compact"/>
              <w:jc w:val="center"/>
            </w:pPr>
            <w:r>
              <w:t xml:space="preserve">0.675</w:t>
            </w:r>
          </w:p>
        </w:tc>
        <w:tc>
          <w:tcPr/>
          <w:p>
            <w:pPr>
              <w:pStyle w:val="Compact"/>
              <w:jc w:val="center"/>
            </w:pPr>
            <w:r>
              <w:t xml:space="preserve">2,493</w:t>
            </w:r>
          </w:p>
        </w:tc>
      </w:tr>
      <w:tr>
        <w:tc>
          <w:tcPr/>
          <w:p>
            <w:pPr>
              <w:pStyle w:val="Compact"/>
              <w:jc w:val="left"/>
            </w:pPr>
            <w:r>
              <w:t xml:space="preserve">Other-partner HHI at or below median</w:t>
            </w:r>
          </w:p>
        </w:tc>
        <w:tc>
          <w:tcPr/>
          <w:p>
            <w:pPr>
              <w:pStyle w:val="Compact"/>
              <w:jc w:val="center"/>
            </w:pPr>
            <w:r>
              <w:t xml:space="preserve">0.358 (0.175)</w:t>
            </w:r>
          </w:p>
        </w:tc>
        <w:tc>
          <w:tcPr/>
          <w:p>
            <w:pPr>
              <w:pStyle w:val="Compact"/>
              <w:jc w:val="center"/>
            </w:pPr>
            <w:r>
              <w:t xml:space="preserve">0.041</w:t>
            </w:r>
          </w:p>
        </w:tc>
        <w:tc>
          <w:tcPr/>
          <w:p>
            <w:pPr>
              <w:pStyle w:val="Compact"/>
              <w:jc w:val="center"/>
            </w:pPr>
            <w:r>
              <w:t xml:space="preserve">2,437</w:t>
            </w:r>
          </w:p>
        </w:tc>
      </w:tr>
      <w:tr>
        <w:tc>
          <w:tcPr/>
          <w:p>
            <w:pPr>
              <w:pStyle w:val="Compact"/>
              <w:jc w:val="left"/>
            </w:pPr>
            <w:r>
              <w:t xml:space="preserve">Interaction asymmetry</w:t>
            </w:r>
            <w:r>
              <w:t xml:space="preserve"> </w:t>
            </w:r>
            <m:oMath>
              <m:r>
                <m:rPr>
                  <m:sty m:val="p"/>
                </m:rPr>
                <m:t>×</m:t>
              </m:r>
            </m:oMath>
            <w:r>
              <w:t xml:space="preserve"> </w:t>
            </w:r>
            <w:r>
              <w:t xml:space="preserve">HHI</w:t>
            </w:r>
          </w:p>
        </w:tc>
        <w:tc>
          <w:tcPr/>
          <w:p>
            <w:pPr>
              <w:pStyle w:val="Compact"/>
              <w:jc w:val="center"/>
            </w:pPr>
            <m:oMath>
              <m:r>
                <m:rPr>
                  <m:sty m:val="p"/>
                </m:rPr>
                <m:t>−</m:t>
              </m:r>
            </m:oMath>
            <w:r>
              <w:t xml:space="preserve">0.056 (0.020)</w:t>
            </w:r>
          </w:p>
        </w:tc>
        <w:tc>
          <w:tcPr/>
          <w:p>
            <w:pPr>
              <w:pStyle w:val="Compact"/>
              <w:jc w:val="center"/>
            </w:pPr>
            <w:r>
              <w:t xml:space="preserve">0.004</w:t>
            </w:r>
          </w:p>
        </w:tc>
        <w:tc>
          <w:tcPr/>
          <w:p>
            <w:pPr>
              <w:pStyle w:val="Compact"/>
              <w:jc w:val="center"/>
            </w:pPr>
            <w:r>
              <w:t xml:space="preserve">3,456</w:t>
            </w:r>
          </w:p>
        </w:tc>
      </w:tr>
      <w:tr>
        <w:tc>
          <w:tcPr/>
          <w:p>
            <w:pPr>
              <w:pStyle w:val="Compact"/>
              <w:jc w:val="left"/>
            </w:pPr>
            <w:r>
              <w:t xml:space="preserve">Interaction asymmetry</w:t>
            </w:r>
            <w:r>
              <w:t xml:space="preserve"> </w:t>
            </w:r>
            <m:oMath>
              <m:r>
                <m:rPr>
                  <m:sty m:val="p"/>
                </m:rPr>
                <m:t>×</m:t>
              </m:r>
            </m:oMath>
            <w:r>
              <w:t xml:space="preserve"> </w:t>
            </w:r>
            <w:r>
              <w:t xml:space="preserve">other-partner HHI</w:t>
            </w:r>
          </w:p>
        </w:tc>
        <w:tc>
          <w:tcPr/>
          <w:p>
            <w:pPr>
              <w:pStyle w:val="Compact"/>
              <w:jc w:val="center"/>
            </w:pPr>
            <m:oMath>
              <m:r>
                <m:rPr>
                  <m:sty m:val="p"/>
                </m:rPr>
                <m:t>−</m:t>
              </m:r>
            </m:oMath>
            <w:r>
              <w:t xml:space="preserve">0.051 (0.018)</w:t>
            </w:r>
          </w:p>
        </w:tc>
        <w:tc>
          <w:tcPr/>
          <w:p>
            <w:pPr>
              <w:pStyle w:val="Compact"/>
              <w:jc w:val="center"/>
            </w:pPr>
            <w:r>
              <w:t xml:space="preserve">0.004</w:t>
            </w:r>
          </w:p>
        </w:tc>
        <w:tc>
          <w:tcPr/>
          <w:p>
            <w:pPr>
              <w:pStyle w:val="Compact"/>
              <w:jc w:val="center"/>
            </w:pPr>
            <w:r>
              <w:t xml:space="preserve">3,456</w:t>
            </w:r>
          </w:p>
        </w:tc>
      </w:tr>
    </w:tbl>
    <w:p>
      <w:pPr>
        <w:pStyle w:val="BodyText"/>
      </w:pPr>
      <w:r>
        <w:t xml:space="preserve">Conditional logit, standard errors clustered by episode. Subsamples overlap in events across the two HHI versions and are not independent; the median is computed over the events with available data.</w:t>
      </w:r>
    </w:p>
    <w:p>
      <w:pPr>
        <w:pStyle w:val="Heading1"/>
      </w:pPr>
      <w:r>
        <w:t xml:space="preserve">Appendix V: Triad-level allocation model, larger-share form (Section 5.5)</w:t>
      </w:r>
    </w:p>
    <w:p>
      <w:pPr>
        <w:pStyle w:val="FirstParagraph"/>
      </w:pPr>
      <w:r>
        <w:t xml:space="preserve">This appendix uses the original signed network with all four treaty types. The table re-estimates the triad-level conditional-choice model of Appendix U with the larger of the tie’s two directed trade shares in place of dependence asymmetry; the smaller share (weak-link mutual dependence) stays in the model, so the parameterisation matches the main text. The sample is unchanged (3,456 triad-level cases, 414 episodes). Because the smaller share is held constant, the</w:t>
      </w:r>
      <w:r>
        <w:t xml:space="preserve"> </w:t>
      </w:r>
      <m:oMath>
        <m:r>
          <m:t>p</m:t>
        </m:r>
      </m:oMath>
      <w:r>
        <w:t xml:space="preserve">-values equal those of the asymmetry form and the coefficients are larger per standard deviation (for example 0.332 against 0.298 in the first row). Giving each episode equal weight leaves the coefficient positive and larger, and it stays significant when standard errors are clustered by episode or by dyad. Script</w:t>
      </w:r>
      <w:r>
        <w:t xml:space="preserve"> </w:t>
      </w:r>
      <w:r>
        <w:rPr>
          <w:rStyle w:val="VerbatimChar"/>
        </w:rPr>
        <w:t xml:space="preserve">56</w:t>
      </w:r>
      <w:r>
        <w:t xml:space="preserve">.</w:t>
      </w:r>
    </w:p>
    <w:p>
      <w:pPr>
        <w:pStyle w:val="TableCaption"/>
      </w:pPr>
      <w:r>
        <w:t xml:space="preserve">Triad-level allocation model at the level of unique political episodes, larger share</w:t>
      </w:r>
    </w:p>
    <w:tbl>
      <w:tblPr>
        <w:tblLayout w:type="autofit"/>
        <w:tblStyle w:val="Table"/>
        <w:tblW w:type="pct" w:w="5000"/>
        <w:tblLook w:firstRow="1" w:lastRow="0" w:firstColumn="0" w:lastColumn="0" w:noHBand="0" w:noVBand="0" w:val="0020"/>
        <w:tblCaption w:val="Triad-level allocation model at the level of unique political episodes, larger share"/>
      </w:tblPr>
      <w:tblGrid>
        <w:gridCol w:w="1980"/>
        <w:gridCol w:w="1980"/>
        <w:gridCol w:w="1980"/>
        <w:gridCol w:w="1980"/>
      </w:tblGrid>
      <w:tr>
        <w:trPr>
          <w:tblHeader w:val="on"/>
        </w:trPr>
        <w:tc>
          <w:tcPr/>
          <w:p>
            <w:pPr>
              <w:pStyle w:val="Compact"/>
              <w:jc w:val="left"/>
            </w:pPr>
            <w:r>
              <w:t xml:space="preserve">Specification</w:t>
            </w:r>
          </w:p>
        </w:tc>
        <w:tc>
          <w:tcPr/>
          <w:p>
            <w:pPr>
              <w:pStyle w:val="Compact"/>
              <w:jc w:val="center"/>
            </w:pPr>
            <m:oMath>
              <m:r>
                <m:t>b</m:t>
              </m:r>
            </m:oMath>
            <w:r>
              <w:t xml:space="preserve"> </w:t>
            </w:r>
            <w:r>
              <w:t xml:space="preserve">(SE)</w:t>
            </w:r>
          </w:p>
        </w:tc>
        <w:tc>
          <w:tcPr/>
          <w:p>
            <w:pPr>
              <w:pStyle w:val="Compact"/>
              <w:jc w:val="center"/>
            </w:pPr>
            <m:oMath>
              <m:r>
                <m:t>p</m:t>
              </m:r>
            </m:oMath>
          </w:p>
        </w:tc>
        <w:tc>
          <w:tcPr/>
          <w:p>
            <w:pPr>
              <w:pStyle w:val="Compact"/>
              <w:jc w:val="center"/>
            </w:pPr>
            <w:r>
              <w:t xml:space="preserve">Triad-cases / episodes</w:t>
            </w:r>
          </w:p>
        </w:tc>
      </w:tr>
      <w:tr>
        <w:tc>
          <w:tcPr/>
          <w:p>
            <w:pPr>
              <w:pStyle w:val="Compact"/>
              <w:jc w:val="left"/>
            </w:pPr>
            <w:r>
              <w:t xml:space="preserve">Clustered by triad</w:t>
            </w:r>
          </w:p>
        </w:tc>
        <w:tc>
          <w:tcPr/>
          <w:p>
            <w:pPr>
              <w:pStyle w:val="Compact"/>
              <w:jc w:val="center"/>
            </w:pPr>
            <w:r>
              <w:t xml:space="preserve">0.332 (0.101)</w:t>
            </w:r>
          </w:p>
        </w:tc>
        <w:tc>
          <w:tcPr/>
          <w:p>
            <w:pPr>
              <w:pStyle w:val="Compact"/>
              <w:jc w:val="center"/>
            </w:pPr>
            <w:r>
              <w:t xml:space="preserve">0.001</w:t>
            </w:r>
          </w:p>
        </w:tc>
        <w:tc>
          <w:tcPr/>
          <w:p>
            <w:pPr>
              <w:pStyle w:val="Compact"/>
              <w:jc w:val="center"/>
            </w:pPr>
            <w:r>
              <w:t xml:space="preserve">3,456 / 414</w:t>
            </w:r>
          </w:p>
        </w:tc>
      </w:tr>
      <w:tr>
        <w:tc>
          <w:tcPr/>
          <w:p>
            <w:pPr>
              <w:pStyle w:val="Compact"/>
              <w:jc w:val="left"/>
            </w:pPr>
            <w:r>
              <w:t xml:space="preserve">Clustered by episode</w:t>
            </w:r>
          </w:p>
        </w:tc>
        <w:tc>
          <w:tcPr/>
          <w:p>
            <w:pPr>
              <w:pStyle w:val="Compact"/>
              <w:jc w:val="center"/>
            </w:pPr>
            <w:r>
              <w:t xml:space="preserve">0.332 (0.123)</w:t>
            </w:r>
          </w:p>
        </w:tc>
        <w:tc>
          <w:tcPr/>
          <w:p>
            <w:pPr>
              <w:pStyle w:val="Compact"/>
              <w:jc w:val="center"/>
            </w:pPr>
            <w:r>
              <w:t xml:space="preserve">0.007</w:t>
            </w:r>
          </w:p>
        </w:tc>
        <w:tc>
          <w:tcPr/>
          <w:p>
            <w:pPr>
              <w:pStyle w:val="Compact"/>
              <w:jc w:val="center"/>
            </w:pPr>
            <w:r>
              <w:t xml:space="preserve">3,456 / 414</w:t>
            </w:r>
          </w:p>
        </w:tc>
      </w:tr>
      <w:tr>
        <w:tc>
          <w:tcPr/>
          <w:p>
            <w:pPr>
              <w:pStyle w:val="Compact"/>
              <w:jc w:val="left"/>
            </w:pPr>
            <w:r>
              <w:t xml:space="preserve">Clustered by changed dyad (169 dyads)</w:t>
            </w:r>
          </w:p>
        </w:tc>
        <w:tc>
          <w:tcPr/>
          <w:p>
            <w:pPr>
              <w:pStyle w:val="Compact"/>
              <w:jc w:val="center"/>
            </w:pPr>
            <w:r>
              <w:t xml:space="preserve">0.332 (0.145)</w:t>
            </w:r>
          </w:p>
        </w:tc>
        <w:tc>
          <w:tcPr/>
          <w:p>
            <w:pPr>
              <w:pStyle w:val="Compact"/>
              <w:jc w:val="center"/>
            </w:pPr>
            <w:r>
              <w:t xml:space="preserve">0.021</w:t>
            </w:r>
          </w:p>
        </w:tc>
        <w:tc>
          <w:tcPr/>
          <w:p>
            <w:pPr>
              <w:pStyle w:val="Compact"/>
              <w:jc w:val="center"/>
            </w:pPr>
            <w:r>
              <w:t xml:space="preserve">3,456 / 414</w:t>
            </w:r>
          </w:p>
        </w:tc>
      </w:tr>
      <w:tr>
        <w:tc>
          <w:tcPr/>
          <w:p>
            <w:pPr>
              <w:pStyle w:val="Compact"/>
              <w:jc w:val="left"/>
            </w:pPr>
            <w:r>
              <w:t xml:space="preserve">Each episode weighted equally, clustered by episode</w:t>
            </w:r>
          </w:p>
        </w:tc>
        <w:tc>
          <w:tcPr/>
          <w:p>
            <w:pPr>
              <w:pStyle w:val="Compact"/>
              <w:jc w:val="center"/>
            </w:pPr>
            <w:r>
              <w:t xml:space="preserve">0.422 (0.123)</w:t>
            </w:r>
          </w:p>
        </w:tc>
        <w:tc>
          <w:tcPr/>
          <w:p>
            <w:pPr>
              <w:pStyle w:val="Compact"/>
              <w:jc w:val="center"/>
            </w:pPr>
            <m:oMath>
              <m:r>
                <m:rPr>
                  <m:sty m:val="p"/>
                </m:rPr>
                <m:t>&lt;</m:t>
              </m:r>
            </m:oMath>
            <w:r>
              <w:t xml:space="preserve">0.001</w:t>
            </w:r>
          </w:p>
        </w:tc>
        <w:tc>
          <w:tcPr/>
          <w:p>
            <w:pPr>
              <w:pStyle w:val="Compact"/>
              <w:jc w:val="center"/>
            </w:pPr>
            <w:r>
              <w:t xml:space="preserve">3,456 / 414</w:t>
            </w:r>
          </w:p>
        </w:tc>
      </w:tr>
      <w:tr>
        <w:tc>
          <w:tcPr/>
          <w:p>
            <w:pPr>
              <w:pStyle w:val="Compact"/>
              <w:jc w:val="left"/>
            </w:pPr>
            <w:r>
              <w:t xml:space="preserve">Each episode weighted equally, clustered by dyad</w:t>
            </w:r>
          </w:p>
        </w:tc>
        <w:tc>
          <w:tcPr/>
          <w:p>
            <w:pPr>
              <w:pStyle w:val="Compact"/>
              <w:jc w:val="center"/>
            </w:pPr>
            <w:r>
              <w:t xml:space="preserve">0.422 (0.145)</w:t>
            </w:r>
          </w:p>
        </w:tc>
        <w:tc>
          <w:tcPr/>
          <w:p>
            <w:pPr>
              <w:pStyle w:val="Compact"/>
              <w:jc w:val="center"/>
            </w:pPr>
            <w:r>
              <w:t xml:space="preserve">0.004</w:t>
            </w:r>
          </w:p>
        </w:tc>
        <w:tc>
          <w:tcPr/>
          <w:p>
            <w:pPr>
              <w:pStyle w:val="Compact"/>
              <w:jc w:val="center"/>
            </w:pPr>
            <w:r>
              <w:t xml:space="preserve">3,456 / 414</w:t>
            </w:r>
          </w:p>
        </w:tc>
      </w:tr>
      <w:tr>
        <w:tc>
          <w:tcPr/>
          <w:p>
            <w:pPr>
              <w:pStyle w:val="Compact"/>
              <w:jc w:val="left"/>
            </w:pPr>
            <w:r>
              <w:t xml:space="preserve">Episodes in</w:t>
            </w:r>
            <w:r>
              <w:t xml:space="preserve"> </w:t>
            </w:r>
            <m:oMath>
              <m:r>
                <m:rPr>
                  <m:sty m:val="p"/>
                </m:rPr>
                <m:t>≤</m:t>
              </m:r>
            </m:oMath>
            <w:r>
              <w:t xml:space="preserve"> </w:t>
            </w:r>
            <w:r>
              <w:t xml:space="preserve">10 triads</w:t>
            </w:r>
          </w:p>
        </w:tc>
        <w:tc>
          <w:tcPr/>
          <w:p>
            <w:pPr>
              <w:pStyle w:val="Compact"/>
              <w:jc w:val="center"/>
            </w:pPr>
            <w:r>
              <w:t xml:space="preserve">0.239 (0.110)</w:t>
            </w:r>
          </w:p>
        </w:tc>
        <w:tc>
          <w:tcPr/>
          <w:p>
            <w:pPr>
              <w:pStyle w:val="Compact"/>
              <w:jc w:val="center"/>
            </w:pPr>
            <w:r>
              <w:t xml:space="preserve">0.030</w:t>
            </w:r>
          </w:p>
        </w:tc>
        <w:tc>
          <w:tcPr/>
          <w:p>
            <w:pPr>
              <w:pStyle w:val="Compact"/>
              <w:jc w:val="center"/>
            </w:pPr>
            <w:r>
              <w:t xml:space="preserve">1,122 / 259</w:t>
            </w:r>
          </w:p>
        </w:tc>
      </w:tr>
      <w:tr>
        <w:tc>
          <w:tcPr/>
          <w:p>
            <w:pPr>
              <w:pStyle w:val="Compact"/>
              <w:jc w:val="left"/>
            </w:pPr>
            <w:r>
              <w:t xml:space="preserve">Episodes in</w:t>
            </w:r>
            <w:r>
              <w:t xml:space="preserve"> </w:t>
            </w:r>
            <m:oMath>
              <m:r>
                <m:rPr>
                  <m:sty m:val="p"/>
                </m:rPr>
                <m:t>≤</m:t>
              </m:r>
            </m:oMath>
            <w:r>
              <w:t xml:space="preserve"> </w:t>
            </w:r>
            <w:r>
              <w:t xml:space="preserve">2 triads</w:t>
            </w:r>
          </w:p>
        </w:tc>
        <w:tc>
          <w:tcPr/>
          <w:p>
            <w:pPr>
              <w:pStyle w:val="Compact"/>
              <w:jc w:val="center"/>
            </w:pPr>
            <w:r>
              <w:t xml:space="preserve">0.409 (0.170)</w:t>
            </w:r>
          </w:p>
        </w:tc>
        <w:tc>
          <w:tcPr/>
          <w:p>
            <w:pPr>
              <w:pStyle w:val="Compact"/>
              <w:jc w:val="center"/>
            </w:pPr>
            <w:r>
              <w:t xml:space="preserve">0.016</w:t>
            </w:r>
          </w:p>
        </w:tc>
        <w:tc>
          <w:tcPr/>
          <w:p>
            <w:pPr>
              <w:pStyle w:val="Compact"/>
              <w:jc w:val="center"/>
            </w:pPr>
            <w:r>
              <w:t xml:space="preserve">144 / 126</w:t>
            </w:r>
          </w:p>
        </w:tc>
      </w:tr>
      <w:tr>
        <w:tc>
          <w:tcPr/>
          <w:p>
            <w:pPr>
              <w:pStyle w:val="Compact"/>
              <w:jc w:val="left"/>
            </w:pPr>
            <w:r>
              <w:t xml:space="preserve">Episodes in 1 triad</w:t>
            </w:r>
          </w:p>
        </w:tc>
        <w:tc>
          <w:tcPr/>
          <w:p>
            <w:pPr>
              <w:pStyle w:val="Compact"/>
              <w:jc w:val="center"/>
            </w:pPr>
            <w:r>
              <w:t xml:space="preserve">0.599 (0.224)</w:t>
            </w:r>
          </w:p>
        </w:tc>
        <w:tc>
          <w:tcPr/>
          <w:p>
            <w:pPr>
              <w:pStyle w:val="Compact"/>
              <w:jc w:val="center"/>
            </w:pPr>
            <w:r>
              <w:t xml:space="preserve">0.008</w:t>
            </w:r>
          </w:p>
        </w:tc>
        <w:tc>
          <w:tcPr/>
          <w:p>
            <w:pPr>
              <w:pStyle w:val="Compact"/>
              <w:jc w:val="center"/>
            </w:pPr>
            <w:r>
              <w:t xml:space="preserve">108 / 108</w:t>
            </w:r>
          </w:p>
        </w:tc>
      </w:tr>
      <w:tr>
        <w:tc>
          <w:tcPr>
            <w:gridSpan w:val="4"/>
          </w:tcPr>
          <w:p>
            <w:pPr>
              <w:pStyle w:val="Compact"/>
              <w:jc w:val="left"/>
            </w:pPr>
            <w:r>
              <w:rPr>
                <w:i/>
                <w:iCs/>
              </w:rPr>
              <w:t xml:space="preserve">By transition type (equal-weight episodes; starting sign omitted)</w:t>
            </w:r>
          </w:p>
        </w:tc>
      </w:tr>
      <w:tr>
        <w:tc>
          <w:tcPr/>
          <w:p>
            <w:pPr>
              <w:pStyle w:val="Compact"/>
              <w:jc w:val="left"/>
            </w:pPr>
            <w:r>
              <w:t xml:space="preserve">Dispute ends (hostility to alliance)</w:t>
            </w:r>
          </w:p>
        </w:tc>
        <w:tc>
          <w:tcPr/>
          <w:p>
            <w:pPr>
              <w:pStyle w:val="Compact"/>
              <w:jc w:val="center"/>
            </w:pPr>
            <w:r>
              <w:t xml:space="preserve">0.641 (0.179)</w:t>
            </w:r>
          </w:p>
        </w:tc>
        <w:tc>
          <w:tcPr/>
          <w:p>
            <w:pPr>
              <w:pStyle w:val="Compact"/>
              <w:jc w:val="center"/>
            </w:pPr>
            <m:oMath>
              <m:r>
                <m:rPr>
                  <m:sty m:val="p"/>
                </m:rPr>
                <m:t>&lt;</m:t>
              </m:r>
            </m:oMath>
            <w:r>
              <w:t xml:space="preserve">0.001</w:t>
            </w:r>
          </w:p>
        </w:tc>
        <w:tc>
          <w:tcPr/>
          <w:p>
            <w:pPr>
              <w:pStyle w:val="Compact"/>
              <w:jc w:val="center"/>
            </w:pPr>
            <w:r>
              <w:t xml:space="preserve">3,339 / 323</w:t>
            </w:r>
          </w:p>
        </w:tc>
      </w:tr>
      <w:tr>
        <w:tc>
          <w:tcPr/>
          <w:p>
            <w:pPr>
              <w:pStyle w:val="Compact"/>
              <w:jc w:val="left"/>
            </w:pPr>
            <w:r>
              <w:t xml:space="preserve">Alliance turns hostile</w:t>
            </w:r>
          </w:p>
        </w:tc>
        <w:tc>
          <w:tcPr/>
          <w:p>
            <w:pPr>
              <w:pStyle w:val="Compact"/>
              <w:jc w:val="center"/>
            </w:pPr>
            <w:r>
              <w:t xml:space="preserve">0.269 (0.213)</w:t>
            </w:r>
          </w:p>
        </w:tc>
        <w:tc>
          <w:tcPr/>
          <w:p>
            <w:pPr>
              <w:pStyle w:val="Compact"/>
              <w:jc w:val="center"/>
            </w:pPr>
            <w:r>
              <w:t xml:space="preserve">0.208</w:t>
            </w:r>
          </w:p>
        </w:tc>
        <w:tc>
          <w:tcPr/>
          <w:p>
            <w:pPr>
              <w:pStyle w:val="Compact"/>
              <w:jc w:val="center"/>
            </w:pPr>
            <w:r>
              <w:t xml:space="preserve">117 / 91</w:t>
            </w:r>
          </w:p>
        </w:tc>
      </w:tr>
    </w:tbl>
    <w:p>
      <w:pPr>
        <w:pStyle w:val="BodyText"/>
      </w:pPr>
      <w:r>
        <w:t xml:space="preserve">Conditional logit on the three ties of each resolving triad, with unbalanced load, embeddedness, starting sign, weak-link mutual dependence, and capability asymmetry as controls; standardised predictors. The two transition-type rows omit starting sign, which separates the outcome perfectly within a type, and report episode-clustered errors.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Times New Roma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auto"/>
      <w:ind w:firstLine="360"/>
    </w:pPr>
  </w:style>
  <w:style w:customStyle="1" w:styleId="FirstParagraph" w:type="paragraph">
    <w:name w:val="First Paragraph"/>
    <w:basedOn w:val="BodyText"/>
    <w:next w:val="BodyText"/>
    <w:qFormat/>
    <w:pPr>
      <w:spacing w:after="0" w:before="0" w:line="480" w:lineRule="auto"/>
      <w:ind w:firstLine="360"/>
    </w:pPr>
  </w:style>
  <w:style w:customStyle="1" w:styleId="Compact" w:type="paragraph">
    <w:name w:val="Compact"/>
    <w:basedOn w:val="BodyText"/>
    <w:qFormat/>
    <w:pPr>
      <w:spacing w:after="0" w:before="0" w:line="240" w:lineRule="auto"/>
      <w:ind w:firstLine="0"/>
    </w:pPr>
    <w:rPr>
      <w:rFonts w:ascii="Times New Roman" w:cs="Times New Roman" w:hAnsi="Times New Roman"/>
      <w:sz w:val="18"/>
      <w:szCs w:val="18"/>
    </w:rPr>
  </w:style>
  <w:style w:styleId="Title" w:type="paragraph">
    <w:name w:val="Title"/>
    <w:basedOn w:val="Normal"/>
    <w:next w:val="BodyText"/>
    <w:link w:val="TitleChar"/>
    <w:uiPriority w:val="10"/>
    <w:qFormat/>
    <w:rsid w:val="00A10FD9"/>
    <w:pPr>
      <w:spacing w:after="240" w:before="0" w:line="240" w:lineRule="auto"/>
      <w:jc w:val="center"/>
    </w:pPr>
    <w:rPr>
      <w:rFonts w:ascii="Times New Roman" w:cs="Times New Roman" w:hAnsi="Times New Roman"/>
      <w:b/>
      <w:color w:val="000000"/>
      <w:sz w:val="32"/>
      <w:szCs w:val="32"/>
    </w:rPr>
  </w:style>
  <w:style w:customStyle="1" w:styleId="TitleChar" w:type="character">
    <w:name w:val="Title Char"/>
    <w:basedOn w:val="DefaultParagraphFont"/>
    <w:link w:val="Title"/>
    <w:uiPriority w:val="10"/>
    <w:rsid w:val="00A10FD9"/>
    <w:rPr>
      <w:rFonts/>
      <w:sz w:val="56"/>
      <w:szCs w:val="56"/>
    </w:rPr>
  </w:style>
  <w:style w:styleId="Subtitle" w:type="paragraph">
    <w:name w:val="Subtitle"/>
    <w:basedOn w:val="Title"/>
    <w:next w:val="BodyText"/>
    <w:link w:val="SubtitleChar"/>
    <w:uiPriority w:val="11"/>
    <w:qFormat/>
    <w:rsid w:val="00A10FD9"/>
    <w:pPr>
      <w:numPr>
        <w:ilvl w:val="1"/>
      </w:numPr>
    </w:pPr>
    <w:rPr>
      <w:rFonts/>
      <w:spacing w:val="15"/>
      <w:sz w:val="28"/>
      <w:szCs w:val="28"/>
    </w:rPr>
  </w:style>
  <w:style w:customStyle="1" w:styleId="SubtitleChar" w:type="character">
    <w:name w:val="Subtitle Char"/>
    <w:basedOn w:val="DefaultParagraphFont"/>
    <w:link w:val="Subtitle"/>
    <w:uiPriority w:val="11"/>
    <w:rsid w:val="00A10FD9"/>
    <w:rPr>
      <w:rFonts/>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40" w:lineRule="auto"/>
      <w:ind w:firstLine="0"/>
    </w:pPr>
    <w:rPr>
      <w:rFonts w:ascii="Times New Roman" w:cs="Times New Roman" w:hAnsi="Times New Roman"/>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360" w:line="240" w:lineRule="auto"/>
      <w:ind w:firstLine="0"/>
    </w:pPr>
    <w:rPr>
      <w:rFonts w:ascii="Times New Roman" w:cs="Times New Roman" w:hAnsi="Times New Roman"/>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120" w:before="360" w:line="240" w:lineRule="auto"/>
      <w:ind w:firstLine="0"/>
    </w:pPr>
    <w:rPr>
      <w:rFonts w:ascii="Times New Roman" w:cs="Times New Roman" w:hAnsi="Times New Roman"/>
      <w:b/>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olor w:val="000000"/>
    </w:rPr>
  </w:style>
  <w:style w:customStyle="1" w:styleId="Heading1Char" w:type="character">
    <w:name w:val="Heading 1 Char"/>
    <w:basedOn w:val="DefaultParagraphFont"/>
    <w:link w:val="Heading1"/>
    <w:uiPriority w:val="9"/>
    <w:rsid w:val="00A10FD9"/>
    <w:rPr>
      <w:rFonts/>
      <w:color w:val="000000"/>
      <w:sz w:val="40"/>
      <w:szCs w:val="40"/>
    </w:rPr>
  </w:style>
  <w:style w:customStyle="1" w:styleId="Heading2Char" w:type="character">
    <w:name w:val="Heading 2 Char"/>
    <w:basedOn w:val="DefaultParagraphFont"/>
    <w:link w:val="Heading2"/>
    <w:uiPriority w:val="9"/>
    <w:semiHidden/>
    <w:rsid w:val="00A10FD9"/>
    <w:rPr>
      <w:rFonts/>
      <w:color w:val="000000"/>
      <w:sz w:val="32"/>
      <w:szCs w:val="32"/>
    </w:rPr>
  </w:style>
  <w:style w:customStyle="1" w:styleId="Heading3Char" w:type="character">
    <w:name w:val="Heading 3 Char"/>
    <w:basedOn w:val="DefaultParagraphFont"/>
    <w:link w:val="Heading3"/>
    <w:uiPriority w:val="9"/>
    <w:semiHidden/>
    <w:rsid w:val="00A10FD9"/>
    <w:rPr>
      <w:rFonts/>
      <w:color w:val="000000"/>
      <w:sz w:val="28"/>
      <w:szCs w:val="28"/>
    </w:rPr>
  </w:style>
  <w:style w:customStyle="1" w:styleId="Heading4Char" w:type="character">
    <w:name w:val="Heading 4 Char"/>
    <w:basedOn w:val="DefaultParagraphFont"/>
    <w:link w:val="Heading4"/>
    <w:uiPriority w:val="9"/>
    <w:semiHidden/>
    <w:rsid w:val="00A10FD9"/>
    <w:rPr>
      <w:rFonts/>
      <w:i/>
      <w:iCs/>
      <w:color w:val="000000"/>
    </w:rPr>
  </w:style>
  <w:style w:customStyle="1" w:styleId="Heading5Char" w:type="character">
    <w:name w:val="Heading 5 Char"/>
    <w:basedOn w:val="DefaultParagraphFont"/>
    <w:link w:val="Heading5"/>
    <w:uiPriority w:val="9"/>
    <w:semiHidden/>
    <w:rsid w:val="00A10FD9"/>
    <w:rPr>
      <w:rFonts/>
      <w:color w:val="000000"/>
    </w:rPr>
  </w:style>
  <w:style w:customStyle="1" w:styleId="Heading6Char" w:type="character">
    <w:name w:val="Heading 6 Char"/>
    <w:basedOn w:val="DefaultParagraphFont"/>
    <w:link w:val="Heading6"/>
    <w:uiPriority w:val="9"/>
    <w:semiHidden/>
    <w:rsid w:val="00A10FD9"/>
    <w:rPr>
      <w:rFonts/>
      <w:i/>
      <w:iCs/>
      <w:color w:val="000000"/>
    </w:rPr>
  </w:style>
  <w:style w:customStyle="1" w:styleId="Heading7Char" w:type="character">
    <w:name w:val="Heading 7 Char"/>
    <w:basedOn w:val="DefaultParagraphFont"/>
    <w:link w:val="Heading7"/>
    <w:uiPriority w:val="9"/>
    <w:semiHidden/>
    <w:rsid w:val="00A10FD9"/>
    <w:rPr>
      <w:rFonts/>
      <w:color w:val="000000"/>
    </w:rPr>
  </w:style>
  <w:style w:customStyle="1" w:styleId="Heading8Char" w:type="character">
    <w:name w:val="Heading 8 Char"/>
    <w:basedOn w:val="DefaultParagraphFont"/>
    <w:link w:val="Heading8"/>
    <w:uiPriority w:val="9"/>
    <w:semiHidden/>
    <w:rsid w:val="00A10FD9"/>
    <w:rPr>
      <w:rFonts/>
      <w:i/>
      <w:iCs/>
      <w:color w:val="000000"/>
    </w:rPr>
  </w:style>
  <w:style w:customStyle="1" w:styleId="Heading9Char" w:type="character">
    <w:name w:val="Heading 9 Char"/>
    <w:basedOn w:val="DefaultParagraphFont"/>
    <w:link w:val="Heading9"/>
    <w:uiPriority w:val="9"/>
    <w:semiHidden/>
    <w:rsid w:val="00A10FD9"/>
    <w:rPr>
      <w:rFonts/>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ind w:firstLine="0"/>
    </w:pPr>
    <w:rPr>
      <w:rFonts w:ascii="Times New Roman" w:cs="Times New Roman" w:hAnsi="Times New Roman"/>
      <w:i/>
      <w:color w:val="000000"/>
      <w:sz w:val="22"/>
      <w:szCs w:val="22"/>
    </w:rPr>
  </w:style>
  <w:style w:customStyle="1" w:styleId="TableCaption" w:type="paragraph">
    <w:name w:val="Table Caption"/>
    <w:basedOn w:val="Caption"/>
    <w:pPr>
      <w:keepNext/>
      <w:spacing w:after="120" w:before="120" w:line="240" w:lineRule="auto"/>
      <w:ind w:firstLine="0"/>
    </w:pPr>
    <w:rPr>
      <w:rFonts w:ascii="Times New Roman" w:cs="Times New Roman" w:hAnsi="Times New Roman"/>
      <w:i/>
      <w:color w:val="000000"/>
      <w:sz w:val="22"/>
      <w:szCs w:val="22"/>
    </w:rPr>
  </w:style>
  <w:style w:customStyle="1" w:styleId="ImageCaption" w:type="paragraph">
    <w:name w:val="Image Caption"/>
    <w:basedOn w:val="Caption"/>
    <w:pPr>
      <w:keepNext/>
      <w:spacing w:after="120" w:before="120" w:line="240" w:lineRule="auto"/>
      <w:ind w:firstLine="0"/>
    </w:pPr>
    <w:rPr>
      <w:rFonts w:ascii="Times New Roman" w:cs="Times New Roman" w:hAnsi="Times New Roman"/>
      <w:i/>
      <w:color w:val="000000"/>
      <w:sz w:val="22"/>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 of analyses from earlier designs</dc:title>
  <dc:creator>[Author information removed for peer review]</dc:creator>
  <cp:keywords/>
  <dcterms:created xsi:type="dcterms:W3CDTF">2026-10-21T18:20:59Z</dcterms:created>
  <dcterms:modified xsi:type="dcterms:W3CDTF">2026-10-21T18:20:59Z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