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Agreement of Purchase</w:t>
      </w:r>
    </w:p>
    <w:p>
      <w:pPr>
        <w:pStyle w:val="Heading2"/>
      </w:pPr>
      <w:r>
        <w:t>Section 1. Definitions</w:t>
      </w:r>
    </w:p>
    <w:p>
      <w:r>
        <w:t>"Material Adverse Effect" means any change that is materially adverse to the business, excluding changes in general economic conditions.</w:t>
      </w:r>
    </w:p>
    <w:p>
      <w:pPr>
        <w:pStyle w:val="Heading2"/>
      </w:pPr>
      <w:r>
        <w:t>Section 2. Purchase and Sale</w:t>
      </w:r>
    </w:p>
    <w:p>
      <w:r>
        <w:t>Subject to Section 4.11, the Purchaser shall acquire the Shares at the price set out in Schedule A.</w:t>
      </w:r>
    </w:p>
    <w:p>
      <w:pPr>
        <w:pStyle w:val="Heading2"/>
      </w:pPr>
      <w:r>
        <w:t>Section 3. Representations</w:t>
      </w:r>
    </w:p>
    <w:p>
      <w:r>
        <w:t>Each party represents that the execution of this Agreement has been duly authorized, as described in Section 1 above.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Price per share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