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44C0" w14:textId="0595B93E" w:rsidR="00536047" w:rsidRPr="00D54081" w:rsidRDefault="00AD6458">
      <w:pPr>
        <w:rPr>
          <w:b/>
          <w:bCs/>
          <w:sz w:val="24"/>
          <w:szCs w:val="24"/>
        </w:rPr>
      </w:pPr>
      <w:r w:rsidRPr="00D54081">
        <w:rPr>
          <w:b/>
          <w:bCs/>
          <w:sz w:val="24"/>
          <w:szCs w:val="24"/>
        </w:rPr>
        <w:t xml:space="preserve">Literature Review-Water and </w:t>
      </w:r>
      <w:r w:rsidR="00F817A5">
        <w:rPr>
          <w:b/>
          <w:bCs/>
          <w:sz w:val="24"/>
          <w:szCs w:val="24"/>
        </w:rPr>
        <w:t>C</w:t>
      </w:r>
      <w:r w:rsidRPr="00D54081">
        <w:rPr>
          <w:b/>
          <w:bCs/>
          <w:sz w:val="24"/>
          <w:szCs w:val="24"/>
        </w:rPr>
        <w:t>onflict-25/06/2022</w:t>
      </w:r>
    </w:p>
    <w:p w14:paraId="0FE71376" w14:textId="5BF021FD" w:rsidR="00AD6458" w:rsidRDefault="00AD6458">
      <w:pPr>
        <w:rPr>
          <w:b/>
          <w:bCs/>
          <w:sz w:val="24"/>
          <w:szCs w:val="24"/>
        </w:rPr>
      </w:pPr>
    </w:p>
    <w:p w14:paraId="2654D608" w14:textId="61FC19E7" w:rsidR="00F817A5" w:rsidRPr="00F817A5" w:rsidRDefault="00F817A5">
      <w:pPr>
        <w:rPr>
          <w:sz w:val="24"/>
          <w:szCs w:val="24"/>
        </w:rPr>
      </w:pPr>
      <w:r w:rsidRPr="00F817A5">
        <w:rPr>
          <w:sz w:val="24"/>
          <w:szCs w:val="24"/>
        </w:rPr>
        <w:t>Selected research papers and abstracts relevant to my capstone topic</w:t>
      </w:r>
    </w:p>
    <w:p w14:paraId="6693480C" w14:textId="3B3FD8B0" w:rsidR="00AD6458" w:rsidRPr="00D54081" w:rsidRDefault="00AD6458">
      <w:pPr>
        <w:rPr>
          <w:b/>
          <w:bCs/>
          <w:sz w:val="24"/>
          <w:szCs w:val="24"/>
        </w:rPr>
      </w:pPr>
    </w:p>
    <w:p w14:paraId="3CF7F1C2" w14:textId="77777777" w:rsidR="00D54081" w:rsidRPr="00D54081" w:rsidRDefault="00D54081" w:rsidP="00D54081">
      <w:pPr>
        <w:pStyle w:val="ListParagraph"/>
        <w:numPr>
          <w:ilvl w:val="0"/>
          <w:numId w:val="2"/>
        </w:numPr>
        <w:rPr>
          <w:b/>
          <w:bCs/>
          <w:sz w:val="24"/>
          <w:szCs w:val="24"/>
        </w:rPr>
      </w:pPr>
      <w:proofErr w:type="spellStart"/>
      <w:r w:rsidRPr="00D54081">
        <w:rPr>
          <w:b/>
          <w:bCs/>
          <w:sz w:val="24"/>
          <w:szCs w:val="24"/>
        </w:rPr>
        <w:t>Detges</w:t>
      </w:r>
      <w:proofErr w:type="spellEnd"/>
      <w:r w:rsidRPr="00D54081">
        <w:rPr>
          <w:b/>
          <w:bCs/>
          <w:sz w:val="24"/>
          <w:szCs w:val="24"/>
        </w:rPr>
        <w:t xml:space="preserve"> A. Local conditions of drought-related violence in sub-Saharan Africa: The role of road and water infrastructures. Journal of Peace Research. 2016;53(5):696-710. doi:10.1177/0022343316651922</w:t>
      </w:r>
    </w:p>
    <w:p w14:paraId="0F026C22" w14:textId="77777777" w:rsidR="00D54081" w:rsidRPr="00D54081" w:rsidRDefault="00D54081" w:rsidP="00D54081">
      <w:pPr>
        <w:pStyle w:val="ListParagraph"/>
        <w:ind w:left="720"/>
        <w:rPr>
          <w:sz w:val="24"/>
          <w:szCs w:val="24"/>
        </w:rPr>
      </w:pPr>
    </w:p>
    <w:p w14:paraId="154CBE93" w14:textId="62546478" w:rsidR="00D54081" w:rsidRPr="00A025E6" w:rsidRDefault="00D54081" w:rsidP="00A025E6">
      <w:pPr>
        <w:rPr>
          <w:sz w:val="24"/>
          <w:szCs w:val="24"/>
        </w:rPr>
      </w:pPr>
      <w:r w:rsidRPr="00D54081">
        <w:rPr>
          <w:sz w:val="24"/>
          <w:szCs w:val="24"/>
        </w:rPr>
        <w:t xml:space="preserve">  Using a spatially disaggregated research design and focusing on sub-Saharan Africa, the present analysis assesses how far violent and nonviolent outcomes in the wake of drought can be accounted for by regional differences in the provision of key infrastructures that help coping with drought and preventing violence. The results indicate that civil conflict events in connection with drought are more likely in administrative areas with poorly developed road infrastructures. Drought-related communal violence, on the other hand, is more likely in regions where an important part of the population lacks access to an improved water source.</w:t>
      </w:r>
    </w:p>
    <w:p w14:paraId="7C9D288B" w14:textId="342958A7" w:rsidR="00A025E6" w:rsidRDefault="00A025E6" w:rsidP="00A025E6">
      <w:pPr>
        <w:rPr>
          <w:b/>
          <w:bCs/>
          <w:sz w:val="24"/>
          <w:szCs w:val="24"/>
        </w:rPr>
      </w:pPr>
    </w:p>
    <w:p w14:paraId="39740631" w14:textId="2F9D1B59" w:rsidR="00A025E6" w:rsidRPr="00A025E6" w:rsidRDefault="00A025E6" w:rsidP="00A025E6">
      <w:pPr>
        <w:pStyle w:val="ListParagraph"/>
        <w:numPr>
          <w:ilvl w:val="0"/>
          <w:numId w:val="2"/>
        </w:numPr>
        <w:rPr>
          <w:b/>
          <w:bCs/>
          <w:sz w:val="24"/>
          <w:szCs w:val="24"/>
        </w:rPr>
      </w:pPr>
      <w:r w:rsidRPr="00A025E6">
        <w:rPr>
          <w:b/>
          <w:bCs/>
          <w:sz w:val="24"/>
          <w:szCs w:val="24"/>
        </w:rPr>
        <w:t xml:space="preserve">Detges, A. (2017). Droughts, state-citizen </w:t>
      </w:r>
      <w:proofErr w:type="gramStart"/>
      <w:r w:rsidRPr="00A025E6">
        <w:rPr>
          <w:b/>
          <w:bCs/>
          <w:sz w:val="24"/>
          <w:szCs w:val="24"/>
        </w:rPr>
        <w:t>relations</w:t>
      </w:r>
      <w:proofErr w:type="gramEnd"/>
      <w:r w:rsidRPr="00A025E6">
        <w:rPr>
          <w:b/>
          <w:bCs/>
          <w:sz w:val="24"/>
          <w:szCs w:val="24"/>
        </w:rPr>
        <w:t xml:space="preserve"> and support for political violence in Sub-Saharan Africa: A micro-level analysis. Political Geography, 61, 88-98. </w:t>
      </w:r>
      <w:hyperlink r:id="rId5" w:history="1">
        <w:r w:rsidRPr="00A025E6">
          <w:rPr>
            <w:rStyle w:val="Hyperlink"/>
            <w:b/>
            <w:bCs/>
            <w:sz w:val="24"/>
            <w:szCs w:val="24"/>
          </w:rPr>
          <w:t>https://doi.org/https://doi.org/10.1016/j.polgeo.2017.07.005</w:t>
        </w:r>
      </w:hyperlink>
    </w:p>
    <w:p w14:paraId="331E620A" w14:textId="77777777" w:rsidR="00A025E6" w:rsidRPr="00D54081" w:rsidRDefault="00A025E6" w:rsidP="00A025E6">
      <w:pPr>
        <w:rPr>
          <w:sz w:val="24"/>
          <w:szCs w:val="24"/>
        </w:rPr>
      </w:pPr>
    </w:p>
    <w:p w14:paraId="2FA3E41D" w14:textId="77777777" w:rsidR="00A025E6" w:rsidRDefault="00A025E6" w:rsidP="00A025E6">
      <w:pPr>
        <w:widowControl/>
        <w:autoSpaceDE/>
        <w:autoSpaceDN/>
        <w:rPr>
          <w:rFonts w:eastAsia="Times New Roman"/>
          <w:color w:val="2E2E2E"/>
          <w:sz w:val="24"/>
          <w:szCs w:val="24"/>
        </w:rPr>
      </w:pPr>
      <w:r w:rsidRPr="00D54081">
        <w:rPr>
          <w:rFonts w:eastAsia="Times New Roman"/>
          <w:color w:val="2E2E2E"/>
          <w:sz w:val="24"/>
          <w:szCs w:val="24"/>
        </w:rPr>
        <w:t>The analysis explores the conditions of support for violence after drought.</w:t>
      </w:r>
      <w:r>
        <w:rPr>
          <w:rFonts w:eastAsia="Times New Roman"/>
          <w:color w:val="2E2E2E"/>
          <w:sz w:val="24"/>
          <w:szCs w:val="24"/>
        </w:rPr>
        <w:t xml:space="preserve"> </w:t>
      </w:r>
      <w:r w:rsidRPr="00D54081">
        <w:rPr>
          <w:rFonts w:eastAsia="Times New Roman"/>
          <w:color w:val="2E2E2E"/>
          <w:sz w:val="24"/>
          <w:szCs w:val="24"/>
        </w:rPr>
        <w:t>Micro-level data for 23 African countries are analysed.</w:t>
      </w:r>
      <w:r>
        <w:rPr>
          <w:rFonts w:eastAsia="Times New Roman"/>
          <w:color w:val="2E2E2E"/>
          <w:sz w:val="24"/>
          <w:szCs w:val="24"/>
        </w:rPr>
        <w:t xml:space="preserve"> </w:t>
      </w:r>
      <w:r w:rsidRPr="00D54081">
        <w:rPr>
          <w:rFonts w:eastAsia="Times New Roman"/>
          <w:color w:val="2E2E2E"/>
          <w:sz w:val="24"/>
          <w:szCs w:val="24"/>
        </w:rPr>
        <w:t>Lack of infrastructure does not increase support for violence after drought.</w:t>
      </w:r>
      <w:r>
        <w:rPr>
          <w:rFonts w:eastAsia="Times New Roman"/>
          <w:color w:val="2E2E2E"/>
          <w:sz w:val="24"/>
          <w:szCs w:val="24"/>
        </w:rPr>
        <w:t xml:space="preserve"> </w:t>
      </w:r>
      <w:r w:rsidRPr="00D54081">
        <w:rPr>
          <w:rFonts w:eastAsia="Times New Roman"/>
          <w:color w:val="2E2E2E"/>
          <w:sz w:val="24"/>
          <w:szCs w:val="24"/>
        </w:rPr>
        <w:t>Political discrimination increases support for violence after drought.</w:t>
      </w:r>
    </w:p>
    <w:p w14:paraId="3D72F524" w14:textId="77777777" w:rsidR="00A025E6" w:rsidRDefault="00A025E6" w:rsidP="00A025E6">
      <w:pPr>
        <w:widowControl/>
        <w:autoSpaceDE/>
        <w:autoSpaceDN/>
        <w:rPr>
          <w:rFonts w:eastAsia="Times New Roman"/>
          <w:color w:val="2E2E2E"/>
          <w:sz w:val="24"/>
          <w:szCs w:val="24"/>
        </w:rPr>
      </w:pPr>
    </w:p>
    <w:p w14:paraId="7E33404A" w14:textId="77777777" w:rsidR="00A025E6" w:rsidRPr="0001113E" w:rsidRDefault="00A025E6" w:rsidP="00A025E6">
      <w:pPr>
        <w:widowControl/>
        <w:autoSpaceDE/>
        <w:autoSpaceDN/>
        <w:rPr>
          <w:rFonts w:eastAsia="Times New Roman"/>
          <w:color w:val="2E2E2E"/>
          <w:sz w:val="24"/>
          <w:szCs w:val="24"/>
        </w:rPr>
      </w:pPr>
      <w:r w:rsidRPr="00D54081">
        <w:rPr>
          <w:rFonts w:eastAsia="Times New Roman"/>
          <w:color w:val="2E2E2E"/>
          <w:sz w:val="24"/>
          <w:szCs w:val="24"/>
        </w:rPr>
        <w:t xml:space="preserve">Lack of trust in the head of state increases support for violence after </w:t>
      </w:r>
      <w:proofErr w:type="spellStart"/>
      <w:proofErr w:type="gramStart"/>
      <w:r w:rsidRPr="00D54081">
        <w:rPr>
          <w:rFonts w:eastAsia="Times New Roman"/>
          <w:color w:val="2E2E2E"/>
          <w:sz w:val="24"/>
          <w:szCs w:val="24"/>
        </w:rPr>
        <w:t>drought.</w:t>
      </w:r>
      <w:r w:rsidRPr="0001113E">
        <w:rPr>
          <w:rFonts w:eastAsia="Times New Roman"/>
          <w:color w:val="2E2E2E"/>
          <w:sz w:val="24"/>
          <w:szCs w:val="24"/>
        </w:rPr>
        <w:t>I</w:t>
      </w:r>
      <w:proofErr w:type="spellEnd"/>
      <w:proofErr w:type="gramEnd"/>
      <w:r w:rsidRPr="0001113E">
        <w:rPr>
          <w:rFonts w:eastAsia="Times New Roman"/>
          <w:color w:val="2E2E2E"/>
          <w:sz w:val="24"/>
          <w:szCs w:val="24"/>
        </w:rPr>
        <w:t xml:space="preserve"> find both people who are politically discriminated against and people who do not trust their head of state to be more inclined to endorse political violence when hit by severe drought. These findings, which are consistent across </w:t>
      </w:r>
      <w:proofErr w:type="gramStart"/>
      <w:r w:rsidRPr="0001113E">
        <w:rPr>
          <w:rFonts w:eastAsia="Times New Roman"/>
          <w:color w:val="2E2E2E"/>
          <w:sz w:val="24"/>
          <w:szCs w:val="24"/>
        </w:rPr>
        <w:t>a number of</w:t>
      </w:r>
      <w:proofErr w:type="gramEnd"/>
      <w:r w:rsidRPr="0001113E">
        <w:rPr>
          <w:rFonts w:eastAsia="Times New Roman"/>
          <w:color w:val="2E2E2E"/>
          <w:sz w:val="24"/>
          <w:szCs w:val="24"/>
        </w:rPr>
        <w:t xml:space="preserve"> alternative model specifications, show that fragile state-citizen relations play an important part in the processes linking drought exposure and support for political violence.</w:t>
      </w:r>
    </w:p>
    <w:p w14:paraId="36D5770B" w14:textId="28C851AD" w:rsidR="00A025E6" w:rsidRDefault="00A025E6" w:rsidP="00A025E6">
      <w:pPr>
        <w:rPr>
          <w:b/>
          <w:bCs/>
          <w:sz w:val="24"/>
          <w:szCs w:val="24"/>
        </w:rPr>
      </w:pPr>
    </w:p>
    <w:p w14:paraId="0EC60A6E" w14:textId="140B2078" w:rsidR="00A025E6" w:rsidRPr="00D54081" w:rsidRDefault="00A025E6" w:rsidP="00A025E6">
      <w:pPr>
        <w:pStyle w:val="ListParagraph"/>
        <w:numPr>
          <w:ilvl w:val="0"/>
          <w:numId w:val="2"/>
        </w:numPr>
        <w:rPr>
          <w:b/>
          <w:bCs/>
          <w:sz w:val="24"/>
          <w:szCs w:val="24"/>
        </w:rPr>
      </w:pPr>
      <w:r w:rsidRPr="00D54081">
        <w:rPr>
          <w:b/>
          <w:bCs/>
          <w:sz w:val="24"/>
          <w:szCs w:val="24"/>
        </w:rPr>
        <w:t xml:space="preserve">Theisen, Ole Magnus, Helge </w:t>
      </w:r>
      <w:proofErr w:type="spellStart"/>
      <w:r w:rsidRPr="00D54081">
        <w:rPr>
          <w:b/>
          <w:bCs/>
          <w:sz w:val="24"/>
          <w:szCs w:val="24"/>
        </w:rPr>
        <w:t>Holtermann</w:t>
      </w:r>
      <w:proofErr w:type="spellEnd"/>
      <w:r w:rsidRPr="00D54081">
        <w:rPr>
          <w:b/>
          <w:bCs/>
          <w:sz w:val="24"/>
          <w:szCs w:val="24"/>
        </w:rPr>
        <w:t xml:space="preserve">, and </w:t>
      </w:r>
      <w:proofErr w:type="spellStart"/>
      <w:r w:rsidRPr="00D54081">
        <w:rPr>
          <w:b/>
          <w:bCs/>
          <w:sz w:val="24"/>
          <w:szCs w:val="24"/>
        </w:rPr>
        <w:t>Halvard</w:t>
      </w:r>
      <w:proofErr w:type="spellEnd"/>
      <w:r w:rsidRPr="00D54081">
        <w:rPr>
          <w:b/>
          <w:bCs/>
          <w:sz w:val="24"/>
          <w:szCs w:val="24"/>
        </w:rPr>
        <w:t xml:space="preserve"> </w:t>
      </w:r>
      <w:proofErr w:type="spellStart"/>
      <w:r w:rsidRPr="00D54081">
        <w:rPr>
          <w:b/>
          <w:bCs/>
          <w:sz w:val="24"/>
          <w:szCs w:val="24"/>
        </w:rPr>
        <w:t>Buhaug</w:t>
      </w:r>
      <w:proofErr w:type="spellEnd"/>
      <w:r w:rsidRPr="00D54081">
        <w:rPr>
          <w:b/>
          <w:bCs/>
          <w:sz w:val="24"/>
          <w:szCs w:val="24"/>
        </w:rPr>
        <w:t xml:space="preserve">. 2011/12. Climate wars? Assessing the claim that drought breeds conflict. International Security 36(3): 79–106. </w:t>
      </w:r>
      <w:hyperlink r:id="rId6" w:history="1">
        <w:r w:rsidRPr="00D54081">
          <w:rPr>
            <w:rStyle w:val="Hyperlink"/>
            <w:b/>
            <w:bCs/>
            <w:sz w:val="24"/>
            <w:szCs w:val="24"/>
          </w:rPr>
          <w:t>https://www.hbuhaug.com/wp-content/uploads/2014/02/IS-2011-for-web.pdf</w:t>
        </w:r>
      </w:hyperlink>
    </w:p>
    <w:p w14:paraId="5E8AE7A7" w14:textId="77777777" w:rsidR="00A025E6" w:rsidRPr="00D54081" w:rsidRDefault="00A025E6" w:rsidP="00A025E6">
      <w:pPr>
        <w:rPr>
          <w:sz w:val="24"/>
          <w:szCs w:val="24"/>
        </w:rPr>
      </w:pPr>
    </w:p>
    <w:p w14:paraId="11E5D104" w14:textId="285B1BC1" w:rsidR="00A025E6" w:rsidRPr="00D54081" w:rsidRDefault="00A025E6" w:rsidP="00A025E6">
      <w:pPr>
        <w:rPr>
          <w:sz w:val="24"/>
          <w:szCs w:val="24"/>
        </w:rPr>
      </w:pPr>
      <w:r w:rsidRPr="00D54081">
        <w:rPr>
          <w:sz w:val="24"/>
          <w:szCs w:val="24"/>
        </w:rPr>
        <w:t>Drawing on these arguments,</w:t>
      </w:r>
      <w:r>
        <w:rPr>
          <w:sz w:val="24"/>
          <w:szCs w:val="24"/>
        </w:rPr>
        <w:t xml:space="preserve"> </w:t>
      </w:r>
      <w:r w:rsidRPr="00D54081">
        <w:rPr>
          <w:sz w:val="24"/>
          <w:szCs w:val="24"/>
        </w:rPr>
        <w:t>we present a conditional theory of environmental</w:t>
      </w:r>
      <w:r>
        <w:rPr>
          <w:sz w:val="24"/>
          <w:szCs w:val="24"/>
        </w:rPr>
        <w:t xml:space="preserve"> </w:t>
      </w:r>
      <w:r w:rsidRPr="00D54081">
        <w:rPr>
          <w:sz w:val="24"/>
          <w:szCs w:val="24"/>
        </w:rPr>
        <w:t>conflict predicting that drought increases the</w:t>
      </w:r>
      <w:r>
        <w:rPr>
          <w:sz w:val="24"/>
          <w:szCs w:val="24"/>
        </w:rPr>
        <w:t xml:space="preserve"> </w:t>
      </w:r>
      <w:r w:rsidRPr="00D54081">
        <w:rPr>
          <w:sz w:val="24"/>
          <w:szCs w:val="24"/>
        </w:rPr>
        <w:t>risk of civil war primarily when it strikes</w:t>
      </w:r>
      <w:r>
        <w:rPr>
          <w:sz w:val="24"/>
          <w:szCs w:val="24"/>
        </w:rPr>
        <w:t xml:space="preserve"> </w:t>
      </w:r>
      <w:r w:rsidRPr="00D54081">
        <w:rPr>
          <w:sz w:val="24"/>
          <w:szCs w:val="24"/>
        </w:rPr>
        <w:t>vulnerable and politically marginalized populations in</w:t>
      </w:r>
      <w:r>
        <w:rPr>
          <w:sz w:val="24"/>
          <w:szCs w:val="24"/>
        </w:rPr>
        <w:t xml:space="preserve"> </w:t>
      </w:r>
      <w:r w:rsidRPr="00D54081">
        <w:rPr>
          <w:sz w:val="24"/>
          <w:szCs w:val="24"/>
        </w:rPr>
        <w:t>agrarian societies. This general proposition is evaluated empirically through a unique gridded</w:t>
      </w:r>
      <w:r>
        <w:rPr>
          <w:sz w:val="24"/>
          <w:szCs w:val="24"/>
        </w:rPr>
        <w:t xml:space="preserve"> </w:t>
      </w:r>
      <w:r w:rsidRPr="00D54081">
        <w:rPr>
          <w:sz w:val="24"/>
          <w:szCs w:val="24"/>
        </w:rPr>
        <w:t>dataset of post-colonial Africa that combines high-resolution meteorological data with georeferenced data on civil war onset and the local ethno-political context. Despite popular</w:t>
      </w:r>
      <w:r>
        <w:rPr>
          <w:sz w:val="24"/>
          <w:szCs w:val="24"/>
        </w:rPr>
        <w:t xml:space="preserve"> </w:t>
      </w:r>
      <w:r w:rsidRPr="00D54081">
        <w:rPr>
          <w:sz w:val="24"/>
          <w:szCs w:val="24"/>
        </w:rPr>
        <w:t>conception, we find little evidence of a drought-conflict connection. Instead, the local risk of civil</w:t>
      </w:r>
      <w:r>
        <w:rPr>
          <w:sz w:val="24"/>
          <w:szCs w:val="24"/>
        </w:rPr>
        <w:t xml:space="preserve"> </w:t>
      </w:r>
      <w:r w:rsidRPr="00D54081">
        <w:rPr>
          <w:sz w:val="24"/>
          <w:szCs w:val="24"/>
        </w:rPr>
        <w:t>war can be explained by sociopolitical and geographic factors: a politically marginalized</w:t>
      </w:r>
    </w:p>
    <w:p w14:paraId="3890526E" w14:textId="74404D2D" w:rsidR="00A025E6" w:rsidRDefault="00A025E6" w:rsidP="00A025E6">
      <w:pPr>
        <w:rPr>
          <w:sz w:val="24"/>
          <w:szCs w:val="24"/>
        </w:rPr>
      </w:pPr>
      <w:r w:rsidRPr="00D54081">
        <w:rPr>
          <w:sz w:val="24"/>
          <w:szCs w:val="24"/>
        </w:rPr>
        <w:t>population, high infant mortality, proximity to international borders, and high local</w:t>
      </w:r>
      <w:r>
        <w:rPr>
          <w:sz w:val="24"/>
          <w:szCs w:val="24"/>
        </w:rPr>
        <w:t xml:space="preserve"> </w:t>
      </w:r>
      <w:r w:rsidRPr="00D54081">
        <w:rPr>
          <w:sz w:val="24"/>
          <w:szCs w:val="24"/>
        </w:rPr>
        <w:t>population</w:t>
      </w:r>
      <w:r>
        <w:rPr>
          <w:sz w:val="24"/>
          <w:szCs w:val="24"/>
        </w:rPr>
        <w:t xml:space="preserve"> </w:t>
      </w:r>
      <w:r w:rsidRPr="00D54081">
        <w:rPr>
          <w:sz w:val="24"/>
          <w:szCs w:val="24"/>
        </w:rPr>
        <w:t>density.</w:t>
      </w:r>
    </w:p>
    <w:p w14:paraId="61DDBB85" w14:textId="126FC70B" w:rsidR="00A025E6" w:rsidRDefault="00A025E6" w:rsidP="00A025E6">
      <w:pPr>
        <w:rPr>
          <w:sz w:val="24"/>
          <w:szCs w:val="24"/>
        </w:rPr>
      </w:pPr>
    </w:p>
    <w:p w14:paraId="0AEB941B" w14:textId="16CF3540" w:rsidR="00A025E6" w:rsidRPr="00D54081" w:rsidRDefault="00A025E6" w:rsidP="00A025E6">
      <w:pPr>
        <w:pStyle w:val="ListParagraph"/>
        <w:numPr>
          <w:ilvl w:val="0"/>
          <w:numId w:val="2"/>
        </w:numPr>
        <w:rPr>
          <w:b/>
          <w:bCs/>
          <w:sz w:val="24"/>
          <w:szCs w:val="24"/>
        </w:rPr>
      </w:pPr>
      <w:r w:rsidRPr="00D54081">
        <w:rPr>
          <w:b/>
          <w:bCs/>
          <w:sz w:val="24"/>
          <w:szCs w:val="24"/>
        </w:rPr>
        <w:lastRenderedPageBreak/>
        <w:t xml:space="preserve">Ide T, Lopez MR, Fröhlich C, </w:t>
      </w:r>
      <w:proofErr w:type="spellStart"/>
      <w:r w:rsidRPr="00D54081">
        <w:rPr>
          <w:b/>
          <w:bCs/>
          <w:sz w:val="24"/>
          <w:szCs w:val="24"/>
        </w:rPr>
        <w:t>Scheffran</w:t>
      </w:r>
      <w:proofErr w:type="spellEnd"/>
      <w:r w:rsidRPr="00D54081">
        <w:rPr>
          <w:b/>
          <w:bCs/>
          <w:sz w:val="24"/>
          <w:szCs w:val="24"/>
        </w:rPr>
        <w:t xml:space="preserve"> J. Pathways to water conflict during drought in the MENA region. Journal of Peace Research. 2021;58(3):568-582. doi:10.1177/0022343320910777</w:t>
      </w:r>
    </w:p>
    <w:p w14:paraId="0A9D7A5F" w14:textId="77777777" w:rsidR="00A025E6" w:rsidRPr="00D54081" w:rsidRDefault="00A025E6" w:rsidP="00A025E6">
      <w:pPr>
        <w:rPr>
          <w:sz w:val="24"/>
          <w:szCs w:val="24"/>
        </w:rPr>
      </w:pPr>
      <w:r w:rsidRPr="00D54081">
        <w:rPr>
          <w:sz w:val="24"/>
          <w:szCs w:val="24"/>
        </w:rPr>
        <w:t xml:space="preserve">  </w:t>
      </w:r>
    </w:p>
    <w:p w14:paraId="566C4895" w14:textId="77777777" w:rsidR="00A025E6" w:rsidRPr="00D54081" w:rsidRDefault="00A025E6" w:rsidP="00A025E6">
      <w:pPr>
        <w:rPr>
          <w:sz w:val="24"/>
          <w:szCs w:val="24"/>
        </w:rPr>
      </w:pPr>
      <w:r w:rsidRPr="00D54081">
        <w:rPr>
          <w:sz w:val="24"/>
          <w:szCs w:val="24"/>
        </w:rPr>
        <w:t xml:space="preserve">We employ the method of qualitative comparative analysis (QCA) to integrate quantitative and qualitative data at various scales (national, regional, local) for a sample of 34 cases (17 of which experienced conflict onset). Our findings show that pre-existing cleavages and either autocratic political systems or cuts of the public water supply are relevant predictors of nonviolent, water-related conflict onset during droughts. Grievances deeply embedded into socio-economic structures in combination with a triggering event like a drought or water cuts are hence driving such water-related conflicts, especially in the absence of proper political institutions. We thus argue that drought–conflict links are highly context-dependent even for nonviolent, local conflicts, hence challenging determinist narratives that claim direct interlinkages between climate change, hydro-meteorological </w:t>
      </w:r>
      <w:proofErr w:type="gramStart"/>
      <w:r w:rsidRPr="00D54081">
        <w:rPr>
          <w:sz w:val="24"/>
          <w:szCs w:val="24"/>
        </w:rPr>
        <w:t>disasters</w:t>
      </w:r>
      <w:proofErr w:type="gramEnd"/>
      <w:r w:rsidRPr="00D54081">
        <w:rPr>
          <w:sz w:val="24"/>
          <w:szCs w:val="24"/>
        </w:rPr>
        <w:t xml:space="preserve"> and conflict.</w:t>
      </w:r>
    </w:p>
    <w:p w14:paraId="6533AFC9" w14:textId="5A7701CD" w:rsidR="00A025E6" w:rsidRDefault="00A025E6" w:rsidP="00A025E6">
      <w:pPr>
        <w:rPr>
          <w:sz w:val="24"/>
          <w:szCs w:val="24"/>
        </w:rPr>
      </w:pPr>
    </w:p>
    <w:p w14:paraId="228D009F" w14:textId="77777777" w:rsidR="00A025E6" w:rsidRPr="00D54081" w:rsidRDefault="00A025E6" w:rsidP="00A025E6">
      <w:pPr>
        <w:rPr>
          <w:sz w:val="24"/>
          <w:szCs w:val="24"/>
        </w:rPr>
      </w:pPr>
    </w:p>
    <w:p w14:paraId="189A6BFE" w14:textId="221A2300" w:rsidR="00A025E6" w:rsidRPr="00A025E6" w:rsidRDefault="00A025E6" w:rsidP="00A025E6">
      <w:pPr>
        <w:pStyle w:val="ListParagraph"/>
        <w:numPr>
          <w:ilvl w:val="0"/>
          <w:numId w:val="2"/>
        </w:numPr>
        <w:rPr>
          <w:b/>
          <w:bCs/>
          <w:sz w:val="24"/>
          <w:szCs w:val="24"/>
        </w:rPr>
      </w:pPr>
      <w:r w:rsidRPr="00A025E6">
        <w:rPr>
          <w:b/>
          <w:bCs/>
          <w:sz w:val="24"/>
          <w:szCs w:val="24"/>
        </w:rPr>
        <w:t>The Persistent Impacts of Electoral Cycles on Public Infrastructure</w:t>
      </w:r>
      <w:r w:rsidRPr="00A025E6">
        <w:rPr>
          <w:b/>
          <w:bCs/>
          <w:sz w:val="24"/>
          <w:szCs w:val="24"/>
        </w:rPr>
        <w:t>,</w:t>
      </w:r>
      <w:r w:rsidRPr="00A025E6">
        <w:rPr>
          <w:b/>
          <w:bCs/>
          <w:sz w:val="24"/>
          <w:szCs w:val="24"/>
        </w:rPr>
        <w:t xml:space="preserve"> Ravi </w:t>
      </w:r>
      <w:proofErr w:type="spellStart"/>
      <w:r w:rsidRPr="00A025E6">
        <w:rPr>
          <w:b/>
          <w:bCs/>
          <w:sz w:val="24"/>
          <w:szCs w:val="24"/>
        </w:rPr>
        <w:t>Somani</w:t>
      </w:r>
      <w:proofErr w:type="spellEnd"/>
      <w:r w:rsidRPr="00A025E6">
        <w:rPr>
          <w:b/>
          <w:bCs/>
          <w:sz w:val="24"/>
          <w:szCs w:val="24"/>
        </w:rPr>
        <w:t xml:space="preserve"> &amp; Daniel </w:t>
      </w:r>
      <w:proofErr w:type="spellStart"/>
      <w:r w:rsidRPr="00A025E6">
        <w:rPr>
          <w:b/>
          <w:bCs/>
          <w:sz w:val="24"/>
          <w:szCs w:val="24"/>
        </w:rPr>
        <w:t>Rogger</w:t>
      </w:r>
      <w:proofErr w:type="spellEnd"/>
      <w:r w:rsidRPr="00A025E6">
        <w:rPr>
          <w:b/>
          <w:bCs/>
          <w:sz w:val="24"/>
          <w:szCs w:val="24"/>
        </w:rPr>
        <w:t>, (Revise and Resubmit), Journal of Public Economics</w:t>
      </w:r>
    </w:p>
    <w:p w14:paraId="772DAC0A" w14:textId="77777777" w:rsidR="00A025E6" w:rsidRDefault="00A025E6" w:rsidP="00A025E6">
      <w:pPr>
        <w:rPr>
          <w:sz w:val="24"/>
          <w:szCs w:val="24"/>
        </w:rPr>
      </w:pPr>
    </w:p>
    <w:p w14:paraId="2E2DE163" w14:textId="77777777" w:rsidR="00A025E6" w:rsidRPr="00D54081" w:rsidRDefault="00A025E6" w:rsidP="00A025E6">
      <w:pPr>
        <w:rPr>
          <w:sz w:val="24"/>
          <w:szCs w:val="24"/>
        </w:rPr>
      </w:pPr>
      <w:r w:rsidRPr="00D54081">
        <w:rPr>
          <w:sz w:val="24"/>
          <w:szCs w:val="24"/>
        </w:rPr>
        <w:t xml:space="preserve">What determines the quality of a nation’s infrastructure? We show that electoral incentives at the time of construction have persistent effects on the functionality of contemporary African water systems. We apply a common regression discontinuity approach to the universe of water points in Nigeria, Sierra Leone, and Tanzania built over the period from 1970-2014. Across all three settings, we find that </w:t>
      </w:r>
      <w:proofErr w:type="spellStart"/>
      <w:r w:rsidRPr="00D54081">
        <w:rPr>
          <w:sz w:val="24"/>
          <w:szCs w:val="24"/>
        </w:rPr>
        <w:t>infras</w:t>
      </w:r>
      <w:proofErr w:type="spellEnd"/>
      <w:r w:rsidRPr="00D54081">
        <w:rPr>
          <w:sz w:val="24"/>
          <w:szCs w:val="24"/>
        </w:rPr>
        <w:t xml:space="preserve">- </w:t>
      </w:r>
      <w:proofErr w:type="spellStart"/>
      <w:r w:rsidRPr="00D54081">
        <w:rPr>
          <w:sz w:val="24"/>
          <w:szCs w:val="24"/>
        </w:rPr>
        <w:t>tructure</w:t>
      </w:r>
      <w:proofErr w:type="spellEnd"/>
      <w:r w:rsidRPr="00D54081">
        <w:rPr>
          <w:sz w:val="24"/>
          <w:szCs w:val="24"/>
        </w:rPr>
        <w:t xml:space="preserve"> installed in the run-up to an election is significantly more likely to be functioning today than those installed shortly after </w:t>
      </w:r>
      <w:proofErr w:type="spellStart"/>
      <w:r w:rsidRPr="00D54081">
        <w:rPr>
          <w:sz w:val="24"/>
          <w:szCs w:val="24"/>
        </w:rPr>
        <w:t>elec</w:t>
      </w:r>
      <w:proofErr w:type="spellEnd"/>
      <w:r w:rsidRPr="00D54081">
        <w:rPr>
          <w:sz w:val="24"/>
          <w:szCs w:val="24"/>
        </w:rPr>
        <w:t xml:space="preserve">- </w:t>
      </w:r>
      <w:proofErr w:type="spellStart"/>
      <w:r w:rsidRPr="00D54081">
        <w:rPr>
          <w:sz w:val="24"/>
          <w:szCs w:val="24"/>
        </w:rPr>
        <w:t>tions</w:t>
      </w:r>
      <w:proofErr w:type="spellEnd"/>
      <w:r w:rsidRPr="00D54081">
        <w:rPr>
          <w:sz w:val="24"/>
          <w:szCs w:val="24"/>
        </w:rPr>
        <w:t>. These findings suggest that public officials optimally respond to responsive but myopic citizen evaluations of public performance.</w:t>
      </w:r>
    </w:p>
    <w:p w14:paraId="27F22018" w14:textId="77777777" w:rsidR="00A025E6" w:rsidRDefault="00A025E6" w:rsidP="00A025E6">
      <w:pPr>
        <w:rPr>
          <w:b/>
          <w:bCs/>
          <w:sz w:val="24"/>
          <w:szCs w:val="24"/>
        </w:rPr>
      </w:pPr>
    </w:p>
    <w:p w14:paraId="0544DAFB" w14:textId="77777777" w:rsidR="00A025E6" w:rsidRPr="00A025E6" w:rsidRDefault="00A025E6" w:rsidP="00A025E6">
      <w:pPr>
        <w:rPr>
          <w:b/>
          <w:bCs/>
          <w:sz w:val="24"/>
          <w:szCs w:val="24"/>
        </w:rPr>
      </w:pPr>
    </w:p>
    <w:p w14:paraId="1B68BA19" w14:textId="3A5CCDB7" w:rsidR="00AD6458" w:rsidRPr="00D54081" w:rsidRDefault="00AD6458" w:rsidP="00A025E6">
      <w:pPr>
        <w:pStyle w:val="ListParagraph"/>
        <w:numPr>
          <w:ilvl w:val="0"/>
          <w:numId w:val="2"/>
        </w:numPr>
        <w:rPr>
          <w:b/>
          <w:bCs/>
          <w:sz w:val="24"/>
          <w:szCs w:val="24"/>
        </w:rPr>
      </w:pPr>
      <w:r w:rsidRPr="00D54081">
        <w:rPr>
          <w:b/>
          <w:bCs/>
          <w:sz w:val="24"/>
          <w:szCs w:val="24"/>
        </w:rPr>
        <w:t xml:space="preserve">Foster, T. (2013). Predictors of Sustainability for Community-Managed Handpumps in Sub-Saharan Africa: Evidence from Liberia, Sierra Leone, and Uganda. Environmental Science &amp; Technology, 47(21), 12037-12046. </w:t>
      </w:r>
      <w:hyperlink r:id="rId7" w:history="1">
        <w:r w:rsidRPr="00D54081">
          <w:rPr>
            <w:rStyle w:val="Hyperlink"/>
            <w:b/>
            <w:bCs/>
            <w:sz w:val="24"/>
            <w:szCs w:val="24"/>
          </w:rPr>
          <w:t>https://doi.org/10.1021/es402086n</w:t>
        </w:r>
      </w:hyperlink>
    </w:p>
    <w:p w14:paraId="12882868" w14:textId="77777777" w:rsidR="0001113E" w:rsidRPr="00D54081" w:rsidRDefault="0001113E" w:rsidP="0001113E">
      <w:pPr>
        <w:rPr>
          <w:sz w:val="24"/>
          <w:szCs w:val="24"/>
        </w:rPr>
      </w:pPr>
    </w:p>
    <w:p w14:paraId="59F97D5E" w14:textId="1C92AEE4" w:rsidR="00D35BE3" w:rsidRDefault="0001113E" w:rsidP="00D35BE3">
      <w:pPr>
        <w:rPr>
          <w:sz w:val="24"/>
          <w:szCs w:val="24"/>
        </w:rPr>
      </w:pPr>
      <w:r w:rsidRPr="00D54081">
        <w:rPr>
          <w:sz w:val="24"/>
          <w:szCs w:val="24"/>
        </w:rPr>
        <w:t xml:space="preserve">Drawing on the largest data set assembled on rural water points in sub-Saharan Africa to date, this paper employs logistic regression analyses to identify operational, technical, institutional, financial, and environmental predictors of functionality for over 25 000 community-managed handpumps in Liberia, Sierra Leone, and Uganda. Risk factors significantly associated with </w:t>
      </w:r>
      <w:proofErr w:type="spellStart"/>
      <w:r w:rsidRPr="00D54081">
        <w:rPr>
          <w:sz w:val="24"/>
          <w:szCs w:val="24"/>
        </w:rPr>
        <w:t>nonfunctionality</w:t>
      </w:r>
      <w:proofErr w:type="spellEnd"/>
      <w:r w:rsidRPr="00D54081">
        <w:rPr>
          <w:sz w:val="24"/>
          <w:szCs w:val="24"/>
        </w:rPr>
        <w:t xml:space="preserve"> across all three countries were (a) system age, (b) distance from district/county capital, and (c) absence of user fee collection.</w:t>
      </w:r>
    </w:p>
    <w:p w14:paraId="424C0F6F" w14:textId="77777777" w:rsidR="00A025E6" w:rsidRPr="00D54081" w:rsidRDefault="00A025E6" w:rsidP="00D35BE3">
      <w:pPr>
        <w:rPr>
          <w:sz w:val="24"/>
          <w:szCs w:val="24"/>
        </w:rPr>
      </w:pPr>
    </w:p>
    <w:p w14:paraId="37DC1DB3" w14:textId="126C3DE3" w:rsidR="00D35BE3" w:rsidRPr="00D54081" w:rsidRDefault="00D35BE3" w:rsidP="00D35BE3">
      <w:pPr>
        <w:rPr>
          <w:sz w:val="24"/>
          <w:szCs w:val="24"/>
        </w:rPr>
      </w:pPr>
    </w:p>
    <w:p w14:paraId="2DF7C102" w14:textId="1153979F" w:rsidR="00D54081" w:rsidRPr="00A025E6" w:rsidRDefault="00D54081" w:rsidP="00A025E6">
      <w:pPr>
        <w:pStyle w:val="ListParagraph"/>
        <w:numPr>
          <w:ilvl w:val="0"/>
          <w:numId w:val="2"/>
        </w:numPr>
        <w:rPr>
          <w:b/>
          <w:bCs/>
          <w:sz w:val="24"/>
          <w:szCs w:val="24"/>
        </w:rPr>
      </w:pPr>
      <w:r w:rsidRPr="00A025E6">
        <w:rPr>
          <w:b/>
          <w:bCs/>
          <w:sz w:val="24"/>
          <w:szCs w:val="24"/>
        </w:rPr>
        <w:t xml:space="preserve">Tim Foster, Sean </w:t>
      </w:r>
      <w:proofErr w:type="spellStart"/>
      <w:r w:rsidRPr="00A025E6">
        <w:rPr>
          <w:b/>
          <w:bCs/>
          <w:sz w:val="24"/>
          <w:szCs w:val="24"/>
        </w:rPr>
        <w:t>Furey</w:t>
      </w:r>
      <w:proofErr w:type="spellEnd"/>
      <w:r w:rsidRPr="00A025E6">
        <w:rPr>
          <w:b/>
          <w:bCs/>
          <w:sz w:val="24"/>
          <w:szCs w:val="24"/>
        </w:rPr>
        <w:t xml:space="preserve">, Brian Banks &amp; Juliet Willetts (2020) Functionality of handpump water supplies: a review of data from sub-Saharan Africa and the Asia-Pacific region, International Journal of Water Resources Development, 36:5, 855-869, DOI: </w:t>
      </w:r>
      <w:r w:rsidRPr="00A025E6">
        <w:rPr>
          <w:b/>
          <w:bCs/>
          <w:sz w:val="24"/>
          <w:szCs w:val="24"/>
        </w:rPr>
        <w:lastRenderedPageBreak/>
        <w:t>10.1080/07900627.2018.1543117</w:t>
      </w:r>
    </w:p>
    <w:p w14:paraId="70AED285" w14:textId="77777777" w:rsidR="00D54081" w:rsidRPr="00D54081" w:rsidRDefault="00D54081" w:rsidP="00D35BE3">
      <w:pPr>
        <w:rPr>
          <w:sz w:val="24"/>
          <w:szCs w:val="24"/>
        </w:rPr>
      </w:pPr>
    </w:p>
    <w:p w14:paraId="5D8EE97B" w14:textId="7AF8EE69" w:rsidR="00D35BE3" w:rsidRDefault="00D35BE3" w:rsidP="00D35BE3">
      <w:pPr>
        <w:rPr>
          <w:sz w:val="24"/>
          <w:szCs w:val="24"/>
        </w:rPr>
      </w:pPr>
      <w:r w:rsidRPr="00D54081">
        <w:rPr>
          <w:sz w:val="24"/>
          <w:szCs w:val="24"/>
        </w:rPr>
        <w:t>Handpumps are heavily relied upon for drinking water in rural areas of low- and middle-income countries, but their operation and maintenance remain problematic. This review presents updated and expanded handpump functionality estimates for 47 countries in sub-Saharan Africa and the Asia-Pacific region. Our results suggest that approximately one in four handpumps in sub-Saharan Africa are non-functional at any point in time, which in 2015 was roughly equivalent to 175,000 inoperative water points.</w:t>
      </w:r>
    </w:p>
    <w:p w14:paraId="3ADF3139" w14:textId="77777777" w:rsidR="00A025E6" w:rsidRPr="00D54081" w:rsidRDefault="00A025E6" w:rsidP="00D35BE3">
      <w:pPr>
        <w:rPr>
          <w:sz w:val="24"/>
          <w:szCs w:val="24"/>
        </w:rPr>
      </w:pPr>
    </w:p>
    <w:p w14:paraId="5E49B49F" w14:textId="4CA30E61" w:rsidR="00D54081" w:rsidRPr="00D54081" w:rsidRDefault="00D54081" w:rsidP="00D35BE3">
      <w:pPr>
        <w:rPr>
          <w:sz w:val="24"/>
          <w:szCs w:val="24"/>
        </w:rPr>
      </w:pPr>
    </w:p>
    <w:p w14:paraId="0231312F" w14:textId="5A2F5F8E" w:rsidR="00D54081" w:rsidRPr="00A025E6" w:rsidRDefault="00D54081" w:rsidP="00A025E6">
      <w:pPr>
        <w:pStyle w:val="ListParagraph"/>
        <w:widowControl/>
        <w:numPr>
          <w:ilvl w:val="0"/>
          <w:numId w:val="2"/>
        </w:numPr>
        <w:autoSpaceDE/>
        <w:autoSpaceDN/>
        <w:rPr>
          <w:b/>
          <w:bCs/>
          <w:sz w:val="24"/>
          <w:szCs w:val="24"/>
        </w:rPr>
      </w:pPr>
      <w:r w:rsidRPr="00A025E6">
        <w:rPr>
          <w:rFonts w:eastAsia="Times New Roman"/>
          <w:b/>
          <w:bCs/>
          <w:sz w:val="24"/>
          <w:szCs w:val="24"/>
        </w:rPr>
        <w:t>HARNESSING WATER POINT DATA TO IMPROVE DRINKING WATER SERVICES</w:t>
      </w:r>
      <w:r w:rsidRPr="00A025E6">
        <w:rPr>
          <w:rFonts w:eastAsia="Times New Roman"/>
          <w:b/>
          <w:bCs/>
          <w:sz w:val="24"/>
          <w:szCs w:val="24"/>
        </w:rPr>
        <w:t xml:space="preserve"> </w:t>
      </w:r>
      <w:r w:rsidRPr="00A025E6">
        <w:rPr>
          <w:b/>
          <w:bCs/>
          <w:sz w:val="24"/>
          <w:szCs w:val="24"/>
        </w:rPr>
        <w:t xml:space="preserve">-July 2017, </w:t>
      </w:r>
      <w:r w:rsidRPr="00A025E6">
        <w:rPr>
          <w:rFonts w:eastAsia="Times New Roman"/>
          <w:b/>
          <w:bCs/>
          <w:sz w:val="24"/>
          <w:szCs w:val="24"/>
        </w:rPr>
        <w:t>Nicolas Dickinson,</w:t>
      </w:r>
      <w:r w:rsidRPr="00A025E6">
        <w:rPr>
          <w:rFonts w:eastAsia="Times New Roman"/>
          <w:b/>
          <w:bCs/>
          <w:sz w:val="24"/>
          <w:szCs w:val="24"/>
        </w:rPr>
        <w:t xml:space="preserve"> </w:t>
      </w:r>
      <w:r w:rsidRPr="00A025E6">
        <w:rPr>
          <w:rFonts w:eastAsia="Times New Roman"/>
          <w:b/>
          <w:bCs/>
          <w:sz w:val="24"/>
          <w:szCs w:val="24"/>
        </w:rPr>
        <w:t xml:space="preserve">Felix </w:t>
      </w:r>
      <w:proofErr w:type="spellStart"/>
      <w:r w:rsidRPr="00A025E6">
        <w:rPr>
          <w:rFonts w:eastAsia="Times New Roman"/>
          <w:b/>
          <w:bCs/>
          <w:sz w:val="24"/>
          <w:szCs w:val="24"/>
        </w:rPr>
        <w:t>Knipschild</w:t>
      </w:r>
      <w:proofErr w:type="spellEnd"/>
      <w:r w:rsidRPr="00A025E6">
        <w:rPr>
          <w:rFonts w:eastAsia="Times New Roman"/>
          <w:b/>
          <w:bCs/>
          <w:sz w:val="24"/>
          <w:szCs w:val="24"/>
        </w:rPr>
        <w:t xml:space="preserve">, Peter Magara, Gerald </w:t>
      </w:r>
      <w:proofErr w:type="spellStart"/>
      <w:r w:rsidRPr="00A025E6">
        <w:rPr>
          <w:rFonts w:eastAsia="Times New Roman"/>
          <w:b/>
          <w:bCs/>
          <w:sz w:val="24"/>
          <w:szCs w:val="24"/>
        </w:rPr>
        <w:t>Kwizera</w:t>
      </w:r>
      <w:proofErr w:type="spellEnd"/>
      <w:r w:rsidRPr="00A025E6">
        <w:rPr>
          <w:rFonts w:eastAsia="Times New Roman"/>
          <w:b/>
          <w:bCs/>
          <w:sz w:val="24"/>
          <w:szCs w:val="24"/>
        </w:rPr>
        <w:t xml:space="preserve">. </w:t>
      </w:r>
      <w:proofErr w:type="spellStart"/>
      <w:r w:rsidRPr="00A025E6">
        <w:rPr>
          <w:rFonts w:eastAsia="Times New Roman"/>
          <w:b/>
          <w:bCs/>
          <w:sz w:val="24"/>
          <w:szCs w:val="24"/>
        </w:rPr>
        <w:t>WASHNote</w:t>
      </w:r>
      <w:proofErr w:type="spellEnd"/>
      <w:r w:rsidRPr="00A025E6">
        <w:rPr>
          <w:rFonts w:eastAsia="Times New Roman"/>
          <w:b/>
          <w:bCs/>
          <w:sz w:val="24"/>
          <w:szCs w:val="24"/>
        </w:rPr>
        <w:t xml:space="preserve"> and IRC Uganda</w:t>
      </w:r>
      <w:r w:rsidRPr="00A025E6">
        <w:rPr>
          <w:rFonts w:eastAsia="Times New Roman"/>
          <w:b/>
          <w:bCs/>
          <w:sz w:val="24"/>
          <w:szCs w:val="24"/>
        </w:rPr>
        <w:t xml:space="preserve">. </w:t>
      </w:r>
      <w:hyperlink r:id="rId8" w:history="1">
        <w:r w:rsidRPr="00A025E6">
          <w:rPr>
            <w:rStyle w:val="Hyperlink"/>
            <w:b/>
            <w:bCs/>
            <w:sz w:val="24"/>
            <w:szCs w:val="24"/>
          </w:rPr>
          <w:t>https://nl.ircwash.org/sites/default/files/harnessing_waterpoint_data_to_improve_drinking_waterservices_-_white_paper.pdf</w:t>
        </w:r>
      </w:hyperlink>
    </w:p>
    <w:sectPr w:rsidR="00D54081" w:rsidRPr="00A025E6" w:rsidSect="00493E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52BC6"/>
    <w:multiLevelType w:val="hybridMultilevel"/>
    <w:tmpl w:val="26947F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247F23"/>
    <w:multiLevelType w:val="hybridMultilevel"/>
    <w:tmpl w:val="55180488"/>
    <w:lvl w:ilvl="0" w:tplc="C7B4C5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112CCC"/>
    <w:multiLevelType w:val="hybridMultilevel"/>
    <w:tmpl w:val="26947F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1180F0F"/>
    <w:multiLevelType w:val="hybridMultilevel"/>
    <w:tmpl w:val="26947F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A015461"/>
    <w:multiLevelType w:val="hybridMultilevel"/>
    <w:tmpl w:val="26947F9C"/>
    <w:lvl w:ilvl="0" w:tplc="EFBE10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0335811">
    <w:abstractNumId w:val="1"/>
  </w:num>
  <w:num w:numId="2" w16cid:durableId="1599026719">
    <w:abstractNumId w:val="4"/>
  </w:num>
  <w:num w:numId="3" w16cid:durableId="1003164218">
    <w:abstractNumId w:val="2"/>
  </w:num>
  <w:num w:numId="4" w16cid:durableId="1764836089">
    <w:abstractNumId w:val="3"/>
  </w:num>
  <w:num w:numId="5" w16cid:durableId="315569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58"/>
    <w:rsid w:val="000002BA"/>
    <w:rsid w:val="000007A6"/>
    <w:rsid w:val="00000C82"/>
    <w:rsid w:val="00003552"/>
    <w:rsid w:val="000072A8"/>
    <w:rsid w:val="0001113E"/>
    <w:rsid w:val="00017D58"/>
    <w:rsid w:val="000217CE"/>
    <w:rsid w:val="000219AC"/>
    <w:rsid w:val="00024E71"/>
    <w:rsid w:val="0003070C"/>
    <w:rsid w:val="00030E82"/>
    <w:rsid w:val="00031E45"/>
    <w:rsid w:val="000343D4"/>
    <w:rsid w:val="00044168"/>
    <w:rsid w:val="00051463"/>
    <w:rsid w:val="000558EB"/>
    <w:rsid w:val="0006067D"/>
    <w:rsid w:val="00060963"/>
    <w:rsid w:val="000620F9"/>
    <w:rsid w:val="000632AA"/>
    <w:rsid w:val="00071371"/>
    <w:rsid w:val="00072D36"/>
    <w:rsid w:val="00072D8E"/>
    <w:rsid w:val="00074B05"/>
    <w:rsid w:val="00076C95"/>
    <w:rsid w:val="000821BA"/>
    <w:rsid w:val="000832A8"/>
    <w:rsid w:val="0008409B"/>
    <w:rsid w:val="0008723D"/>
    <w:rsid w:val="000A12F7"/>
    <w:rsid w:val="000B0A74"/>
    <w:rsid w:val="000B3610"/>
    <w:rsid w:val="000B3662"/>
    <w:rsid w:val="000B61AF"/>
    <w:rsid w:val="000C0969"/>
    <w:rsid w:val="000C1891"/>
    <w:rsid w:val="000C1F69"/>
    <w:rsid w:val="000C2D93"/>
    <w:rsid w:val="000D35AB"/>
    <w:rsid w:val="000D7E87"/>
    <w:rsid w:val="000E2570"/>
    <w:rsid w:val="000E4BA1"/>
    <w:rsid w:val="000E56F4"/>
    <w:rsid w:val="000E6271"/>
    <w:rsid w:val="000F30D3"/>
    <w:rsid w:val="000F7665"/>
    <w:rsid w:val="0010133B"/>
    <w:rsid w:val="00106F0E"/>
    <w:rsid w:val="001110A5"/>
    <w:rsid w:val="001162EC"/>
    <w:rsid w:val="00117B86"/>
    <w:rsid w:val="00122FFC"/>
    <w:rsid w:val="00126291"/>
    <w:rsid w:val="00130F1B"/>
    <w:rsid w:val="0013565F"/>
    <w:rsid w:val="00140EBB"/>
    <w:rsid w:val="00150B7E"/>
    <w:rsid w:val="001601A1"/>
    <w:rsid w:val="00161807"/>
    <w:rsid w:val="00162CC7"/>
    <w:rsid w:val="00171641"/>
    <w:rsid w:val="00171DBD"/>
    <w:rsid w:val="0019047F"/>
    <w:rsid w:val="00191B4A"/>
    <w:rsid w:val="00191FFE"/>
    <w:rsid w:val="00192462"/>
    <w:rsid w:val="001928B4"/>
    <w:rsid w:val="001B51D5"/>
    <w:rsid w:val="001D229C"/>
    <w:rsid w:val="001D793A"/>
    <w:rsid w:val="001E5B1E"/>
    <w:rsid w:val="001E6447"/>
    <w:rsid w:val="001F37C2"/>
    <w:rsid w:val="001F56F2"/>
    <w:rsid w:val="001F7FDD"/>
    <w:rsid w:val="0020798E"/>
    <w:rsid w:val="00210D99"/>
    <w:rsid w:val="002122B8"/>
    <w:rsid w:val="00214BBD"/>
    <w:rsid w:val="00215FD6"/>
    <w:rsid w:val="00221EC2"/>
    <w:rsid w:val="00225BA6"/>
    <w:rsid w:val="00226AA0"/>
    <w:rsid w:val="0022726B"/>
    <w:rsid w:val="00230271"/>
    <w:rsid w:val="002400F8"/>
    <w:rsid w:val="002417DE"/>
    <w:rsid w:val="00241E53"/>
    <w:rsid w:val="00244B49"/>
    <w:rsid w:val="002476F4"/>
    <w:rsid w:val="00251A96"/>
    <w:rsid w:val="002571E0"/>
    <w:rsid w:val="00261B95"/>
    <w:rsid w:val="002667B3"/>
    <w:rsid w:val="00271D0C"/>
    <w:rsid w:val="00274C67"/>
    <w:rsid w:val="002753E6"/>
    <w:rsid w:val="0027700A"/>
    <w:rsid w:val="00280A73"/>
    <w:rsid w:val="00280DE1"/>
    <w:rsid w:val="00282B23"/>
    <w:rsid w:val="00285BD9"/>
    <w:rsid w:val="00287141"/>
    <w:rsid w:val="002877F5"/>
    <w:rsid w:val="002B3BF0"/>
    <w:rsid w:val="002B3E86"/>
    <w:rsid w:val="002B773E"/>
    <w:rsid w:val="002C5D75"/>
    <w:rsid w:val="002D10F8"/>
    <w:rsid w:val="002D430F"/>
    <w:rsid w:val="002D4856"/>
    <w:rsid w:val="002D6C44"/>
    <w:rsid w:val="002E27E4"/>
    <w:rsid w:val="002E366A"/>
    <w:rsid w:val="002E3F30"/>
    <w:rsid w:val="002E578C"/>
    <w:rsid w:val="002E677F"/>
    <w:rsid w:val="002F1EC3"/>
    <w:rsid w:val="002F38F3"/>
    <w:rsid w:val="002F6B2C"/>
    <w:rsid w:val="002F7A8C"/>
    <w:rsid w:val="003015D6"/>
    <w:rsid w:val="003108C3"/>
    <w:rsid w:val="00315978"/>
    <w:rsid w:val="00317C87"/>
    <w:rsid w:val="00322859"/>
    <w:rsid w:val="00331045"/>
    <w:rsid w:val="00331C1D"/>
    <w:rsid w:val="00331EA9"/>
    <w:rsid w:val="00333F7C"/>
    <w:rsid w:val="003350E2"/>
    <w:rsid w:val="00343761"/>
    <w:rsid w:val="00344725"/>
    <w:rsid w:val="003459B6"/>
    <w:rsid w:val="0034690A"/>
    <w:rsid w:val="00350BAA"/>
    <w:rsid w:val="00355F01"/>
    <w:rsid w:val="00361277"/>
    <w:rsid w:val="00362991"/>
    <w:rsid w:val="00367EC0"/>
    <w:rsid w:val="00371198"/>
    <w:rsid w:val="00371967"/>
    <w:rsid w:val="0037276B"/>
    <w:rsid w:val="003734DA"/>
    <w:rsid w:val="003762C6"/>
    <w:rsid w:val="00384B40"/>
    <w:rsid w:val="00390731"/>
    <w:rsid w:val="00391105"/>
    <w:rsid w:val="003A3988"/>
    <w:rsid w:val="003A70F1"/>
    <w:rsid w:val="003B3A50"/>
    <w:rsid w:val="003B4413"/>
    <w:rsid w:val="003B5B9B"/>
    <w:rsid w:val="003D2F84"/>
    <w:rsid w:val="003D7C09"/>
    <w:rsid w:val="003E76DB"/>
    <w:rsid w:val="003F3120"/>
    <w:rsid w:val="003F3255"/>
    <w:rsid w:val="003F64F1"/>
    <w:rsid w:val="003F78C2"/>
    <w:rsid w:val="00405D82"/>
    <w:rsid w:val="0041758B"/>
    <w:rsid w:val="00425398"/>
    <w:rsid w:val="0043007D"/>
    <w:rsid w:val="00430DE3"/>
    <w:rsid w:val="00432830"/>
    <w:rsid w:val="00432873"/>
    <w:rsid w:val="00442700"/>
    <w:rsid w:val="00444919"/>
    <w:rsid w:val="00446BF8"/>
    <w:rsid w:val="00450113"/>
    <w:rsid w:val="004565A7"/>
    <w:rsid w:val="00460E46"/>
    <w:rsid w:val="0046126F"/>
    <w:rsid w:val="00461F6D"/>
    <w:rsid w:val="004627B4"/>
    <w:rsid w:val="0046704D"/>
    <w:rsid w:val="00470DFD"/>
    <w:rsid w:val="00470F81"/>
    <w:rsid w:val="00473BAD"/>
    <w:rsid w:val="0047502C"/>
    <w:rsid w:val="004759A7"/>
    <w:rsid w:val="0047601A"/>
    <w:rsid w:val="00477C3F"/>
    <w:rsid w:val="00480E97"/>
    <w:rsid w:val="004865C1"/>
    <w:rsid w:val="00487451"/>
    <w:rsid w:val="00493ECD"/>
    <w:rsid w:val="00494F5A"/>
    <w:rsid w:val="004965F6"/>
    <w:rsid w:val="004A1FD6"/>
    <w:rsid w:val="004A2117"/>
    <w:rsid w:val="004B1226"/>
    <w:rsid w:val="004C335C"/>
    <w:rsid w:val="004C5BB2"/>
    <w:rsid w:val="004D3592"/>
    <w:rsid w:val="004D365C"/>
    <w:rsid w:val="004D7D6C"/>
    <w:rsid w:val="004E44CF"/>
    <w:rsid w:val="004E4DD0"/>
    <w:rsid w:val="004E5486"/>
    <w:rsid w:val="004E618E"/>
    <w:rsid w:val="004F0FED"/>
    <w:rsid w:val="00502225"/>
    <w:rsid w:val="00505D11"/>
    <w:rsid w:val="00510D93"/>
    <w:rsid w:val="00513161"/>
    <w:rsid w:val="005356D4"/>
    <w:rsid w:val="00535CC2"/>
    <w:rsid w:val="00536047"/>
    <w:rsid w:val="00541F6C"/>
    <w:rsid w:val="00551171"/>
    <w:rsid w:val="005544B1"/>
    <w:rsid w:val="005566CF"/>
    <w:rsid w:val="00562822"/>
    <w:rsid w:val="00565595"/>
    <w:rsid w:val="00574EED"/>
    <w:rsid w:val="00576565"/>
    <w:rsid w:val="005859CC"/>
    <w:rsid w:val="00585ABD"/>
    <w:rsid w:val="00586735"/>
    <w:rsid w:val="005872BF"/>
    <w:rsid w:val="0059307D"/>
    <w:rsid w:val="005951E7"/>
    <w:rsid w:val="0059763C"/>
    <w:rsid w:val="005A07CA"/>
    <w:rsid w:val="005A1796"/>
    <w:rsid w:val="005A20AB"/>
    <w:rsid w:val="005A24A8"/>
    <w:rsid w:val="005B00B6"/>
    <w:rsid w:val="005B3F3E"/>
    <w:rsid w:val="005C2021"/>
    <w:rsid w:val="005D26AC"/>
    <w:rsid w:val="005E47FD"/>
    <w:rsid w:val="005E5B57"/>
    <w:rsid w:val="005E6939"/>
    <w:rsid w:val="005F2B16"/>
    <w:rsid w:val="00600E22"/>
    <w:rsid w:val="00607DE1"/>
    <w:rsid w:val="00614667"/>
    <w:rsid w:val="006169D8"/>
    <w:rsid w:val="00617D1D"/>
    <w:rsid w:val="006231EF"/>
    <w:rsid w:val="00634723"/>
    <w:rsid w:val="00635625"/>
    <w:rsid w:val="00645331"/>
    <w:rsid w:val="00645471"/>
    <w:rsid w:val="006459AF"/>
    <w:rsid w:val="0065523B"/>
    <w:rsid w:val="00660633"/>
    <w:rsid w:val="0066110B"/>
    <w:rsid w:val="006678A5"/>
    <w:rsid w:val="00672636"/>
    <w:rsid w:val="00676607"/>
    <w:rsid w:val="0067758E"/>
    <w:rsid w:val="00682067"/>
    <w:rsid w:val="00682632"/>
    <w:rsid w:val="00686A6B"/>
    <w:rsid w:val="006905F8"/>
    <w:rsid w:val="006917BE"/>
    <w:rsid w:val="0069416A"/>
    <w:rsid w:val="00696E90"/>
    <w:rsid w:val="006A1FC2"/>
    <w:rsid w:val="006A4BE5"/>
    <w:rsid w:val="006A689F"/>
    <w:rsid w:val="006A70C7"/>
    <w:rsid w:val="006B6AA4"/>
    <w:rsid w:val="006C2638"/>
    <w:rsid w:val="006C4533"/>
    <w:rsid w:val="006C5E94"/>
    <w:rsid w:val="006C6C35"/>
    <w:rsid w:val="006D2515"/>
    <w:rsid w:val="006D2D5D"/>
    <w:rsid w:val="006D6A02"/>
    <w:rsid w:val="006E149E"/>
    <w:rsid w:val="006E3A05"/>
    <w:rsid w:val="006F304C"/>
    <w:rsid w:val="006F3FFA"/>
    <w:rsid w:val="00707D33"/>
    <w:rsid w:val="00715862"/>
    <w:rsid w:val="00716070"/>
    <w:rsid w:val="00720469"/>
    <w:rsid w:val="0072133D"/>
    <w:rsid w:val="0073544C"/>
    <w:rsid w:val="00735C1E"/>
    <w:rsid w:val="00737673"/>
    <w:rsid w:val="00746FA4"/>
    <w:rsid w:val="00747FF3"/>
    <w:rsid w:val="00751116"/>
    <w:rsid w:val="00751C23"/>
    <w:rsid w:val="00753ADA"/>
    <w:rsid w:val="00760466"/>
    <w:rsid w:val="00762C9B"/>
    <w:rsid w:val="00780175"/>
    <w:rsid w:val="007844A7"/>
    <w:rsid w:val="007846BB"/>
    <w:rsid w:val="00786D1E"/>
    <w:rsid w:val="0079209B"/>
    <w:rsid w:val="0079246F"/>
    <w:rsid w:val="0079364F"/>
    <w:rsid w:val="00793B93"/>
    <w:rsid w:val="00793D29"/>
    <w:rsid w:val="00793F02"/>
    <w:rsid w:val="00794D0A"/>
    <w:rsid w:val="00794D14"/>
    <w:rsid w:val="007A05FC"/>
    <w:rsid w:val="007A1367"/>
    <w:rsid w:val="007A7D58"/>
    <w:rsid w:val="007B0A89"/>
    <w:rsid w:val="007B421A"/>
    <w:rsid w:val="007B658A"/>
    <w:rsid w:val="007B7CA0"/>
    <w:rsid w:val="007C1569"/>
    <w:rsid w:val="007C2EC4"/>
    <w:rsid w:val="007C52DE"/>
    <w:rsid w:val="007E27D5"/>
    <w:rsid w:val="007E2BE6"/>
    <w:rsid w:val="007E5043"/>
    <w:rsid w:val="007E585F"/>
    <w:rsid w:val="007F0023"/>
    <w:rsid w:val="007F73E3"/>
    <w:rsid w:val="0080327E"/>
    <w:rsid w:val="00803B76"/>
    <w:rsid w:val="00804BA4"/>
    <w:rsid w:val="00810A46"/>
    <w:rsid w:val="00813C3F"/>
    <w:rsid w:val="0081441C"/>
    <w:rsid w:val="008161AD"/>
    <w:rsid w:val="00833C0C"/>
    <w:rsid w:val="00835BAD"/>
    <w:rsid w:val="008412D5"/>
    <w:rsid w:val="008441AD"/>
    <w:rsid w:val="00844D87"/>
    <w:rsid w:val="008450E3"/>
    <w:rsid w:val="00853183"/>
    <w:rsid w:val="00853E20"/>
    <w:rsid w:val="00854EBA"/>
    <w:rsid w:val="00862048"/>
    <w:rsid w:val="00863BA3"/>
    <w:rsid w:val="008652DA"/>
    <w:rsid w:val="00867CB0"/>
    <w:rsid w:val="00870E77"/>
    <w:rsid w:val="0087113E"/>
    <w:rsid w:val="00872829"/>
    <w:rsid w:val="0087314C"/>
    <w:rsid w:val="00874803"/>
    <w:rsid w:val="0088184F"/>
    <w:rsid w:val="008850F1"/>
    <w:rsid w:val="0089309B"/>
    <w:rsid w:val="0089577D"/>
    <w:rsid w:val="008978E8"/>
    <w:rsid w:val="008A06FA"/>
    <w:rsid w:val="008A4D9C"/>
    <w:rsid w:val="008A7476"/>
    <w:rsid w:val="008B771A"/>
    <w:rsid w:val="008B7BAF"/>
    <w:rsid w:val="008C2487"/>
    <w:rsid w:val="008F7583"/>
    <w:rsid w:val="00907B02"/>
    <w:rsid w:val="0091009B"/>
    <w:rsid w:val="009130B4"/>
    <w:rsid w:val="00916039"/>
    <w:rsid w:val="00920856"/>
    <w:rsid w:val="00927DEA"/>
    <w:rsid w:val="00930A53"/>
    <w:rsid w:val="00932100"/>
    <w:rsid w:val="00933C1B"/>
    <w:rsid w:val="00934FC9"/>
    <w:rsid w:val="00942422"/>
    <w:rsid w:val="00944EC0"/>
    <w:rsid w:val="00945020"/>
    <w:rsid w:val="00947150"/>
    <w:rsid w:val="0094771E"/>
    <w:rsid w:val="00950815"/>
    <w:rsid w:val="00961D24"/>
    <w:rsid w:val="00974DFE"/>
    <w:rsid w:val="009762B7"/>
    <w:rsid w:val="00985086"/>
    <w:rsid w:val="00990375"/>
    <w:rsid w:val="00991911"/>
    <w:rsid w:val="00991F33"/>
    <w:rsid w:val="009957DE"/>
    <w:rsid w:val="00996DFB"/>
    <w:rsid w:val="00997458"/>
    <w:rsid w:val="009A0C93"/>
    <w:rsid w:val="009A0DAD"/>
    <w:rsid w:val="009A7BD9"/>
    <w:rsid w:val="009B7DE6"/>
    <w:rsid w:val="009C7039"/>
    <w:rsid w:val="009D6EAB"/>
    <w:rsid w:val="009F2A48"/>
    <w:rsid w:val="009F3A1D"/>
    <w:rsid w:val="009F5EA1"/>
    <w:rsid w:val="00A025E6"/>
    <w:rsid w:val="00A03CA9"/>
    <w:rsid w:val="00A04388"/>
    <w:rsid w:val="00A05C26"/>
    <w:rsid w:val="00A13E20"/>
    <w:rsid w:val="00A17FCA"/>
    <w:rsid w:val="00A21968"/>
    <w:rsid w:val="00A230AC"/>
    <w:rsid w:val="00A24972"/>
    <w:rsid w:val="00A26D28"/>
    <w:rsid w:val="00A30940"/>
    <w:rsid w:val="00A35E60"/>
    <w:rsid w:val="00A416E3"/>
    <w:rsid w:val="00A4256D"/>
    <w:rsid w:val="00A4796A"/>
    <w:rsid w:val="00A508D2"/>
    <w:rsid w:val="00A508D8"/>
    <w:rsid w:val="00A52FDD"/>
    <w:rsid w:val="00A55BFB"/>
    <w:rsid w:val="00A56D90"/>
    <w:rsid w:val="00A605CC"/>
    <w:rsid w:val="00A60A0B"/>
    <w:rsid w:val="00A6114E"/>
    <w:rsid w:val="00A64C3F"/>
    <w:rsid w:val="00A667A8"/>
    <w:rsid w:val="00A717FC"/>
    <w:rsid w:val="00A730AE"/>
    <w:rsid w:val="00A7607D"/>
    <w:rsid w:val="00A8388E"/>
    <w:rsid w:val="00A90826"/>
    <w:rsid w:val="00A9248E"/>
    <w:rsid w:val="00A95347"/>
    <w:rsid w:val="00AA6545"/>
    <w:rsid w:val="00AB2FF2"/>
    <w:rsid w:val="00AB3E4F"/>
    <w:rsid w:val="00AB6959"/>
    <w:rsid w:val="00AC2A73"/>
    <w:rsid w:val="00AC2F0B"/>
    <w:rsid w:val="00AC34B6"/>
    <w:rsid w:val="00AC6D4E"/>
    <w:rsid w:val="00AC7601"/>
    <w:rsid w:val="00AD6458"/>
    <w:rsid w:val="00AE0A84"/>
    <w:rsid w:val="00AE6FE5"/>
    <w:rsid w:val="00AF18BB"/>
    <w:rsid w:val="00AF656F"/>
    <w:rsid w:val="00AF716D"/>
    <w:rsid w:val="00AF78C0"/>
    <w:rsid w:val="00B033C1"/>
    <w:rsid w:val="00B034FB"/>
    <w:rsid w:val="00B04246"/>
    <w:rsid w:val="00B14A9E"/>
    <w:rsid w:val="00B21265"/>
    <w:rsid w:val="00B23664"/>
    <w:rsid w:val="00B2471A"/>
    <w:rsid w:val="00B25636"/>
    <w:rsid w:val="00B25985"/>
    <w:rsid w:val="00B27558"/>
    <w:rsid w:val="00B32152"/>
    <w:rsid w:val="00B32A72"/>
    <w:rsid w:val="00B36EFC"/>
    <w:rsid w:val="00B42D95"/>
    <w:rsid w:val="00B435BE"/>
    <w:rsid w:val="00B43E45"/>
    <w:rsid w:val="00B46B47"/>
    <w:rsid w:val="00B5076D"/>
    <w:rsid w:val="00B53A83"/>
    <w:rsid w:val="00B551B3"/>
    <w:rsid w:val="00B57C02"/>
    <w:rsid w:val="00B609FB"/>
    <w:rsid w:val="00B62743"/>
    <w:rsid w:val="00B64CAC"/>
    <w:rsid w:val="00B707B3"/>
    <w:rsid w:val="00B72548"/>
    <w:rsid w:val="00B76742"/>
    <w:rsid w:val="00B76BB5"/>
    <w:rsid w:val="00B806F3"/>
    <w:rsid w:val="00B81C47"/>
    <w:rsid w:val="00B832D5"/>
    <w:rsid w:val="00B83F81"/>
    <w:rsid w:val="00B8585D"/>
    <w:rsid w:val="00B87B43"/>
    <w:rsid w:val="00B87B95"/>
    <w:rsid w:val="00B94ACE"/>
    <w:rsid w:val="00B975BD"/>
    <w:rsid w:val="00BA2480"/>
    <w:rsid w:val="00BA5AFD"/>
    <w:rsid w:val="00BB2CA8"/>
    <w:rsid w:val="00BB31DE"/>
    <w:rsid w:val="00BB4732"/>
    <w:rsid w:val="00BC3999"/>
    <w:rsid w:val="00BD03B3"/>
    <w:rsid w:val="00BD085A"/>
    <w:rsid w:val="00BD2371"/>
    <w:rsid w:val="00BD3DE4"/>
    <w:rsid w:val="00BE1CC0"/>
    <w:rsid w:val="00BE1E00"/>
    <w:rsid w:val="00BE30C1"/>
    <w:rsid w:val="00BF1958"/>
    <w:rsid w:val="00BF29F5"/>
    <w:rsid w:val="00BF766B"/>
    <w:rsid w:val="00BF77AA"/>
    <w:rsid w:val="00C05275"/>
    <w:rsid w:val="00C06587"/>
    <w:rsid w:val="00C11FDE"/>
    <w:rsid w:val="00C13B89"/>
    <w:rsid w:val="00C25962"/>
    <w:rsid w:val="00C3384B"/>
    <w:rsid w:val="00C34093"/>
    <w:rsid w:val="00C350B8"/>
    <w:rsid w:val="00C371E1"/>
    <w:rsid w:val="00C66611"/>
    <w:rsid w:val="00C708BA"/>
    <w:rsid w:val="00C7162E"/>
    <w:rsid w:val="00C810CA"/>
    <w:rsid w:val="00C828ED"/>
    <w:rsid w:val="00C83B70"/>
    <w:rsid w:val="00C93D84"/>
    <w:rsid w:val="00C95624"/>
    <w:rsid w:val="00C96715"/>
    <w:rsid w:val="00CA0EED"/>
    <w:rsid w:val="00CA674D"/>
    <w:rsid w:val="00CA7A4E"/>
    <w:rsid w:val="00CB6AA7"/>
    <w:rsid w:val="00CC04F4"/>
    <w:rsid w:val="00CC2A55"/>
    <w:rsid w:val="00CC2F9A"/>
    <w:rsid w:val="00CC30DC"/>
    <w:rsid w:val="00CC3729"/>
    <w:rsid w:val="00CD3644"/>
    <w:rsid w:val="00CE7B51"/>
    <w:rsid w:val="00CF30B6"/>
    <w:rsid w:val="00D0119C"/>
    <w:rsid w:val="00D02DCC"/>
    <w:rsid w:val="00D10EA6"/>
    <w:rsid w:val="00D12130"/>
    <w:rsid w:val="00D12150"/>
    <w:rsid w:val="00D25759"/>
    <w:rsid w:val="00D26AAC"/>
    <w:rsid w:val="00D30CC9"/>
    <w:rsid w:val="00D35BE3"/>
    <w:rsid w:val="00D51090"/>
    <w:rsid w:val="00D54081"/>
    <w:rsid w:val="00D60ECF"/>
    <w:rsid w:val="00D62FB4"/>
    <w:rsid w:val="00D73B1A"/>
    <w:rsid w:val="00D75959"/>
    <w:rsid w:val="00D83A9B"/>
    <w:rsid w:val="00D86050"/>
    <w:rsid w:val="00D8660D"/>
    <w:rsid w:val="00D91250"/>
    <w:rsid w:val="00D93679"/>
    <w:rsid w:val="00D93E4C"/>
    <w:rsid w:val="00DA5479"/>
    <w:rsid w:val="00DA690B"/>
    <w:rsid w:val="00DB1875"/>
    <w:rsid w:val="00DB4AAE"/>
    <w:rsid w:val="00DC7EC7"/>
    <w:rsid w:val="00DD0174"/>
    <w:rsid w:val="00DE3613"/>
    <w:rsid w:val="00DF3DA9"/>
    <w:rsid w:val="00DF5264"/>
    <w:rsid w:val="00DF7128"/>
    <w:rsid w:val="00DF7606"/>
    <w:rsid w:val="00DF7D84"/>
    <w:rsid w:val="00E07ADF"/>
    <w:rsid w:val="00E20154"/>
    <w:rsid w:val="00E206E5"/>
    <w:rsid w:val="00E46D03"/>
    <w:rsid w:val="00E53034"/>
    <w:rsid w:val="00E5740A"/>
    <w:rsid w:val="00E577F8"/>
    <w:rsid w:val="00E609E8"/>
    <w:rsid w:val="00E619B1"/>
    <w:rsid w:val="00E7058F"/>
    <w:rsid w:val="00E7430E"/>
    <w:rsid w:val="00E768DA"/>
    <w:rsid w:val="00E80C66"/>
    <w:rsid w:val="00E8619E"/>
    <w:rsid w:val="00E901F6"/>
    <w:rsid w:val="00E905A0"/>
    <w:rsid w:val="00E909D3"/>
    <w:rsid w:val="00E9353E"/>
    <w:rsid w:val="00EA022D"/>
    <w:rsid w:val="00EA3D30"/>
    <w:rsid w:val="00EA6613"/>
    <w:rsid w:val="00EB3A91"/>
    <w:rsid w:val="00EB51BE"/>
    <w:rsid w:val="00EB53E6"/>
    <w:rsid w:val="00EC184A"/>
    <w:rsid w:val="00ED713B"/>
    <w:rsid w:val="00EE1CFC"/>
    <w:rsid w:val="00EF49B4"/>
    <w:rsid w:val="00EF5F81"/>
    <w:rsid w:val="00F014D0"/>
    <w:rsid w:val="00F01510"/>
    <w:rsid w:val="00F0223D"/>
    <w:rsid w:val="00F055FA"/>
    <w:rsid w:val="00F265F9"/>
    <w:rsid w:val="00F272CA"/>
    <w:rsid w:val="00F32C55"/>
    <w:rsid w:val="00F3314F"/>
    <w:rsid w:val="00F5137D"/>
    <w:rsid w:val="00F53F3A"/>
    <w:rsid w:val="00F54252"/>
    <w:rsid w:val="00F5452E"/>
    <w:rsid w:val="00F66441"/>
    <w:rsid w:val="00F70A51"/>
    <w:rsid w:val="00F80163"/>
    <w:rsid w:val="00F817A5"/>
    <w:rsid w:val="00F843B7"/>
    <w:rsid w:val="00F84812"/>
    <w:rsid w:val="00F855CE"/>
    <w:rsid w:val="00F85B0A"/>
    <w:rsid w:val="00F9102E"/>
    <w:rsid w:val="00F94AB4"/>
    <w:rsid w:val="00FA7BAD"/>
    <w:rsid w:val="00FB7074"/>
    <w:rsid w:val="00FC7492"/>
    <w:rsid w:val="00FD52E1"/>
    <w:rsid w:val="00FE2B7E"/>
    <w:rsid w:val="00FF1A6E"/>
    <w:rsid w:val="00FF6B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6BB796"/>
  <w15:chartTrackingRefBased/>
  <w15:docId w15:val="{948C4D9F-119F-3645-8A0C-467915D5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1E"/>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E5B1E"/>
  </w:style>
  <w:style w:type="paragraph" w:styleId="Title">
    <w:name w:val="Title"/>
    <w:basedOn w:val="Normal"/>
    <w:link w:val="TitleChar"/>
    <w:uiPriority w:val="10"/>
    <w:qFormat/>
    <w:rsid w:val="001E5B1E"/>
    <w:pPr>
      <w:spacing w:before="35"/>
      <w:ind w:left="680"/>
    </w:pPr>
    <w:rPr>
      <w:sz w:val="21"/>
      <w:szCs w:val="21"/>
    </w:rPr>
  </w:style>
  <w:style w:type="character" w:customStyle="1" w:styleId="TitleChar">
    <w:name w:val="Title Char"/>
    <w:basedOn w:val="DefaultParagraphFont"/>
    <w:link w:val="Title"/>
    <w:uiPriority w:val="10"/>
    <w:rsid w:val="001E5B1E"/>
    <w:rPr>
      <w:rFonts w:ascii="Arial" w:eastAsia="Arial" w:hAnsi="Arial" w:cs="Arial"/>
      <w:sz w:val="21"/>
      <w:szCs w:val="21"/>
    </w:rPr>
  </w:style>
  <w:style w:type="paragraph" w:styleId="BodyText">
    <w:name w:val="Body Text"/>
    <w:basedOn w:val="Normal"/>
    <w:link w:val="BodyTextChar"/>
    <w:uiPriority w:val="1"/>
    <w:qFormat/>
    <w:rsid w:val="001E5B1E"/>
    <w:pPr>
      <w:spacing w:before="41"/>
      <w:ind w:left="140"/>
    </w:pPr>
    <w:rPr>
      <w:sz w:val="19"/>
      <w:szCs w:val="19"/>
    </w:rPr>
  </w:style>
  <w:style w:type="character" w:customStyle="1" w:styleId="BodyTextChar">
    <w:name w:val="Body Text Char"/>
    <w:basedOn w:val="DefaultParagraphFont"/>
    <w:link w:val="BodyText"/>
    <w:uiPriority w:val="1"/>
    <w:rsid w:val="001E5B1E"/>
    <w:rPr>
      <w:rFonts w:ascii="Arial" w:eastAsia="Arial" w:hAnsi="Arial" w:cs="Arial"/>
      <w:sz w:val="19"/>
      <w:szCs w:val="19"/>
    </w:rPr>
  </w:style>
  <w:style w:type="paragraph" w:styleId="ListParagraph">
    <w:name w:val="List Paragraph"/>
    <w:basedOn w:val="Normal"/>
    <w:uiPriority w:val="1"/>
    <w:qFormat/>
    <w:rsid w:val="001E5B1E"/>
  </w:style>
  <w:style w:type="character" w:styleId="Hyperlink">
    <w:name w:val="Hyperlink"/>
    <w:basedOn w:val="DefaultParagraphFont"/>
    <w:uiPriority w:val="99"/>
    <w:unhideWhenUsed/>
    <w:rsid w:val="00AD6458"/>
    <w:rPr>
      <w:color w:val="0000FF"/>
      <w:u w:val="single"/>
    </w:rPr>
  </w:style>
  <w:style w:type="table" w:styleId="TableGrid">
    <w:name w:val="Table Grid"/>
    <w:basedOn w:val="TableNormal"/>
    <w:uiPriority w:val="39"/>
    <w:rsid w:val="00AD6458"/>
    <w:pPr>
      <w:widowControl/>
      <w:autoSpaceDE/>
      <w:autoSpaceDN/>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D64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867410">
      <w:bodyDiv w:val="1"/>
      <w:marLeft w:val="0"/>
      <w:marRight w:val="0"/>
      <w:marTop w:val="0"/>
      <w:marBottom w:val="0"/>
      <w:divBdr>
        <w:top w:val="none" w:sz="0" w:space="0" w:color="auto"/>
        <w:left w:val="none" w:sz="0" w:space="0" w:color="auto"/>
        <w:bottom w:val="none" w:sz="0" w:space="0" w:color="auto"/>
        <w:right w:val="none" w:sz="0" w:space="0" w:color="auto"/>
      </w:divBdr>
    </w:div>
    <w:div w:id="932057747">
      <w:bodyDiv w:val="1"/>
      <w:marLeft w:val="0"/>
      <w:marRight w:val="0"/>
      <w:marTop w:val="0"/>
      <w:marBottom w:val="0"/>
      <w:divBdr>
        <w:top w:val="none" w:sz="0" w:space="0" w:color="auto"/>
        <w:left w:val="none" w:sz="0" w:space="0" w:color="auto"/>
        <w:bottom w:val="none" w:sz="0" w:space="0" w:color="auto"/>
        <w:right w:val="none" w:sz="0" w:space="0" w:color="auto"/>
      </w:divBdr>
    </w:div>
    <w:div w:id="1035274302">
      <w:bodyDiv w:val="1"/>
      <w:marLeft w:val="0"/>
      <w:marRight w:val="0"/>
      <w:marTop w:val="0"/>
      <w:marBottom w:val="0"/>
      <w:divBdr>
        <w:top w:val="none" w:sz="0" w:space="0" w:color="auto"/>
        <w:left w:val="none" w:sz="0" w:space="0" w:color="auto"/>
        <w:bottom w:val="none" w:sz="0" w:space="0" w:color="auto"/>
        <w:right w:val="none" w:sz="0" w:space="0" w:color="auto"/>
      </w:divBdr>
    </w:div>
    <w:div w:id="1452364061">
      <w:bodyDiv w:val="1"/>
      <w:marLeft w:val="0"/>
      <w:marRight w:val="0"/>
      <w:marTop w:val="0"/>
      <w:marBottom w:val="0"/>
      <w:divBdr>
        <w:top w:val="none" w:sz="0" w:space="0" w:color="auto"/>
        <w:left w:val="none" w:sz="0" w:space="0" w:color="auto"/>
        <w:bottom w:val="none" w:sz="0" w:space="0" w:color="auto"/>
        <w:right w:val="none" w:sz="0" w:space="0" w:color="auto"/>
      </w:divBdr>
    </w:div>
    <w:div w:id="181934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ircwash.org/sites/default/files/harnessing_waterpoint_data_to_improve_drinking_waterservices_-_white_paper.pdf" TargetMode="External"/><Relationship Id="rId3" Type="http://schemas.openxmlformats.org/officeDocument/2006/relationships/settings" Target="settings.xml"/><Relationship Id="rId7" Type="http://schemas.openxmlformats.org/officeDocument/2006/relationships/hyperlink" Target="https://doi.org/10.1021/es402086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buhaug.com/wp-content/uploads/2014/02/IS-2011-for-web.pdf" TargetMode="External"/><Relationship Id="rId5" Type="http://schemas.openxmlformats.org/officeDocument/2006/relationships/hyperlink" Target="https://doi.org/https://doi.org/10.1016/j.polgeo.2017.07.00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Adler, Thomas</dc:creator>
  <cp:keywords/>
  <dc:description/>
  <cp:lastModifiedBy>Adler, Thomas</cp:lastModifiedBy>
  <cp:revision>2</cp:revision>
  <dcterms:created xsi:type="dcterms:W3CDTF">2022-06-25T21:49:00Z</dcterms:created>
  <dcterms:modified xsi:type="dcterms:W3CDTF">2022-06-25T22:18:00Z</dcterms:modified>
</cp:coreProperties>
</file>