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Architecture Decision Records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architecture-decision-record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Architecture Decision Records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Each record captures one significant architectural decision: its</w:t>
      </w:r>
      <w:r>
        <w:t xml:space="preserve"> </w:t>
      </w:r>
      <w:r>
        <w:t xml:space="preserve">context, the decision, and its consequences. Records are</w:t>
      </w:r>
      <w:r>
        <w:t xml:space="preserve"> </w:t>
      </w:r>
      <w:r>
        <w:t xml:space="preserve">reconstructed from the implemented system and are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unless</w:t>
      </w:r>
      <w:r>
        <w:t xml:space="preserve"> </w:t>
      </w:r>
      <w:r>
        <w:t xml:space="preserve">noted.</w:t>
      </w:r>
    </w:p>
    <w:p>
      <w:r>
        <w:pict>
          <v:rect style="width:0;height:1.5pt" o:hralign="center" o:hrstd="t" o:hr="t"/>
        </w:pict>
      </w:r>
    </w:p>
    <w:bookmarkStart w:id="9" w:name="adr-001-modular-monolith-for-the-backen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ADR-001 — Modular monolith for the backend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backend serves a single product with a moderately</w:t>
      </w:r>
      <w:r>
        <w:t xml:space="preserve"> </w:t>
      </w:r>
      <w:r>
        <w:t xml:space="preserve">sized domain (14 feature areas). A microservice split would add</w:t>
      </w:r>
      <w:r>
        <w:t xml:space="preserve"> </w:t>
      </w:r>
      <w:r>
        <w:t xml:space="preserve">deployment and operational overhead.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Implement the backend as a NestJS modular monolith — one</w:t>
      </w:r>
      <w:r>
        <w:t xml:space="preserve"> </w:t>
      </w:r>
      <w:r>
        <w:t xml:space="preserve">deployable process composed of independent feature modules.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Simple deployment and local development; in-process</w:t>
      </w:r>
      <w:r>
        <w:t xml:space="preserve"> </w:t>
      </w:r>
      <w:r>
        <w:t xml:space="preserve">calls between modules; one database. If a single area later needs</w:t>
      </w:r>
      <w:r>
        <w:t xml:space="preserve"> </w:t>
      </w:r>
      <w:r>
        <w:t xml:space="preserve">independent scaling it can be extracted, since module boundaries are</w:t>
      </w:r>
      <w:r>
        <w:t xml:space="preserve"> </w:t>
      </w:r>
      <w:r>
        <w:t xml:space="preserve">already explicit.</w:t>
      </w:r>
    </w:p>
    <w:p>
      <w:r>
        <w:pict>
          <v:rect style="width:0;height:1.5pt" o:hralign="center" o:hrstd="t" o:hr="t"/>
        </w:pict>
      </w:r>
    </w:p>
    <w:bookmarkEnd w:id="9"/>
    <w:bookmarkStart w:id="10" w:name="adr-002-dual-actor-jwt-authentic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ADR-002 — Dual-actor JWT authentication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Two distinct populations — learners and staff — share one</w:t>
      </w:r>
      <w:r>
        <w:t xml:space="preserve"> </w:t>
      </w:r>
      <w:r>
        <w:t xml:space="preserve">API. Separate auth stacks would duplicate logic.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one JWT structure with an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discriminator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. Learners and admins</w:t>
      </w:r>
      <w:r>
        <w:t xml:space="preserve"> </w:t>
      </w:r>
      <w:r>
        <w:t xml:space="preserve">have separate password and refresh-token tables.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One guard pipeline handles both; the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claim</w:t>
      </w:r>
      <w:r>
        <w:t xml:space="preserve"> </w:t>
      </w:r>
      <w:r>
        <w:t xml:space="preserve">prevents a learner token from being accepted on admin routes. Slightly</w:t>
      </w:r>
      <w:r>
        <w:t xml:space="preserve"> </w:t>
      </w:r>
      <w:r>
        <w:t xml:space="preserve">more complex token payload; guards must always check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251b64f606d6ec6a0fb42c7e44c7568b5ceb5fc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ADR-003 — Auth-by-default with explicit opt-out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Forgetting to protect a new endpoint is a common security</w:t>
      </w:r>
      <w:r>
        <w:t xml:space="preserve"> </w:t>
      </w:r>
      <w:r>
        <w:t xml:space="preserve">defect.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globally; routes become public</w:t>
      </w:r>
      <w:r>
        <w:t xml:space="preserve"> </w:t>
      </w:r>
      <w:r>
        <w:t xml:space="preserve">only by an explicit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decorator.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New endpoints are secure unless deliberately opened.</w:t>
      </w:r>
      <w:r>
        <w:t xml:space="preserve"> </w:t>
      </w:r>
      <w:r>
        <w:t xml:space="preserve">Public endpoints are easy to enumerate (search for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415c86e558e56362034db9ecca085144650fc58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ADR-004 — Permission-catalog RBAC for staff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Staff need granular, auditable capabilities; a simple</w:t>
      </w:r>
      <w:r>
        <w:t xml:space="preserve"> </w:t>
      </w:r>
      <w:r>
        <w:t xml:space="preserve">role flag is too coarse.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Define a catalog of ~40 permission keys with</w:t>
      </w:r>
      <w:r>
        <w:t xml:space="preserve"> </w:t>
      </w:r>
      <w:r>
        <w:rPr>
          <w:rStyle w:val="VerbatimChar"/>
        </w:rPr>
        <w:t xml:space="preserve">grantable_to_subadmin</w:t>
      </w:r>
      <w:r>
        <w:t xml:space="preserve"> </w:t>
      </w:r>
      <w:r>
        <w:t xml:space="preserve">flags and</w:t>
      </w:r>
      <w:r>
        <w:t xml:space="preserve"> </w:t>
      </w:r>
      <w:r>
        <w:rPr>
          <w:rStyle w:val="VerbatimChar"/>
        </w:rPr>
        <w:t xml:space="preserve">implies</w:t>
      </w:r>
      <w:r>
        <w:t xml:space="preserve"> </w:t>
      </w:r>
      <w:r>
        <w:t xml:space="preserve">chains. Enforce with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;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bypasses checks.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Fine-grained control and a clear privilege model;</w:t>
      </w:r>
      <w:r>
        <w:t xml:space="preserve"> </w:t>
      </w:r>
      <w:r>
        <w:t xml:space="preserve">privacy-sensitive permissions are non-grantable. The catalog must be</w:t>
      </w:r>
      <w:r>
        <w:t xml:space="preserve"> </w:t>
      </w:r>
      <w:r>
        <w:t xml:space="preserve">kept in sync across backend, admin UI, and documentation.</w:t>
      </w:r>
    </w:p>
    <w:p>
      <w:r>
        <w:pict>
          <v:rect style="width:0;height:1.5pt" o:hralign="center" o:hrstd="t" o:hr="t"/>
        </w:pict>
      </w:r>
    </w:p>
    <w:bookmarkEnd w:id="12"/>
    <w:bookmarkStart w:id="13" w:name="X719241b0d2bd932abf3413cb7e6a616e492a40c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ADR-005 — TypeORM with UUID keys and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prefix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schema must evolve safely and coexist with other</w:t>
      </w:r>
      <w:r>
        <w:t xml:space="preserve"> </w:t>
      </w:r>
      <w:r>
        <w:t xml:space="preserve">schemas on shared infrastructure.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TypeORM with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UUID primary keys,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table prefix, and ordered migrations.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Non-guessable keys; namespace isolation; reproducible</w:t>
      </w:r>
      <w:r>
        <w:t xml:space="preserve"> </w:t>
      </w:r>
      <w:r>
        <w:t xml:space="preserve">schema evolution. UUIDs are larger than integers — acceptable at this</w:t>
      </w:r>
      <w:r>
        <w:t xml:space="preserve"> </w:t>
      </w:r>
      <w:r>
        <w:t xml:space="preserve">scale.</w:t>
      </w:r>
    </w:p>
    <w:p>
      <w:r>
        <w:pict>
          <v:rect style="width:0;height:1.5pt" o:hralign="center" o:hrstd="t" o:hr="t"/>
        </w:pict>
      </w:r>
    </w:p>
    <w:bookmarkEnd w:id="13"/>
    <w:bookmarkStart w:id="14" w:name="adr-006-jsonb-for-localized-tex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ADR-006 — JSONB for localized text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Content (titles, descriptions) must support multiple</w:t>
      </w:r>
      <w:r>
        <w:t xml:space="preserve"> </w:t>
      </w:r>
      <w:r>
        <w:t xml:space="preserve">languages.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Store localized fields as JSONB</w:t>
      </w:r>
      <w:r>
        <w:t xml:space="preserve"> </w:t>
      </w:r>
      <w:r>
        <w:rPr>
          <w:rStyle w:val="VerbatimChar"/>
        </w:rPr>
        <w:t xml:space="preserve">I18nText</w:t>
      </w:r>
      <w:r>
        <w:t xml:space="preserve"> </w:t>
      </w:r>
      <w:r>
        <w:t xml:space="preserve">objects rather</w:t>
      </w:r>
      <w:r>
        <w:t xml:space="preserve"> </w:t>
      </w:r>
      <w:r>
        <w:t xml:space="preserve">than separate translation tables.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Simple reads/writes, no joins for translations.</w:t>
      </w:r>
      <w:r>
        <w:t xml:space="preserve"> </w:t>
      </w:r>
      <w:r>
        <w:t xml:space="preserve">Querying inside translations is less convenient; acceptable because</w:t>
      </w:r>
      <w:r>
        <w:t xml:space="preserve"> </w:t>
      </w:r>
      <w:r>
        <w:t xml:space="preserve">content is read whole.</w:t>
      </w:r>
    </w:p>
    <w:p>
      <w:r>
        <w:pict>
          <v:rect style="width:0;height:1.5pt" o:hralign="center" o:hrstd="t" o:hr="t"/>
        </w:pict>
      </w:r>
    </w:p>
    <w:bookmarkEnd w:id="14"/>
    <w:bookmarkStart w:id="15" w:name="Xfc32ced12d4af9321c7ef7e68f81457584820a6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ADR-007 — Reverse-proxy path mapping (</w:t>
      </w:r>
      <w:r>
        <w:rPr>
          <w:rStyle w:val="VerbatimChar"/>
        </w:rPr>
        <w:t xml:space="preserve">/vfls</w:t>
      </w:r>
      <w:r>
        <w:t xml:space="preserve">,</w:t>
      </w:r>
      <w:r>
        <w:t xml:space="preserve"> </w:t>
      </w:r>
      <w:r>
        <w:rPr>
          <w:rStyle w:val="VerbatimChar"/>
        </w:rPr>
        <w:t xml:space="preserve">/vAdmin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Backend and admin panel must be served from one public</w:t>
      </w:r>
      <w:r>
        <w:t xml:space="preserve"> </w:t>
      </w:r>
      <w:r>
        <w:t xml:space="preserve">host without port exposure.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nginx maps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→ backend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and serves the</w:t>
      </w:r>
      <w:r>
        <w:t xml:space="preserve"> </w:t>
      </w:r>
      <w:r>
        <w:t xml:space="preserve">admin panel under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. The backend internally uses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prefix; the admin panel uses</w:t>
      </w:r>
      <w:r>
        <w:t xml:space="preserve"> </w:t>
      </w:r>
      <w:r>
        <w:rPr>
          <w:rStyle w:val="VerbatimChar"/>
        </w:rPr>
        <w:t xml:space="preserve">basePath: /vAdmin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One TLS endpoint, clean public URLs. Both apps must</w:t>
      </w:r>
      <w:r>
        <w:t xml:space="preserve"> </w:t>
      </w:r>
      <w:r>
        <w:t xml:space="preserve">be configured for their public path; the rewrite is a fixed contract.</w:t>
      </w:r>
    </w:p>
    <w:p>
      <w:r>
        <w:pict>
          <v:rect style="width:0;height:1.5pt" o:hralign="center" o:hrstd="t" o:hr="t"/>
        </w:pict>
      </w:r>
    </w:p>
    <w:bookmarkEnd w:id="15"/>
    <w:bookmarkStart w:id="16" w:name="X8511fe1479bf5d09ff5e8ae2e259bb6b621f647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ADR-008 — Pluggable AI provider with graceful degradation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product depends on an external LLM, which may be</w:t>
      </w:r>
      <w:r>
        <w:t xml:space="preserve"> </w:t>
      </w:r>
      <w:r>
        <w:t xml:space="preserve">unavailable or change vendor.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Abstract the provider behind</w:t>
      </w:r>
      <w:r>
        <w:t xml:space="preserve"> </w:t>
      </w:r>
      <w:r>
        <w:rPr>
          <w:rStyle w:val="VerbatimChar"/>
        </w:rPr>
        <w:t xml:space="preserve">AiProviderFactory</w:t>
      </w:r>
      <w:r>
        <w:t xml:space="preserve"> </w:t>
      </w:r>
      <w:r>
        <w:t xml:space="preserve">(Anthropic or OpenAI-compatible, selected by env). On provider error,</w:t>
      </w:r>
      <w:r>
        <w:t xml:space="preserve"> </w:t>
      </w:r>
      <w:r>
        <w:t xml:space="preserve">return canned fallback replies and fall back to algorithmic grammar</w:t>
      </w:r>
      <w:r>
        <w:t xml:space="preserve"> </w:t>
      </w:r>
      <w:r>
        <w:t xml:space="preserve">scoring. Prompt content lives in editable database templates.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Vendor flexibility; conversations stay usable during</w:t>
      </w:r>
      <w:r>
        <w:t xml:space="preserve"> </w:t>
      </w:r>
      <w:r>
        <w:t xml:space="preserve">outages; prompts tunable without deploys. Fallback output is lower</w:t>
      </w:r>
      <w:r>
        <w:t xml:space="preserve"> </w:t>
      </w:r>
      <w:r>
        <w:t xml:space="preserve">quality — acceptable as a degraded mode.</w:t>
      </w:r>
    </w:p>
    <w:p>
      <w:r>
        <w:pict>
          <v:rect style="width:0;height:1.5pt" o:hralign="center" o:hrstd="t" o:hr="t"/>
        </w:pict>
      </w:r>
    </w:p>
    <w:bookmarkEnd w:id="16"/>
    <w:bookmarkStart w:id="17" w:name="X2fd63793a480c88970e87f36d381148aa1eaa71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ADR-009 — Riverpod + go_router for the Flutter app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app needs testable state management and declarative,</w:t>
      </w:r>
      <w:r>
        <w:t xml:space="preserve"> </w:t>
      </w:r>
      <w:r>
        <w:t xml:space="preserve">guard-aware navigation.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Riverpod for state and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 </w:t>
      </w:r>
      <w:r>
        <w:t xml:space="preserve">for navigation,</w:t>
      </w:r>
      <w:r>
        <w:t xml:space="preserve"> </w:t>
      </w:r>
      <w:r>
        <w:t xml:space="preserve">with a redirect handler enforcing auth, onboarding, and speech-model</w:t>
      </w:r>
      <w:r>
        <w:t xml:space="preserve"> </w:t>
      </w:r>
      <w:r>
        <w:t xml:space="preserve">gates.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Composable, testable providers; centralized routing</w:t>
      </w:r>
      <w:r>
        <w:t xml:space="preserve"> </w:t>
      </w:r>
      <w:r>
        <w:t xml:space="preserve">rules. Team must follow Riverpod conventions consistently.</w:t>
      </w:r>
    </w:p>
    <w:p>
      <w:r>
        <w:pict>
          <v:rect style="width:0;height:1.5pt" o:hralign="center" o:hrstd="t" o:hr="t"/>
        </w:pict>
      </w:r>
    </w:p>
    <w:bookmarkEnd w:id="17"/>
    <w:bookmarkStart w:id="18" w:name="adr-010-drift-sqlite-offline-read-cach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ADR-010 — Drift (SQLite) offline read cache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Learners may use the app with poor or no connectivity.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Cache read-only content (users, scenarios, sessions,</w:t>
      </w:r>
      <w:r>
        <w:t xml:space="preserve"> </w:t>
      </w:r>
      <w:r>
        <w:t xml:space="preserve">messages, progress, settings, layout) in a local Drift SQLite</w:t>
      </w:r>
      <w:r>
        <w:t xml:space="preserve"> </w:t>
      </w:r>
      <w:r>
        <w:t xml:space="preserve">database.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Usable offline read experience; resilience to</w:t>
      </w:r>
      <w:r>
        <w:t xml:space="preserve"> </w:t>
      </w:r>
      <w:r>
        <w:t xml:space="preserve">flaky networks. Cache freshness must be managed; writes still require</w:t>
      </w:r>
      <w:r>
        <w:t xml:space="preserve"> </w:t>
      </w:r>
      <w:r>
        <w:t xml:space="preserve">connectivity.</w:t>
      </w:r>
    </w:p>
    <w:p>
      <w:r>
        <w:pict>
          <v:rect style="width:0;height:1.5pt" o:hralign="center" o:hrstd="t" o:hr="t"/>
        </w:pict>
      </w:r>
    </w:p>
    <w:bookmarkEnd w:id="18"/>
    <w:bookmarkStart w:id="19" w:name="X0810c25f442b37e225f3edeb507f8537a5aa3c4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ADR-011 — Signed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bundles for speech models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Large speech models cannot ship in the app binary and</w:t>
      </w:r>
      <w:r>
        <w:t xml:space="preserve"> </w:t>
      </w:r>
      <w:r>
        <w:t xml:space="preserve">must not be tampered with.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Package models with the DataManage tool into signed,</w:t>
      </w:r>
      <w:r>
        <w:t xml:space="preserve"> </w:t>
      </w:r>
      <w:r>
        <w:t xml:space="preserve">optionally encrypted/compressed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bundles; the app verifies the</w:t>
      </w:r>
      <w:r>
        <w:t xml:space="preserve"> </w:t>
      </w:r>
      <w:r>
        <w:t xml:space="preserve">signature against a pinned root CA before install.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Models are distributed and updated independently and</w:t>
      </w:r>
      <w:r>
        <w:t xml:space="preserve"> </w:t>
      </w:r>
      <w:r>
        <w:t xml:space="preserve">safely. Adds an offline packaging step and a CA-rotation concern.</w:t>
      </w:r>
    </w:p>
    <w:p>
      <w:r>
        <w:pict>
          <v:rect style="width:0;height:1.5pt" o:hralign="center" o:hrstd="t" o:hr="t"/>
        </w:pict>
      </w:r>
    </w:p>
    <w:bookmarkEnd w:id="19"/>
    <w:bookmarkStart w:id="20" w:name="X7e271951026dd472c0a90425e08cece23da5be3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ADR-012 — Reconstructed specifications as a baseline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system was built ahead of formal specifications.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Reconstruct SRS/SDS/Testing and supporting documents from</w:t>
      </w:r>
      <w:r>
        <w:t xml:space="preserve"> </w:t>
      </w:r>
      <w:r>
        <w:t xml:space="preserve">the implemented system as a maintenance and change-control baseline.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A documented baseline exists; future changes can be</w:t>
      </w:r>
      <w:r>
        <w:t xml:space="preserve"> </w:t>
      </w:r>
      <w:r>
        <w:t xml:space="preserve">controlled against it. The documents reflect</w:t>
      </w:r>
      <w:r>
        <w:t xml:space="preserve"> </w:t>
      </w:r>
      <w:r>
        <w:t xml:space="preserve">“as-built”</w:t>
      </w:r>
      <w:r>
        <w:t xml:space="preserve">, not original</w:t>
      </w:r>
      <w:r>
        <w:t xml:space="preserve"> </w:t>
      </w:r>
      <w:r>
        <w:t xml:space="preserve">intent.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Architecture Decision Records.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Architecture Decision Records</dc:title>
  <dc:creator>vLearn2 Engineering</dc:creator>
  <cp:keywords/>
  <dcterms:created xsi:type="dcterms:W3CDTF">2026-05-22T11:22:27Z</dcterms:created>
  <dcterms:modified xsi:type="dcterms:W3CDTF">2026-05-22T11:22:27Z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