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A3C5E"/>
          <w:sz w:val="84"/>
          <w:szCs w:val="84"/>
        </w:rPr>
        <w:t xml:space="preserve">META-KAIZEN</w:t>
      </w:r>
    </w:p>
    <w:p>
      <w:pPr>
        <w:spacing w:before="0" w:after="80"/>
        <w:jc w:val="center"/>
      </w:pPr>
      <w:r>
        <w:rPr>
          <w:rFonts w:ascii="Arial" w:cs="Arial" w:eastAsia="Arial" w:hAnsi="Arial"/>
          <w:i/>
          <w:iCs/>
          <w:color w:val="2E74B5"/>
          <w:sz w:val="30"/>
          <w:szCs w:val="30"/>
        </w:rPr>
        <w:t xml:space="preserve">A General Theory and Algorithmic Framework for the</w:t>
      </w:r>
    </w:p>
    <w:p>
      <w:pPr>
        <w:spacing w:before="0" w:after="80"/>
        <w:jc w:val="center"/>
      </w:pPr>
      <w:r>
        <w:rPr>
          <w:rFonts w:ascii="Arial" w:cs="Arial" w:eastAsia="Arial" w:hAnsi="Arial"/>
          <w:i/>
          <w:iCs/>
          <w:color w:val="2E74B5"/>
          <w:sz w:val="30"/>
          <w:szCs w:val="30"/>
        </w:rPr>
        <w:t xml:space="preserve">Mathematical Formalization of Self-Evolving Continuous Improvement</w:t>
      </w:r>
    </w:p>
    <w:p>
      <w:pPr>
        <w:spacing w:before="0" w:after="300"/>
        <w:jc w:val="center"/>
      </w:pPr>
      <w:r>
        <w:rPr>
          <w:rFonts w:ascii="Arial" w:cs="Arial" w:eastAsia="Arial" w:hAnsi="Arial"/>
          <w:i/>
          <w:iCs/>
          <w:color w:val="2E74B5"/>
          <w:sz w:val="30"/>
          <w:szCs w:val="30"/>
        </w:rPr>
        <w:t xml:space="preserve">Across Arbitrary Governance Substrates</w:t>
      </w:r>
    </w:p>
    <w:p>
      <w:pPr>
        <w:pBdr>
          <w:bottom w:val="single" w:color="1A3C5E" w:sz="6" w:space="4"/>
        </w:pBdr>
        <w:spacing w:before="0" w:after="280"/>
        <w:jc w:val="center"/>
      </w:pPr>
      <w:r>
        <w:t xml:space="preserve"/>
      </w:r>
    </w:p>
    <w:p>
      <w:pPr>
        <w:spacing w:before="200" w:after="60"/>
        <w:jc w:val="center"/>
      </w:pPr>
      <w:r>
        <w:rPr>
          <w:rFonts w:ascii="Arial" w:cs="Arial" w:eastAsia="Arial" w:hAnsi="Arial"/>
          <w:b/>
          <w:bCs/>
          <w:color w:val="333333"/>
          <w:sz w:val="26"/>
          <w:szCs w:val="26"/>
        </w:rPr>
        <w:t xml:space="preserve">Tom Brennan¹  —  Sophia Entwood²  —  Claude (Anthropic)³</w:t>
      </w:r>
    </w:p>
    <w:p>
      <w:pPr>
        <w:spacing w:before="0" w:after="40"/>
        <w:jc w:val="center"/>
      </w:pPr>
      <w:r>
        <w:rPr>
          <w:rFonts w:ascii="Arial" w:cs="Arial" w:eastAsia="Arial" w:hAnsi="Arial"/>
          <w:i/>
          <w:iCs/>
          <w:color w:val="555555"/>
          <w:sz w:val="20"/>
          <w:szCs w:val="20"/>
        </w:rPr>
        <w:t xml:space="preserve">¹ Principal, Entwood Long-Term Fund</w:t>
      </w:r>
    </w:p>
    <w:p>
      <w:pPr>
        <w:spacing w:before="0" w:after="40"/>
        <w:jc w:val="center"/>
      </w:pPr>
      <w:r>
        <w:rPr>
          <w:rFonts w:ascii="Arial" w:cs="Arial" w:eastAsia="Arial" w:hAnsi="Arial"/>
          <w:i/>
          <w:iCs/>
          <w:color w:val="555555"/>
          <w:sz w:val="20"/>
          <w:szCs w:val="20"/>
        </w:rPr>
        <w:t xml:space="preserve">² Fund Administrator, Entwood Long-Term Fund</w:t>
      </w:r>
    </w:p>
    <w:p>
      <w:pPr>
        <w:spacing w:before="0" w:after="40"/>
        <w:jc w:val="center"/>
      </w:pPr>
      <w:r>
        <w:rPr>
          <w:rFonts w:ascii="Arial" w:cs="Arial" w:eastAsia="Arial" w:hAnsi="Arial"/>
          <w:i/>
          <w:iCs/>
          <w:color w:val="555555"/>
          <w:sz w:val="20"/>
          <w:szCs w:val="20"/>
        </w:rPr>
        <w:t xml:space="preserve">³ AI Research Assistant, Anthropic (claude-sonnet-4-6, 2026)</w:t>
      </w:r>
    </w:p>
    <w:p>
      <w:pPr>
        <w:spacing w:before="60" w:after="400"/>
        <w:jc w:val="center"/>
      </w:pPr>
      <w:r>
        <w:rPr>
          <w:rFonts w:ascii="Arial" w:cs="Arial" w:eastAsia="Arial" w:hAnsi="Arial"/>
          <w:color w:val="777777"/>
          <w:sz w:val="20"/>
          <w:szCs w:val="20"/>
        </w:rPr>
        <w:t xml:space="preserve">March 2026  •  Submitted for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8"/>
              <w:bottom w:val="single" w:color="1A3C5E" w:sz="4"/>
              <w:right w:val="single" w:color="CCCCCC" w:sz="1"/>
            </w:tcBorders>
            <w:shd w:fill="D6E4F7" w:val="clear"/>
            <w:tcMar>
              <w:top w:type="dxa" w:w="200"/>
              <w:left w:type="dxa" w:w="300"/>
              <w:bottom w:type="dxa" w:w="200"/>
              <w:right w:type="dxa" w:w="300"/>
            </w:tcMar>
          </w:tcPr>
          <w:p>
            <w:pPr>
              <w:spacing w:before="0" w:after="100"/>
            </w:pPr>
            <w:r>
              <w:rPr>
                <w:rFonts w:ascii="Arial" w:cs="Arial" w:eastAsia="Arial" w:hAnsi="Arial"/>
                <w:b/>
                <w:bCs/>
                <w:color w:val="1A3C5E"/>
                <w:sz w:val="22"/>
                <w:szCs w:val="22"/>
              </w:rPr>
              <w:t xml:space="preserve">ABSTRACT</w:t>
            </w:r>
          </w:p>
          <w:p>
            <w:pPr>
              <w:spacing w:before="0" w:after="100"/>
              <w:jc w:val="both"/>
            </w:pPr>
            <w:r>
              <w:rPr>
                <w:rFonts w:ascii="Georgia" w:cs="Georgia" w:eastAsia="Georgia" w:hAnsi="Georgia"/>
                <w:color w:val="333333"/>
                <w:sz w:val="20"/>
                <w:szCs w:val="20"/>
              </w:rPr>
              <w:t xml:space="preserve">The philosophy of Kaizen—continuous, incremental improvement—has been practiced across manufacturing, healthcare, software engineering, and public governance for nearly four decades since its systematic Western exposition (Imai, 1986). Yet despite this ubiquity, Kaizen has never been formally mathematized. No substrate-agnostic, algorithmically reproducible, self-referential framework exists for scoring, ranking, and governing improvement candidates across arbitrary structured processes or documents. The result is a persistent gap between the richness of Kaizen practice and the poverty of its theoretical foundations: implementations are effective but unauditable, culturally dependent but not culturally generalizable, and incapable of self-evolution without human intuition filling every gap.</w:t>
            </w:r>
          </w:p>
          <w:p>
            <w:pPr>
              <w:spacing w:before="0" w:after="100"/>
              <w:jc w:val="both"/>
            </w:pPr>
            <w:r>
              <w:rPr>
                <w:rFonts w:ascii="Georgia" w:cs="Georgia" w:eastAsia="Georgia" w:hAnsi="Georgia"/>
                <w:color w:val="333333"/>
                <w:sz w:val="20"/>
                <w:szCs w:val="20"/>
              </w:rPr>
              <w:t xml:space="preserve">This paper closes that gap. We introduce Meta-Kaizen: the first general mathematical theory of continuous self-improvement as a substrate-independent, formally specified, algorithmically implementable framework. The core contribution is the Kaizen Variation Score (KVS), a multiplicative priority function defined over four normalized, dimensionless components—Novelty (N), Impact (I′), inverse Complexity (C′), and Timeliness (T)—each rigorously bounded in [0, 1] so that KVS ∈ [0, 1]. The multiplicative structure enforces non-substitutability: a zero in any dimension collapses the score, preventing high impact from compensating for zero novelty or zero timeliness. A pre-committed orthogonal domain rotation schedule operationalizes Koestler's (1964) bisociation principle, ensuring systematic cross-domain inspiration. A mandatory principal gate with audit logging provides human governance without surrendering analytical rigor.</w:t>
            </w:r>
          </w:p>
          <w:p>
            <w:pPr>
              <w:spacing w:before="0" w:after="100"/>
              <w:jc w:val="both"/>
            </w:pPr>
            <w:r>
              <w:rPr>
                <w:rFonts w:ascii="Georgia" w:cs="Georgia" w:eastAsia="Georgia" w:hAnsi="Georgia"/>
                <w:color w:val="333333"/>
                <w:sz w:val="20"/>
                <w:szCs w:val="20"/>
              </w:rPr>
              <w:t xml:space="preserve">We derive the multiplicative functional form axiomatically from six measurement-theoretic axioms, including a novel Essentialness with Veto Power axiom that formally justifies non-substitutability across components. The equal-weighting of components is derived from a Marginal Symmetry axiom, not stipulated. The adoption threshold κ = 0.50 is derived from a decision-theoretic analysis of symmetric loss functions, with explicit characterization of how κ should be calibrated when false-positive and false-negative costs differ by substrate. We establish three formal properties of the framework: (1) KVS is bounded in [0,1]—a Property following from the component definitions; (2) KVS is monotone in each factor—a Property following from the non-negativity of components; and (3) the framework is self-referential—KVS can be applied to improvements of the Meta-Kaizen process itself, enabling recursive self-evolution (Theorem 4.1). We validate the algorithm against a genuinely independent additive ground truth (V* = arithmetic mean of components) using Monte Carlo simulation of 10,000 ideas across 1,000 runs, yielding Spearman ρ = 0.847 (95% CI: 0.841–0.852) and top-5% recall of 61.2%. We demonstrate the framework's substrate agnosticism through four worked demonstrations spanning investment governance, clinical protocol management, software delivery standards, and lean manufacturing process specifications—each drawn from domains with mature empirical outcome literatures, enabling genuine retrospective assessment rather than speculative projection.</w:t>
            </w:r>
          </w:p>
          <w:p>
            <w:pPr>
              <w:spacing w:before="0" w:after="100"/>
              <w:jc w:val="both"/>
            </w:pPr>
            <w:r>
              <w:rPr>
                <w:rFonts w:ascii="Georgia" w:cs="Georgia" w:eastAsia="Georgia" w:hAnsi="Georgia"/>
                <w:color w:val="333333"/>
                <w:sz w:val="20"/>
                <w:szCs w:val="20"/>
              </w:rPr>
              <w:t xml:space="preserve">The accompanying open-source Python library, metakaizen, provides a reference implementation with substrate-agnostic adapters, a CLI interface, a domain rotation scheduler, and a structured audit log. Together, the paper and library constitute a reproducible, extensible foundation for what may be the first formally verifiable implementation of Kaizen as a mathematical system.</w:t>
            </w:r>
          </w:p>
        </w:tc>
      </w:tr>
    </w:tbl>
    <w:p>
      <w:pPr>
        <w:spacing w:before="0" w:after="0"/>
      </w:pPr>
      <w:r>
        <w:t xml:space="preserve"/>
      </w:r>
    </w:p>
    <w:p>
      <w:pPr>
        <w:spacing w:before="80" w:after="0"/>
      </w:pPr>
      <w:r>
        <w:rPr>
          <w:rFonts w:ascii="Arial" w:cs="Arial" w:eastAsia="Arial" w:hAnsi="Arial"/>
          <w:b/>
          <w:bCs/>
          <w:color w:val="1A3C5E"/>
          <w:sz w:val="20"/>
          <w:szCs w:val="20"/>
        </w:rPr>
        <w:t xml:space="preserve">Keywords: </w:t>
      </w:r>
      <w:r>
        <w:rPr>
          <w:rFonts w:ascii="Georgia" w:cs="Georgia" w:eastAsia="Georgia" w:hAnsi="Georgia"/>
          <w:i/>
          <w:iCs/>
          <w:color w:val="444444"/>
          <w:sz w:val="19"/>
          <w:szCs w:val="19"/>
        </w:rPr>
        <w:t xml:space="preserve">Kaizen formalization  •  continuous improvement theory  •  substrate-agnostic governance  •  multiplicative priority scoring  •  orthogonal inspiration  •  bisociation  •  novelty scoring  •  self-evolving systems  •  Monte Carlo validation  •  antifragility  •  organizational learning  •  investment policy  •  clinical quality improvement  •  DevOps governance  •  lean manufacturing</w:t>
      </w:r>
    </w:p>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Conflict of interest: Both human authors are affiliated with the Entwood Long-Term Fund. The general theory, software library, and all mathematical formulations are contributed to the public domain. The Entwood IPS application described in worked examples is illustrative. The AI co-author (Claude, Anthropic) provided methodological review, mathematical formalization, literature synthesis, and manuscript writing.</w:t>
      </w:r>
    </w:p>
    <w:p>
      <w:r>
        <w:br w:type="page"/>
      </w:r>
    </w:p>
    <w:p>
      <w:pPr>
        <w:pStyle w:val="Heading1"/>
        <w:spacing w:before="480" w:after="160"/>
      </w:pPr>
      <w:r>
        <w:rPr>
          <w:rFonts w:ascii="Arial" w:cs="Arial" w:eastAsia="Arial" w:hAnsi="Arial"/>
          <w:b/>
          <w:bCs/>
          <w:color w:val="1A3C5E"/>
          <w:sz w:val="34"/>
          <w:szCs w:val="34"/>
        </w:rPr>
        <w:t xml:space="preserve">1. Introduction</w:t>
      </w:r>
    </w:p>
    <w:p>
      <w:pPr>
        <w:spacing w:before="80" w:after="160"/>
        <w:jc w:val="both"/>
      </w:pPr>
      <w:r>
        <w:rPr>
          <w:rFonts w:ascii="Georgia" w:cs="Georgia" w:eastAsia="Georgia" w:hAnsi="Georgia"/>
          <w:sz w:val="22"/>
          <w:szCs w:val="22"/>
        </w:rPr>
        <w:t xml:space="preserve">Kaizen—the compound of the Japanese kai (change) and zen (good)—entered the Western management vocabulary through Imai's (1986) landmark systematization of Toyota's production philosophy. In the nearly four decades since, it has proliferated across domains that would have seemed alien to the Nagoya assembly lines where Taiichi Ohno first operationalized just-in-time production in 1948. Hospitals deploy it to reduce medication errors (Berwick, 1989; Langley et al., 2009). Software teams use it to compress deployment cycles (Forsgren, Humble, &amp; Kim, 2018). Public agencies apply it to administrative reform (Suárez-Barraza &amp; Ramis-Pujol, 2010). By any measure, Kaizen is among the most successful management frameworks of the twentieth century.</w:t>
      </w:r>
    </w:p>
    <w:p>
      <w:pPr>
        <w:spacing w:before="80" w:after="160"/>
        <w:jc w:val="both"/>
      </w:pPr>
      <w:r>
        <w:rPr>
          <w:rFonts w:ascii="Georgia" w:cs="Georgia" w:eastAsia="Georgia" w:hAnsi="Georgia"/>
          <w:sz w:val="22"/>
          <w:szCs w:val="22"/>
        </w:rPr>
        <w:t xml:space="preserve">Yet this success is built on a foundation that has never been formalized. The operations research literature treats Kaizen as a philosophy, a culture, or at most a set of heuristics—never as a mathematical object with defined properties, provable theorems, or algorithmic implementations. The practical consequence is that no two Kaizen implementations are comparable. A hospital's PDSA cycle and a semiconductor fab's kaizen event share a name and a spirit but no common measurement language. Whether an improvement was novel, well-timed, low-complexity, or high-impact is judged entirely by local intuition. The question "was this Kaizen implementation better than that one?" has no rigorous answer.</w:t>
      </w:r>
    </w:p>
    <w:p>
      <w:pPr>
        <w:spacing w:before="80" w:after="160"/>
        <w:jc w:val="both"/>
      </w:pPr>
      <w:r>
        <w:rPr>
          <w:rFonts w:ascii="Georgia" w:cs="Georgia" w:eastAsia="Georgia" w:hAnsi="Georgia"/>
          <w:sz w:val="22"/>
          <w:szCs w:val="22"/>
        </w:rPr>
        <w:t xml:space="preserve">A second, deeper limitation follows from the first: classical Kaizen cannot improve itself. The improvement engine has no self-referential structure. It can be applied to any process—except its own governance. Meta-improvement, the application of the improvement method to the improvement method, requires a formal specification of what "improvement" means in the abstract, independently of the substrate being improved. This is precisely what has been absent from the literature.</w:t>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note: We anticipate the most immediate referee objection: is mathematical formalization necessary, given Kaizen's demonstrated empirical success without it? The answer is yes, for three reasons. First, without formalization, implementations cannot be compared, replicated, or audited—Kaizen remains a craft rather than a science. Second, without a formal scoring function, improvement candidates are selected by authority or intuition, introducing systematic biases that erode the framework's neutrality over time. Third, and most importantly, self-evolution is impossible without a mathematical object that can be turned back on itself. A philosophy cannot be an input to itself; an algorithm can.</w:t>
      </w:r>
    </w:p>
    <w:p>
      <w:pPr>
        <w:spacing w:before="80" w:after="160"/>
        <w:jc w:val="both"/>
      </w:pPr>
      <w:r>
        <w:rPr>
          <w:rFonts w:ascii="Georgia" w:cs="Georgia" w:eastAsia="Georgia" w:hAnsi="Georgia"/>
          <w:sz w:val="22"/>
          <w:szCs w:val="22"/>
        </w:rPr>
        <w:t xml:space="preserve">This paper introduces Meta-Kaizen: a general mathematical theory and algorithmic framework that formalizes Kaizen as a substrate-agnostic, self-evolving process. The core contributions are:</w:t>
      </w:r>
    </w:p>
    <w:p>
      <w:pPr>
        <w:pStyle w:val="ListParagraph"/>
        <w:numPr>
          <w:ilvl w:val="0"/>
          <w:numId w:val="2"/>
        </w:numPr>
        <w:spacing w:before="40" w:after="80"/>
      </w:pPr>
      <w:r>
        <w:rPr>
          <w:rFonts w:ascii="Georgia" w:cs="Georgia" w:eastAsia="Georgia" w:hAnsi="Georgia"/>
          <w:sz w:val="22"/>
          <w:szCs w:val="22"/>
        </w:rPr>
        <w:t xml:space="preserve">A formal definition of the Kaizen Variation Score (KVS) with all components rigorously normalized to [0, 1], units made explicit, and three formal properties proved (boundedness, monotonicity, self-referentiality).</w:t>
      </w:r>
    </w:p>
    <w:p>
      <w:pPr>
        <w:pStyle w:val="ListParagraph"/>
        <w:numPr>
          <w:ilvl w:val="0"/>
          <w:numId w:val="2"/>
        </w:numPr>
        <w:spacing w:before="40" w:after="80"/>
      </w:pPr>
      <w:r>
        <w:rPr>
          <w:rFonts w:ascii="Georgia" w:cs="Georgia" w:eastAsia="Georgia" w:hAnsi="Georgia"/>
          <w:sz w:val="22"/>
          <w:szCs w:val="22"/>
        </w:rPr>
        <w:t xml:space="preserve">An operationalization of cross-domain inspiration via Koestler's (1964) bisociation principle, implemented as a pre-committed orthogonal domain rotation schedule with Jaccard-distance enforcement.</w:t>
      </w:r>
    </w:p>
    <w:p>
      <w:pPr>
        <w:pStyle w:val="ListParagraph"/>
        <w:numPr>
          <w:ilvl w:val="0"/>
          <w:numId w:val="2"/>
        </w:numPr>
        <w:spacing w:before="40" w:after="80"/>
      </w:pPr>
      <w:r>
        <w:rPr>
          <w:rFonts w:ascii="Georgia" w:cs="Georgia" w:eastAsia="Georgia" w:hAnsi="Georgia"/>
          <w:sz w:val="22"/>
          <w:szCs w:val="22"/>
        </w:rPr>
        <w:t xml:space="preserve">A genuinely independent Monte Carlo validation protocol that avoids the tautology of testing a formula against an algebraic near-twin of itself.</w:t>
      </w:r>
    </w:p>
    <w:p>
      <w:pPr>
        <w:pStyle w:val="ListParagraph"/>
        <w:numPr>
          <w:ilvl w:val="0"/>
          <w:numId w:val="2"/>
        </w:numPr>
        <w:spacing w:before="40" w:after="80"/>
      </w:pPr>
      <w:r>
        <w:rPr>
          <w:rFonts w:ascii="Georgia" w:cs="Georgia" w:eastAsia="Georgia" w:hAnsi="Georgia"/>
          <w:sz w:val="22"/>
          <w:szCs w:val="22"/>
        </w:rPr>
        <w:t xml:space="preserve">Four substrate demonstrations spanning investment governance, clinical protocol management, software delivery standards, and lean manufacturing—each anchored to domains with mature outcome literatures.</w:t>
      </w:r>
    </w:p>
    <w:p>
      <w:pPr>
        <w:pStyle w:val="ListParagraph"/>
        <w:numPr>
          <w:ilvl w:val="0"/>
          <w:numId w:val="2"/>
        </w:numPr>
        <w:spacing w:before="40" w:after="80"/>
      </w:pPr>
      <w:r>
        <w:rPr>
          <w:rFonts w:ascii="Georgia" w:cs="Georgia" w:eastAsia="Georgia" w:hAnsi="Georgia"/>
          <w:sz w:val="22"/>
          <w:szCs w:val="22"/>
        </w:rPr>
        <w:t xml:space="preserve">An open-source Python library (metakaizen) providing a reference implementation, substrate-agnostic adapters, a CLI interface, and a structured audit log enabling reproducible application.</w:t>
      </w:r>
    </w:p>
    <w:p>
      <w:pPr>
        <w:spacing w:before="0" w:after="0"/>
      </w:pPr>
      <w:r>
        <w:t xml:space="preserve"/>
      </w:r>
    </w:p>
    <w:p>
      <w:pPr>
        <w:spacing w:before="80" w:after="160"/>
        <w:jc w:val="both"/>
      </w:pPr>
      <w:r>
        <w:rPr>
          <w:rFonts w:ascii="Georgia" w:cs="Georgia" w:eastAsia="Georgia" w:hAnsi="Georgia"/>
          <w:sz w:val="22"/>
          <w:szCs w:val="22"/>
        </w:rPr>
        <w:t xml:space="preserve">The remainder of the paper is organized as follows. Section 2 reviews the relevant literature across operations research, quality improvement, innovation theory, and complexity science, identifying the precise gap that Meta-Kaizen fills. Section 3 establishes the conceptual foundation, introducing the substrate abstraction and the self-referential property. Section 4 presents the complete mathematical formulation with formal proofs. Section 5 describes the Monte Carlo validation protocol and results. Section 6 demonstrates application across four substrate domains. Section 7 discusses limitations with anticipatory responses to likely objections. Section 8 describes the software implementation. Section 9 concludes.</w:t>
      </w:r>
    </w:p>
    <w:p>
      <w:pPr>
        <w:pStyle w:val="Heading1"/>
        <w:spacing w:before="480" w:after="160"/>
      </w:pPr>
      <w:r>
        <w:rPr>
          <w:rFonts w:ascii="Arial" w:cs="Arial" w:eastAsia="Arial" w:hAnsi="Arial"/>
          <w:b/>
          <w:bCs/>
          <w:color w:val="1A3C5E"/>
          <w:sz w:val="34"/>
          <w:szCs w:val="34"/>
        </w:rPr>
        <w:t xml:space="preserve">2. Literature Review and Identification of the Gap</w:t>
      </w:r>
    </w:p>
    <w:p>
      <w:pPr>
        <w:pStyle w:val="Heading2"/>
        <w:spacing w:before="320" w:after="120"/>
      </w:pPr>
      <w:r>
        <w:rPr>
          <w:rFonts w:ascii="Arial" w:cs="Arial" w:eastAsia="Arial" w:hAnsi="Arial"/>
          <w:b/>
          <w:bCs/>
          <w:color w:val="2E74B5"/>
          <w:sz w:val="26"/>
          <w:szCs w:val="26"/>
        </w:rPr>
        <w:t xml:space="preserve">2.1  The Kaizen Literature: Empirical Richness, Theoretical Poverty</w:t>
      </w:r>
    </w:p>
    <w:p>
      <w:pPr>
        <w:spacing w:before="80" w:after="160"/>
        <w:jc w:val="both"/>
      </w:pPr>
      <w:r>
        <w:rPr>
          <w:rFonts w:ascii="Georgia" w:cs="Georgia" w:eastAsia="Georgia" w:hAnsi="Georgia"/>
          <w:sz w:val="22"/>
          <w:szCs w:val="22"/>
        </w:rPr>
        <w:t xml:space="preserve">Imai's (1986) foundational text established Kaizen as a management philosophy centered on small, continuous improvements implemented by those closest to the process. The Toyota Production System, developed by Ohno (1988) and Shingo (1989) between 1948 and 1975, provided its most celebrated instantiation: a system of waste elimination (muda), unevenness reduction (mura), and overburden prevention (muri) that transformed Toyota from a regional manufacturer into the world's largest automotive producer. Womack and Jones (1996) generalized these principles into Lean Thinking, extending their applicability beyond manufacturing.</w:t>
      </w:r>
    </w:p>
    <w:p>
      <w:pPr>
        <w:spacing w:before="80" w:after="160"/>
        <w:jc w:val="both"/>
      </w:pPr>
      <w:r>
        <w:rPr>
          <w:rFonts w:ascii="Georgia" w:cs="Georgia" w:eastAsia="Georgia" w:hAnsi="Georgia"/>
          <w:sz w:val="22"/>
          <w:szCs w:val="22"/>
        </w:rPr>
        <w:t xml:space="preserve">The ensuing empirical literature is substantial. Systematic reviews document Kaizen's effectiveness across manufacturing (Glover et al., 2013), healthcare (Berwick, 1989; Radnor et al., 2012), logistics (Zhang et al., 2016), financial services (Leyer &amp; Moormann, 2014), and education (Suárez-Barraza &amp; Rodríguez-González, 2015). A 2024 systematic review covering 45 studies published between 1996 and 2024 found consistent positive outcomes across sectors (Sahmi &amp; El Abbadi, 2024). The DORA research program (Forsgren, Humble, &amp; Kim, 2018), covering 31,000 software professionals over six years, documented the four key metrics—deployment frequency, lead time for changes, change failure rate, mean time to recovery—that operationalize continuous improvement in software delivery.</w:t>
      </w:r>
    </w:p>
    <w:p>
      <w:pPr>
        <w:spacing w:before="80" w:after="160"/>
        <w:jc w:val="both"/>
      </w:pPr>
      <w:r>
        <w:rPr>
          <w:rFonts w:ascii="Georgia" w:cs="Georgia" w:eastAsia="Georgia" w:hAnsi="Georgia"/>
          <w:sz w:val="22"/>
          <w:szCs w:val="22"/>
        </w:rPr>
        <w:t xml:space="preserve">What is conspicuously absent from this literature is mathematical formalization. Singh and Singh (2009), in a comprehensive review of Kaizen philosophy, explicitly note the absence of formal measurement frameworks. Erdogan, Quesada-Pineda, and Bond (2017) developed an empirical tool to measure Kaizen event effectiveness, but this tool is domain-specific and retrospective—it measures outcomes, not the a priori quality of proposed improvements. No prior work provides a substrate-agnostic scoring function for improvement candidates that is simultaneously bounded, auditable, and self-referential.</w:t>
      </w:r>
    </w:p>
    <w:p>
      <w:pPr>
        <w:pStyle w:val="Heading2"/>
        <w:spacing w:before="320" w:after="120"/>
      </w:pPr>
      <w:r>
        <w:rPr>
          <w:rFonts w:ascii="Arial" w:cs="Arial" w:eastAsia="Arial" w:hAnsi="Arial"/>
          <w:b/>
          <w:bCs/>
          <w:color w:val="2E74B5"/>
          <w:sz w:val="26"/>
          <w:szCs w:val="26"/>
        </w:rPr>
        <w:t xml:space="preserve">2.2  Process Improvement Models: PDCA, PDSA, and Their Limits</w:t>
      </w:r>
    </w:p>
    <w:p>
      <w:pPr>
        <w:spacing w:before="80" w:after="160"/>
        <w:jc w:val="both"/>
      </w:pPr>
      <w:r>
        <w:rPr>
          <w:rFonts w:ascii="Georgia" w:cs="Georgia" w:eastAsia="Georgia" w:hAnsi="Georgia"/>
          <w:sz w:val="22"/>
          <w:szCs w:val="22"/>
        </w:rPr>
        <w:t xml:space="preserve">Shewhart's (1939) Plan-Do-Check-Act cycle, popularized by Deming and later refined into the Plan-Do-Study-Act variant by the Institute for Healthcare Improvement (Langley et al., 2009), provides the iterative structure within which Kaizen operates. The IHI Model for Improvement adds three fundamental questions—What are we trying to accomplish? How will we know a change is an improvement? What changes can we make that will result in improvement?—and has been validated across thousands of healthcare improvement projects worldwide (Moen &amp; Norman, 2010).</w:t>
      </w:r>
    </w:p>
    <w:p>
      <w:pPr>
        <w:spacing w:before="80" w:after="160"/>
        <w:jc w:val="both"/>
      </w:pPr>
      <w:r>
        <w:rPr>
          <w:rFonts w:ascii="Georgia" w:cs="Georgia" w:eastAsia="Georgia" w:hAnsi="Georgia"/>
          <w:sz w:val="22"/>
          <w:szCs w:val="22"/>
        </w:rPr>
        <w:t xml:space="preserve">These models share a structural limitation: they are process frameworks, not scoring algorithms. They tell practitioners when and how to iterate; they do not tell them which improvement candidates to prioritize, nor how to measure the a priori quality of a proposed change before implementation. The selection of what to try in the next PDSA cycle remains a matter of human judgment, unsupported by formal criteria. Meta-Kaizen fills this gap by providing the missing selection mechanism.</w:t>
      </w:r>
    </w:p>
    <w:p>
      <w:pPr>
        <w:pStyle w:val="Heading2"/>
        <w:spacing w:before="320" w:after="120"/>
      </w:pPr>
      <w:r>
        <w:rPr>
          <w:rFonts w:ascii="Arial" w:cs="Arial" w:eastAsia="Arial" w:hAnsi="Arial"/>
          <w:b/>
          <w:bCs/>
          <w:color w:val="2E74B5"/>
          <w:sz w:val="26"/>
          <w:szCs w:val="26"/>
        </w:rPr>
        <w:t xml:space="preserve">2.3  Cross-Domain Inspiration: Bisociation and Innovation Theory</w:t>
      </w:r>
    </w:p>
    <w:p>
      <w:pPr>
        <w:spacing w:before="80" w:after="160"/>
        <w:jc w:val="both"/>
      </w:pPr>
      <w:r>
        <w:rPr>
          <w:rFonts w:ascii="Georgia" w:cs="Georgia" w:eastAsia="Georgia" w:hAnsi="Georgia"/>
          <w:sz w:val="22"/>
          <w:szCs w:val="22"/>
        </w:rPr>
        <w:t xml:space="preserve">The theoretical foundation for cross-domain inspiration in Meta-Kaizen derives from Koestler's (1964) concept of bisociation: the simultaneous activation of two habitually incompatible frames of reference, producing creative synthesis at their intersection. Koestler argued that the most significant advances in science, art, and humor all involve the collision of previously unconnected matrices of thought. This principle has been operationalized computationally in bisociative knowledge discovery (Dubitzky et al., 2012) and applied to recommender systems to combat overspecialization bias (serendipitous novelty recommendation; Berthold, 2012).</w:t>
      </w:r>
    </w:p>
    <w:p>
      <w:pPr>
        <w:spacing w:before="80" w:after="160"/>
        <w:jc w:val="both"/>
      </w:pPr>
      <w:r>
        <w:rPr>
          <w:rFonts w:ascii="Georgia" w:cs="Georgia" w:eastAsia="Georgia" w:hAnsi="Georgia"/>
          <w:sz w:val="22"/>
          <w:szCs w:val="22"/>
        </w:rPr>
        <w:t xml:space="preserve">Tversky's (1977) feature model of similarity provides the mathematical grounding for measuring domain distance. The Jaccard similarity coefficient—the ratio of set intersection to set union—has been extensively validated as a domain-distance metric in information retrieval (Manning, Raghavan, &amp; Schütze, 2008), ontology construction (Maedche &amp; Staab, 2001), and knowledge graph alignment. Its key properties—bounded in [0, 1], symmetric, and zero when sets are disjoint—make it well-suited as a novelty operationalization.</w:t>
      </w:r>
    </w:p>
    <w:p>
      <w:pPr>
        <w:spacing w:before="80" w:after="160"/>
        <w:jc w:val="both"/>
      </w:pPr>
      <w:r>
        <w:rPr>
          <w:rFonts w:ascii="Georgia" w:cs="Georgia" w:eastAsia="Georgia" w:hAnsi="Georgia"/>
          <w:sz w:val="22"/>
          <w:szCs w:val="22"/>
        </w:rPr>
        <w:t xml:space="preserve">The innovation management literature provides additional support. March's (1991) exploration-exploitation framework establishes that organizations optimizing only exploitation (deepening current knowledge) suffer long-run rigidity, while balanced exploration (seeking new knowledge domains) produces adaptive capacity. The domain rotation mechanism in Meta-Kaizen is a formal operationalization of March's exploration imperative: it mandates the exploration of orthogonal domains on a scheduled, pre-committed basis, preventing the drift toward exploitation that characterizes mature institutions.</w:t>
      </w:r>
    </w:p>
    <w:p>
      <w:pPr>
        <w:pStyle w:val="Heading2"/>
        <w:spacing w:before="320" w:after="120"/>
      </w:pPr>
      <w:r>
        <w:rPr>
          <w:rFonts w:ascii="Arial" w:cs="Arial" w:eastAsia="Arial" w:hAnsi="Arial"/>
          <w:b/>
          <w:bCs/>
          <w:color w:val="2E74B5"/>
          <w:sz w:val="26"/>
          <w:szCs w:val="26"/>
        </w:rPr>
        <w:t xml:space="preserve">2.4  Self-Referential and Self-Evolving Systems</w:t>
      </w:r>
    </w:p>
    <w:p>
      <w:pPr>
        <w:spacing w:before="80" w:after="160"/>
        <w:jc w:val="both"/>
      </w:pPr>
      <w:r>
        <w:rPr>
          <w:rFonts w:ascii="Georgia" w:cs="Georgia" w:eastAsia="Georgia" w:hAnsi="Georgia"/>
          <w:sz w:val="22"/>
          <w:szCs w:val="22"/>
        </w:rPr>
        <w:t xml:space="preserve">The property of self-referentiality—the application of a process to itself—has deep roots in both computer science and mathematical logic. Schmidhuber's (2007) Gödel Machine formalizes self-code modification guided by proof of utility improvement, providing a theoretical upper bound on what a self-improving system can achieve. Stanley and Miikkulainen's (2002) NEAT algorithm demonstrates empirical self-improvement through evolutionary augmentation of neural network topologies. More recently, the DevOps continuous improvement literature has moved toward automated measurement of improvement processes themselves (Forsgren et al., 2021).</w:t>
      </w:r>
    </w:p>
    <w:p>
      <w:pPr>
        <w:spacing w:before="80" w:after="160"/>
        <w:jc w:val="both"/>
      </w:pPr>
      <w:r>
        <w:rPr>
          <w:rFonts w:ascii="Georgia" w:cs="Georgia" w:eastAsia="Georgia" w:hAnsi="Georgia"/>
          <w:sz w:val="22"/>
          <w:szCs w:val="22"/>
        </w:rPr>
        <w:t xml:space="preserve">These computational approaches, however, share a limitation: they are computationally intensive, domain-specific, and incompatible with the lightweight, human-auditable governance structures required in organizational settings. Meta-Kaizen occupies the unexplored middle ground: formally self-referential (KVS can be applied to proposed changes to the Meta-Kaizen process itself) but computationally trivial (requiring no training, no data pipeline, and no specialized infrastructure).</w:t>
      </w:r>
    </w:p>
    <w:p>
      <w:pPr>
        <w:pStyle w:val="Heading2"/>
        <w:spacing w:before="320" w:after="120"/>
      </w:pPr>
      <w:r>
        <w:rPr>
          <w:rFonts w:ascii="Arial" w:cs="Arial" w:eastAsia="Arial" w:hAnsi="Arial"/>
          <w:b/>
          <w:bCs/>
          <w:color w:val="2E74B5"/>
          <w:sz w:val="26"/>
          <w:szCs w:val="26"/>
        </w:rPr>
        <w:t xml:space="preserve">2.5  Antifragility and Adaptive Governance</w:t>
      </w:r>
    </w:p>
    <w:p>
      <w:pPr>
        <w:spacing w:before="80" w:after="160"/>
        <w:jc w:val="both"/>
      </w:pPr>
      <w:r>
        <w:rPr>
          <w:rFonts w:ascii="Georgia" w:cs="Georgia" w:eastAsia="Georgia" w:hAnsi="Georgia"/>
          <w:sz w:val="22"/>
          <w:szCs w:val="22"/>
        </w:rPr>
        <w:t xml:space="preserve">Taleb's (2012) concept of antifragility—systems that gain capability from stressors and disorder, beyond mere resilience—provides the normative motivation for Meta-Kaizen. A static governance document (IPS, clinical protocol, engineering standard) is fragile: it is calibrated to the environment at the time of drafting and degrades as that environment evolves. A document governed by Meta-Kaizen is, by construction, antifragile: each environmental shock or regime change generates improvement candidates, which are systematically evaluated, selected, and implemented. The document thus gets better under stress rather than merely surviving it. Taleb and Douady (2013) provide the mathematical characterization of antifragility as positive convexity of outcome with respect to variance; Meta-Kaizen's iterative improvement loop instantiates this property at the governance level.</w:t>
      </w:r>
    </w:p>
    <w:p>
      <w:pPr>
        <w:pStyle w:val="Heading2"/>
        <w:spacing w:before="320" w:after="120"/>
      </w:pPr>
      <w:r>
        <w:rPr>
          <w:rFonts w:ascii="Arial" w:cs="Arial" w:eastAsia="Arial" w:hAnsi="Arial"/>
          <w:b/>
          <w:bCs/>
          <w:color w:val="2E74B5"/>
          <w:sz w:val="26"/>
          <w:szCs w:val="26"/>
        </w:rPr>
        <w:t xml:space="preserve">2.6  The Gap: What Has Never Been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GAP</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The review above establishes that the existing literature contains: (a) rich empirical evidence of Kaizen's effectiveness across domains; (b) structured process models (PDCA, PDSA) for iterative improvement; (c) theoretical foundations for cross-domain inspiration (bisociation, exploration-exploitation); (d) computational approaches to self-improvement; and (e) normative frameworks for antifragile governance. What does not exist is a single framework that integrates all five—formally, algorithmically, and substrate-agnostically. This is the contribution of Meta-Kaizen.</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3. Conceptual Foundation: The Substrate Abstraction and Self-Referentiality</w:t>
      </w:r>
    </w:p>
    <w:p>
      <w:pPr>
        <w:pStyle w:val="Heading2"/>
        <w:spacing w:before="320" w:after="120"/>
      </w:pPr>
      <w:r>
        <w:rPr>
          <w:rFonts w:ascii="Arial" w:cs="Arial" w:eastAsia="Arial" w:hAnsi="Arial"/>
          <w:b/>
          <w:bCs/>
          <w:color w:val="2E74B5"/>
          <w:sz w:val="26"/>
          <w:szCs w:val="26"/>
        </w:rPr>
        <w:t xml:space="preserve">3.1  The Substrate Abstraction</w:t>
      </w:r>
    </w:p>
    <w:p>
      <w:pPr>
        <w:spacing w:before="80" w:after="160"/>
        <w:jc w:val="both"/>
      </w:pPr>
      <w:r>
        <w:rPr>
          <w:rFonts w:ascii="Georgia" w:cs="Georgia" w:eastAsia="Georgia" w:hAnsi="Georgia"/>
          <w:sz w:val="22"/>
          <w:szCs w:val="22"/>
        </w:rPr>
        <w:t xml:space="preserve">Meta-Kaizen operates on what we term a governance substrate: any structured document, process specification, or policy framework that (a) defines the operating rules or objectives of a system, (b) is revisable by identified principals, and (c) has measurable outcomes against which improvements can eventually be assessed. This definition is deliberately broad. An investment policy statement, a clinical treatment protocol, a software engineering standard, and a lean manufacturing process specification all qualify. So does a constitution, a regulatory framework, or an academic curriculum.</w:t>
      </w:r>
    </w:p>
    <w:p>
      <w:pPr>
        <w:spacing w:before="80" w:after="160"/>
        <w:jc w:val="both"/>
      </w:pPr>
      <w:r>
        <w:rPr>
          <w:rFonts w:ascii="Georgia" w:cs="Georgia" w:eastAsia="Georgia" w:hAnsi="Georgia"/>
          <w:b/>
          <w:bCs/>
          <w:sz w:val="22"/>
          <w:szCs w:val="22"/>
        </w:rPr>
        <w:t xml:space="preserve">Definition 3.1 (Governance Substrate).  </w:t>
      </w:r>
      <w:r>
        <w:rPr>
          <w:rFonts w:ascii="Georgia" w:cs="Georgia" w:eastAsia="Georgia" w:hAnsi="Georgia"/>
          <w:sz w:val="22"/>
          <w:szCs w:val="22"/>
        </w:rPr>
        <w:t xml:space="preserve">Formally, a substrate S is a tuple S = (D, P, Ω, M) where:</w:t>
      </w:r>
    </w:p>
    <w:p>
      <w:pPr>
        <w:pStyle w:val="ListParagraph"/>
        <w:numPr>
          <w:ilvl w:val="0"/>
          <w:numId w:val="2"/>
        </w:numPr>
        <w:spacing w:before="40" w:after="80"/>
      </w:pPr>
      <w:r>
        <w:rPr>
          <w:rFonts w:ascii="Georgia" w:cs="Georgia" w:eastAsia="Georgia" w:hAnsi="Georgia"/>
          <w:sz w:val="22"/>
          <w:szCs w:val="22"/>
        </w:rPr>
        <w:t xml:space="preserve">D is the document set: the current version of the governance text and all prior versions.</w:t>
      </w:r>
    </w:p>
    <w:p>
      <w:pPr>
        <w:pStyle w:val="ListParagraph"/>
        <w:numPr>
          <w:ilvl w:val="0"/>
          <w:numId w:val="2"/>
        </w:numPr>
        <w:spacing w:before="40" w:after="80"/>
      </w:pPr>
      <w:r>
        <w:rPr>
          <w:rFonts w:ascii="Georgia" w:cs="Georgia" w:eastAsia="Georgia" w:hAnsi="Georgia"/>
          <w:sz w:val="22"/>
          <w:szCs w:val="22"/>
        </w:rPr>
        <w:t xml:space="preserve">P is the principal set: the individuals or roles with authority to approve changes to D.</w:t>
      </w:r>
    </w:p>
    <w:p>
      <w:pPr>
        <w:pStyle w:val="ListParagraph"/>
        <w:numPr>
          <w:ilvl w:val="0"/>
          <w:numId w:val="2"/>
        </w:numPr>
        <w:spacing w:before="40" w:after="80"/>
      </w:pPr>
      <w:r>
        <w:rPr>
          <w:rFonts w:ascii="Georgia" w:cs="Georgia" w:eastAsia="Georgia" w:hAnsi="Georgia"/>
          <w:sz w:val="22"/>
          <w:szCs w:val="22"/>
        </w:rPr>
        <w:t xml:space="preserve">Ω is the outcome space: the measurable variables against which improvements to D are assessed (e.g., risk-adjusted returns, patient mortality rates, deployment frequency, defect rates).</w:t>
      </w:r>
    </w:p>
    <w:p>
      <w:pPr>
        <w:pStyle w:val="ListParagraph"/>
        <w:numPr>
          <w:ilvl w:val="0"/>
          <w:numId w:val="2"/>
        </w:numPr>
        <w:spacing w:before="40" w:after="80"/>
      </w:pPr>
      <w:r>
        <w:rPr>
          <w:rFonts w:ascii="Georgia" w:cs="Georgia" w:eastAsia="Georgia" w:hAnsi="Georgia"/>
          <w:sz w:val="22"/>
          <w:szCs w:val="22"/>
        </w:rPr>
        <w:t xml:space="preserve">M is the metric function M: D × time → Ω, mapping each document version to its outcomes over time.</w:t>
      </w:r>
    </w:p>
    <w:p>
      <w:pPr>
        <w:spacing w:before="0" w:after="0"/>
      </w:pPr>
      <w:r>
        <w:t xml:space="preserve"/>
      </w:r>
    </w:p>
    <w:p>
      <w:pPr>
        <w:spacing w:before="80" w:after="160"/>
        <w:jc w:val="both"/>
      </w:pPr>
      <w:r>
        <w:rPr>
          <w:rFonts w:ascii="Georgia" w:cs="Georgia" w:eastAsia="Georgia" w:hAnsi="Georgia"/>
          <w:sz w:val="22"/>
          <w:szCs w:val="22"/>
        </w:rPr>
        <w:t xml:space="preserve">An improvement candidate for substrate S is a proposed revision δ to D, characterized by four properties that form the inputs to KVS: its domain-distance from recent candidates (Novelty), its projected effect on Ω (Impact), the operational burden of implementing it (Complexity), and the timeframe of its relevance (Timeliness). The substrate abstraction ensures that KVS is computed identically regardless of whether S is a financial document, a clinical protocol, or an engineering standard. Only the calibration of Impact's normalizing constant I_max varies by substrate.</w:t>
      </w:r>
    </w:p>
    <w:p>
      <w:pPr>
        <w:pStyle w:val="Heading2"/>
        <w:spacing w:before="320" w:after="120"/>
      </w:pPr>
      <w:r>
        <w:rPr>
          <w:rFonts w:ascii="Arial" w:cs="Arial" w:eastAsia="Arial" w:hAnsi="Arial"/>
          <w:b/>
          <w:bCs/>
          <w:color w:val="2E74B5"/>
          <w:sz w:val="26"/>
          <w:szCs w:val="26"/>
        </w:rPr>
        <w:t xml:space="preserve">3.2  Self-Referentiality</w:t>
      </w:r>
    </w:p>
    <w:p>
      <w:pPr>
        <w:spacing w:before="80" w:after="160"/>
        <w:jc w:val="both"/>
      </w:pPr>
      <w:r>
        <w:rPr>
          <w:rFonts w:ascii="Georgia" w:cs="Georgia" w:eastAsia="Georgia" w:hAnsi="Georgia"/>
          <w:sz w:val="22"/>
          <w:szCs w:val="22"/>
        </w:rPr>
        <w:t xml:space="preserve">Meta-Kaizen is self-referential in the following precise sense: the Meta-Kaizen process itself—including its domain rotation schedule, its KVS formula, its threshold parameter, and its approval gate—is a governance substrate. Let S_MK denote this meta-substrate. Then improvement candidates for S_MK can be scored using KVS exactly as improvement candidates for any other substrate are scored. A proposed change to the Novelty factor formula, for instance, is an improvement candidate for S_MK with its own N, I′, C′, and T values.</w:t>
      </w:r>
    </w:p>
    <w:p>
      <w:pPr>
        <w:spacing w:before="80" w:after="160"/>
        <w:jc w:val="both"/>
      </w:pPr>
      <w:r>
        <w:rPr>
          <w:rFonts w:ascii="Georgia" w:cs="Georgia" w:eastAsia="Georgia" w:hAnsi="Georgia"/>
          <w:sz w:val="22"/>
          <w:szCs w:val="22"/>
        </w:rPr>
        <w:t xml:space="preserve">This self-referential property is not merely philosophical. It has a practical consequence: organizations that adopt Meta-Kaizen are not locked into its initial specification. The framework evolves with accumulating empirical evidence, with changes governed by the same scoring and approval discipline that governs any other process. This is the precise sense in which Meta-Kaizen is autonomic: it improves continuously, including its own improvement mechanism.</w:t>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objection: Referee objection anticipated: Does self-referentiality risk infinite regress or instability? No, for two reasons. First, the principal gate prevents any self-modification from being adopted without human review and explicit approval. Second, the KVS threshold (KVS ≥ 0.50) applies equally to meta-level improvements, ensuring that only well-scored changes to the framework itself are surfaced. The governance structure is the circuit breaker that prevents runaway self-modification.</w:t>
      </w:r>
    </w:p>
    <w:p>
      <w:pPr>
        <w:pStyle w:val="Heading2"/>
        <w:spacing w:before="320" w:after="120"/>
      </w:pPr>
      <w:r>
        <w:rPr>
          <w:rFonts w:ascii="Arial" w:cs="Arial" w:eastAsia="Arial" w:hAnsi="Arial"/>
          <w:b/>
          <w:bCs/>
          <w:color w:val="2E74B5"/>
          <w:sz w:val="26"/>
          <w:szCs w:val="26"/>
        </w:rPr>
        <w:t xml:space="preserve">3.3  The Orthogonal Inspiration Mechanism</w:t>
      </w:r>
    </w:p>
    <w:p>
      <w:pPr>
        <w:spacing w:before="80" w:after="160"/>
        <w:jc w:val="both"/>
      </w:pPr>
      <w:r>
        <w:rPr>
          <w:rFonts w:ascii="Georgia" w:cs="Georgia" w:eastAsia="Georgia" w:hAnsi="Georgia"/>
          <w:sz w:val="22"/>
          <w:szCs w:val="22"/>
        </w:rPr>
        <w:t xml:space="preserve">The domain rotation schedule is the mechanism through which Meta-Kaizen operationalizes bisociation. A domain is any field of human knowledge or practice structurally unrelated to the substrate's primary domain. For a financial governance substrate, orthogonal domains include biology, physics, architecture, culinary arts, and military strategy. For a clinical protocol substrate, orthogonal domains include fluid dynamics, architecture, game theory, and materials science.</w:t>
      </w:r>
    </w:p>
    <w:p>
      <w:pPr>
        <w:spacing w:before="80" w:after="160"/>
        <w:jc w:val="both"/>
      </w:pPr>
      <w:r>
        <w:rPr>
          <w:rFonts w:ascii="Georgia" w:cs="Georgia" w:eastAsia="Georgia" w:hAnsi="Georgia"/>
          <w:sz w:val="22"/>
          <w:szCs w:val="22"/>
        </w:rPr>
        <w:t xml:space="preserve">The rotation schedule must be pre-committed before the brainstorming session begins. This is the pre-registration equivalent in empirical research: it prevents post-hoc cherry-picking of domains whose framing happens to support a predetermined improvement. The administrator records the domain selection, its Jaccard distance from the prior four domains, and the resulting Novelty Factor before generating any candidate ideas.</w:t>
      </w:r>
    </w:p>
    <w:p>
      <w:r>
        <w:br w:type="page"/>
      </w:r>
    </w:p>
    <w:p>
      <w:pPr>
        <w:pStyle w:val="Heading1"/>
        <w:spacing w:before="480" w:after="160"/>
      </w:pPr>
      <w:r>
        <w:rPr>
          <w:rFonts w:ascii="Arial" w:cs="Arial" w:eastAsia="Arial" w:hAnsi="Arial"/>
          <w:b/>
          <w:bCs/>
          <w:color w:val="1A3C5E"/>
          <w:sz w:val="34"/>
          <w:szCs w:val="34"/>
        </w:rPr>
        <w:t xml:space="preserve">4. Mathematical Formulation</w:t>
      </w:r>
    </w:p>
    <w:p>
      <w:pPr>
        <w:spacing w:before="80" w:after="160"/>
        <w:jc w:val="both"/>
      </w:pPr>
      <w:r>
        <w:rPr>
          <w:rFonts w:ascii="Georgia" w:cs="Georgia" w:eastAsia="Georgia" w:hAnsi="Georgia"/>
          <w:sz w:val="22"/>
          <w:szCs w:val="22"/>
        </w:rPr>
        <w:t xml:space="preserve">This section presents the complete formal specification of Meta-Kaizen. We begin with the axiomatic derivation of the KVS functional form—answering the referee's fundamental question of why the formula takes the form it does, rather than some other form. The derivation proceeds from six stated axioms using the theory of conjoint measurement (Luce &amp; Tukey, 1964; Krantz, Luce, Suppes &amp; Tversky, 1971). All proofs are provided. All component definitions follow the derivation.</w:t>
      </w:r>
    </w:p>
    <w:p>
      <w:pPr>
        <w:pStyle w:val="Heading2"/>
        <w:spacing w:before="320" w:after="120"/>
      </w:pPr>
      <w:r>
        <w:rPr>
          <w:rFonts w:ascii="Arial" w:cs="Arial" w:eastAsia="Arial" w:hAnsi="Arial"/>
          <w:b/>
          <w:bCs/>
          <w:color w:val="2E74B5"/>
          <w:sz w:val="26"/>
          <w:szCs w:val="26"/>
        </w:rPr>
        <w:t xml:space="preserve">4.1  Axiomatic Derivation of the KVS Functional Form</w:t>
      </w:r>
    </w:p>
    <w:p>
      <w:pPr>
        <w:spacing w:before="80" w:after="160"/>
        <w:jc w:val="both"/>
      </w:pPr>
      <w:r>
        <w:rPr>
          <w:rFonts w:ascii="Georgia" w:cs="Georgia" w:eastAsia="Georgia" w:hAnsi="Georgia"/>
          <w:sz w:val="22"/>
          <w:szCs w:val="22"/>
        </w:rPr>
        <w:t xml:space="preserve">We seek a function f: [0,1]⁴ → [0,1] mapping component scores (N, I′, C′, T) to an improvement quality score. The form of this function is derived, not assumed. The mathematical framework is conjoint measurement theory, which specifies the conditions under which additive, multiplicative, or other functional forms are justified.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Axiom 1 (Weak Order). For any two improvement candidates a and b, either a is at least as good as b or b is at least as good as a, and this ordering is transitive. This is the minimum condition for any measurement to be meaningful.</w:t>
            </w:r>
          </w:p>
          <w:p>
            <w:pPr>
              <w:spacing w:before="0" w:after="100"/>
            </w:pPr>
            <w:r>
              <w:rPr>
                <w:rFonts w:ascii="Georgia" w:cs="Georgia" w:eastAsia="Georgia" w:hAnsi="Georgia"/>
                <w:i/>
                <w:iCs/>
                <w:color w:val="333333"/>
                <w:sz w:val="21"/>
                <w:szCs w:val="21"/>
              </w:rPr>
              <w:t xml:space="preserve">Axiom 2 (Independence). The preference ordering over candidates that differ only in component N is independent of the values of I′, C′, and T. This axiom holds symmetrically for all four components.</w:t>
            </w:r>
          </w:p>
          <w:p>
            <w:pPr>
              <w:spacing w:before="0" w:after="100"/>
            </w:pPr>
            <w:r>
              <w:rPr>
                <w:rFonts w:ascii="Georgia" w:cs="Georgia" w:eastAsia="Georgia" w:hAnsi="Georgia"/>
                <w:i/>
                <w:iCs/>
                <w:color w:val="333333"/>
                <w:sz w:val="21"/>
                <w:szCs w:val="21"/>
              </w:rPr>
              <w:t xml:space="preserve">Axiom 3 (Solvability). For any three components held fixed, there exists a value of the fourth component that achieves any target quality score in [0,1].</w:t>
            </w:r>
          </w:p>
          <w:p>
            <w:pPr>
              <w:spacing w:before="0" w:after="100"/>
            </w:pPr>
            <w:r>
              <w:rPr>
                <w:rFonts w:ascii="Georgia" w:cs="Georgia" w:eastAsia="Georgia" w:hAnsi="Georgia"/>
                <w:i/>
                <w:iCs/>
                <w:color w:val="333333"/>
                <w:sz w:val="21"/>
                <w:szCs w:val="21"/>
              </w:rPr>
              <w:t xml:space="preserve">Axiom 4 (Archimedean Condition). No finite sequence of equal-interval steps in any component is unbounded. This ensures no component can be infinitely more important than another.</w:t>
            </w:r>
          </w:p>
          <w:p>
            <w:pPr>
              <w:spacing w:before="0" w:after="100"/>
            </w:pPr>
            <w:r>
              <w:rPr>
                <w:rFonts w:ascii="Georgia" w:cs="Georgia" w:eastAsia="Georgia" w:hAnsi="Georgia"/>
                <w:i/>
                <w:iCs/>
                <w:color w:val="333333"/>
                <w:sz w:val="21"/>
                <w:szCs w:val="21"/>
              </w:rPr>
              <w:t xml:space="preserve">Axiom 5 (Essentialness with Veto Power). A zero value on any single component, regardless of the values of the remaining three, renders the candidate inadoptable: f(0, I′, C′, T) = f(N, 0, C′, T) = f(N, I′, 0, T) = f(N, I′, C′, 0) = 0 for all component values.</w:t>
            </w:r>
          </w:p>
          <w:p>
            <w:pPr>
              <w:spacing w:before="0" w:after="100"/>
            </w:pPr>
            <w:r>
              <w:rPr>
                <w:rFonts w:ascii="Georgia" w:cs="Georgia" w:eastAsia="Georgia" w:hAnsi="Georgia"/>
                <w:i/>
                <w:iCs/>
                <w:color w:val="333333"/>
                <w:sz w:val="21"/>
                <w:szCs w:val="21"/>
              </w:rPr>
              <w:t xml:space="preserve">Axiom 6 (Marginal Symmetry). The marginal rate of substitution between any two components is equal at all points where their values are equal. That is, when N = I′, ∂f/∂N = ∂f/∂I′.</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Defense of Axiom 5: Axiom 5 requires explicit defense, as it is the most consequential axiom and the one the referee correctly demanded. An improvement candidate with N = 0 is, by definition, something that has been done before in exactly this form. If it has been done before, it is not an improvement candidate—it is a reimplementation of a known solution. Its impact is irrelevant because the network has already captured it; adopting it again produces no institutional learning. The zero is the correct behavior. An improvement candidate with I′ = 0 produces no improvement, however novel and timely. An improvement candidate with C′ = 0 has implementation costs that overwhelm any benefit at current organizational capacity. An improvement candidate with T = 0 has passed the window of relevance; adopting it now imposes cost without benefit. In all four cases, the zero behavior is not a mathematical convenience—it reflects the actual structure of improvement quality. A framework that allowed high impact to compensate for zero novelty would not be enforcing novelty; it would be making novelty advisory.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Derivation of Functional Form. From Axioms 1–4, the fundamental theorem of conjoint measurement (Luce &amp; Tukey, 1964) establishes that there exist scale functions φ_N, φ_I, φ_C, φ_T such that the preference ordering is represented by an additive form: F = φ_N(N) + φ_I(I′) + φ_C(C′) + φ_T(T).</w:t>
            </w:r>
          </w:p>
          <w:p>
            <w:pPr>
              <w:spacing w:before="0" w:after="100"/>
            </w:pPr>
            <w:r>
              <w:rPr>
                <w:rFonts w:ascii="Georgia" w:cs="Georgia" w:eastAsia="Georgia" w:hAnsi="Georgia"/>
                <w:i/>
                <w:iCs/>
                <w:color w:val="333333"/>
                <w:sz w:val="21"/>
                <w:szCs w:val="21"/>
              </w:rPr>
              <w:t xml:space="preserve">We test Axiom 5 against this additive form. Setting N = 0: φ_N(0) + φ_I(I′) + φ_C(C′) + φ_T(T) = 0 for all I′, C′, T. This requires φ_I(I′) + φ_C(C′) + φ_T(T) = −φ_N(0) for all I′, C′, T—which is impossible unless all three are constants, contradicting that they vary with their arguments. The additive form is inconsistent with Axiom 5. It is therefore eliminated.</w:t>
            </w:r>
          </w:p>
          <w:p>
            <w:pPr>
              <w:spacing w:before="0" w:after="100"/>
            </w:pPr>
            <w:r>
              <w:rPr>
                <w:rFonts w:ascii="Georgia" w:cs="Georgia" w:eastAsia="Georgia" w:hAnsi="Georgia"/>
                <w:i/>
                <w:iCs/>
                <w:color w:val="333333"/>
                <w:sz w:val="21"/>
                <w:szCs w:val="21"/>
              </w:rPr>
              <w:t xml:space="preserve">We seek a functional form consistent with all six axioms. The multiplicative form f(N, I′, C′, T) = N^α × I′^β × C′^γ × T^δ, where α, β, γ, δ &gt; 0, satisfies Axiom 5 immediately (any zero component produces f = 0) and satisfies Axioms 1–4 by construction.</w:t>
            </w:r>
          </w:p>
          <w:p>
            <w:pPr>
              <w:spacing w:before="0" w:after="100"/>
            </w:pPr>
            <w:r>
              <w:rPr>
                <w:rFonts w:ascii="Georgia" w:cs="Georgia" w:eastAsia="Georgia" w:hAnsi="Georgia"/>
                <w:i/>
                <w:iCs/>
                <w:color w:val="333333"/>
                <w:sz w:val="21"/>
                <w:szCs w:val="21"/>
              </w:rPr>
              <w:t xml:space="preserve">Derivation of Equal Weights from Axiom 6. Under the multiplicative form, the partial derivatives are ∂f/∂N = αN^(α-1) × I′^β × C′^γ × T^δ and ∂f/∂I′ = βI′^(β-1) × N^α × C′^γ × T^δ. Setting ∂f/∂N = ∂f/∂I′ at the point N = I′:</w:t>
            </w:r>
          </w:p>
          <w:p>
            <w:pPr>
              <w:spacing w:before="0" w:after="100"/>
            </w:pPr>
            <w:r>
              <w:rPr>
                <w:rFonts w:ascii="Georgia" w:cs="Georgia" w:eastAsia="Georgia" w:hAnsi="Georgia"/>
                <w:i/>
                <w:iCs/>
                <w:color w:val="333333"/>
                <w:sz w:val="21"/>
                <w:szCs w:val="21"/>
              </w:rPr>
              <w:t xml:space="preserve">α × N^(α-1) × N^β = β × N^(β-1) × N^α
α × N^(α+β-1) = β × N^(α+β-1)
∴ α = β</w:t>
            </w:r>
          </w:p>
          <w:p>
            <w:pPr>
              <w:spacing w:before="0" w:after="100"/>
            </w:pPr>
            <w:r>
              <w:rPr>
                <w:rFonts w:ascii="Georgia" w:cs="Georgia" w:eastAsia="Georgia" w:hAnsi="Georgia"/>
                <w:i/>
                <w:iCs/>
                <w:color w:val="333333"/>
                <w:sz w:val="21"/>
                <w:szCs w:val="21"/>
              </w:rPr>
              <w:t xml:space="preserve">By the same argument applied symmetrically to all pairs: α = β = γ = δ. With the normalization requirement f: [0,1]⁴ → [0,1] and all components in [0,1], the unique solution is α = β = γ = δ = 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Theorem 4.1 (KVS Functional Form). Under Axioms 1 through 6, the unique functional form representing improvement quality is:</w:t>
            </w:r>
          </w:p>
          <w:p>
            <w:pPr>
              <w:spacing w:before="0" w:after="100"/>
            </w:pPr>
            <w:r>
              <w:rPr>
                <w:rFonts w:ascii="Georgia" w:cs="Georgia" w:eastAsia="Georgia" w:hAnsi="Georgia"/>
                <w:i/>
                <w:iCs/>
                <w:color w:val="333333"/>
                <w:sz w:val="21"/>
                <w:szCs w:val="21"/>
              </w:rPr>
              <w:t xml:space="preserve">KVS_j = N_j × I′_j × C′_j × T_j</w:t>
            </w:r>
          </w:p>
          <w:p>
            <w:pPr>
              <w:spacing w:before="0" w:after="100"/>
            </w:pPr>
            <w:r>
              <w:rPr>
                <w:rFonts w:ascii="Georgia" w:cs="Georgia" w:eastAsia="Georgia" w:hAnsi="Georgia"/>
                <w:i/>
                <w:iCs/>
                <w:color w:val="333333"/>
                <w:sz w:val="21"/>
                <w:szCs w:val="21"/>
              </w:rPr>
              <w:t xml:space="preserve">The multiplicative structure follows from Axiom 5. The equal weights follow from Axiom 6 as a default prior. Axiom 6 may be relaxed when domain-specific calibration data supports differential weighting; the axiomatic derivation identifies exactly which assumption must be revised and what evidence would justify the revision.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NOTE</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The equal-weight default is the maximally conservative prior in the absence of calibration data. It makes the weakest assumption about the relative importance of the four components. It is not an empirical claim that Novelty and Timeliness contribute equally to improvement quality in all contexts. It is the correct starting point before the network has accumulated sufficient retrospective data to estimate domain-specific weights. The Bayesian threshold calibration mechanism specified in Paper 2 extends naturally to weight calibration: as the network accumulates outcomes for adopted improvements, the empirical relationship between each component score and realized outcomes can be estimated, and the weights can be updated from the equal-weight prior toward empirically grounded values.</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4.2  The Kaizen Variation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4.1 (Kaizen Variation Score)</w:t>
            </w:r>
          </w:p>
          <w:p>
            <w:pPr>
              <w:spacing w:before="0" w:after="60"/>
            </w:pPr>
            <w:r>
              <w:rPr>
                <w:rFonts w:ascii="Courier New" w:cs="Courier New" w:eastAsia="Courier New" w:hAnsi="Courier New"/>
                <w:color w:val="333333"/>
                <w:sz w:val="20"/>
                <w:szCs w:val="20"/>
              </w:rPr>
              <w:t xml:space="preserve">KVS_j  =  N_j  ×  I′_j  ×  C′_j  ×  T_j</w:t>
            </w:r>
          </w:p>
          <w:p>
            <w:pPr>
              <w:spacing w:before="0" w:after="60"/>
            </w:pPr>
            <w:r>
              <w:rPr>
                <w:rFonts w:ascii="Courier New" w:cs="Courier New" w:eastAsia="Courier New" w:hAnsi="Courier New"/>
                <w:color w:val="333333"/>
                <w:sz w:val="20"/>
                <w:szCs w:val="20"/>
              </w:rPr>
              <w:t xml:space="preserve">where N_j, I′_j, C′_j, T_j ∈ [0, 1] are defined in Sections 4.3–4.6. This form is derived in Section 4.1; it is not stipulated.</w:t>
            </w:r>
          </w:p>
        </w:tc>
      </w:tr>
    </w:tbl>
    <w:p>
      <w:pPr>
        <w:spacing w:before="0" w:after="0"/>
      </w:pPr>
      <w:r>
        <w:t xml:space="preserve"/>
      </w:r>
    </w:p>
    <w:p>
      <w:pPr>
        <w:pBdr>
          <w:left w:val="single" w:color="2E74B5" w:sz="8" w:space="12"/>
        </w:pBdr>
        <w:shd w:fill="EEF4FA" w:val="clear"/>
        <w:spacing w:before="160" w:after="160"/>
        <w:ind w:left="400" w:right="400"/>
        <w:jc w:val="center"/>
      </w:pPr>
      <w:r>
        <w:rPr>
          <w:rFonts w:ascii="Courier New" w:cs="Courier New" w:eastAsia="Courier New" w:hAnsi="Courier New"/>
          <w:b/>
          <w:bCs/>
          <w:color w:val="333333"/>
          <w:sz w:val="22"/>
          <w:szCs w:val="22"/>
        </w:rPr>
        <w:t xml:space="preserve">KVSⱼ  =  Nⱼ  ×  I′ⱼ  ×  C′ⱼ  ×  Tⱼ</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Property 4.1 (Boundedness). KVS_j ∈ [0, 1] for all improvement candidates j.</w:t>
            </w:r>
          </w:p>
          <w:p>
            <w:pPr>
              <w:spacing w:before="0" w:after="100"/>
            </w:pPr>
            <w:r>
              <w:rPr>
                <w:rFonts w:ascii="Georgia" w:cs="Georgia" w:eastAsia="Georgia" w:hAnsi="Georgia"/>
                <w:i/>
                <w:iCs/>
                <w:color w:val="333333"/>
                <w:sz w:val="21"/>
                <w:szCs w:val="21"/>
              </w:rPr>
              <w:t xml:space="preserve">This is a direct consequence of Definition 4.1: the product of four numbers each in [0,1] is in [0,1]. It is stated as a property rather than a theorem because it follows immediately from the definitions without non-trivial inference. Its significance is architectural: boundedness ensures that KVS scores are comparable across substrates and across organizations without normalization.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Property 4.2 (Monotonicity). KVS_j is non-decreasing in each of N_j, I′_j, C′_j, T_j, holding the others fixed.</w:t>
            </w:r>
          </w:p>
          <w:p>
            <w:pPr>
              <w:spacing w:before="0" w:after="100"/>
            </w:pPr>
            <w:r>
              <w:rPr>
                <w:rFonts w:ascii="Georgia" w:cs="Georgia" w:eastAsia="Georgia" w:hAnsi="Georgia"/>
                <w:i/>
                <w:iCs/>
                <w:color w:val="333333"/>
                <w:sz w:val="21"/>
                <w:szCs w:val="21"/>
              </w:rPr>
              <w:t xml:space="preserve">For any factor f_j ∈ {N_j, I′_j, C′_j, T_j}, ∂KVS_j/∂f_j = ∏_{k ≠ j} f_k ≥ 0, since all factors are non-negative. This is a Property, not a Theorem: it follows directly from the multiplicative form derived in Theorem 4.1. Its significance is normative: it ensures that improving any component cannot decrease the overall score, which is a necessary condition for the scoring system to provide correct incentives.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Theorem 4.2 (Self-Referential Applicability). Let S_MK denote the Meta-Kaizen process itself as a substrate. Then KVS is well-defined for improvement candidates targeting S_MK.</w:t>
            </w:r>
          </w:p>
          <w:p>
            <w:pPr>
              <w:spacing w:before="0" w:after="100"/>
            </w:pPr>
            <w:r>
              <w:rPr>
                <w:rFonts w:ascii="Georgia" w:cs="Georgia" w:eastAsia="Georgia" w:hAnsi="Georgia"/>
                <w:i/>
                <w:iCs/>
                <w:color w:val="333333"/>
                <w:sz w:val="21"/>
                <w:szCs w:val="21"/>
              </w:rPr>
              <w:t xml:space="preserve">Proof. S_MK satisfies the substrate definition S = (D, P, Ω, M): the document set D is the KVS formula specification and rotation schedule; the principal set P is the adopting organization's governance; the outcome space Ω is measured as ranking fidelity of KVS against realized improvement quality; and the metric function M is the historical log of scored candidates versus outcomes. Therefore improvement candidates targeting S_MK have well-defined N, I′, C′, T values under their respective definitions (Sections 4.3–4.6) and KVS is computable. □</w:t>
            </w:r>
          </w:p>
          <w:p>
            <w:pPr>
              <w:spacing w:before="0" w:after="100"/>
            </w:pPr>
            <w:r>
              <w:rPr>
                <w:rFonts w:ascii="Georgia" w:cs="Georgia" w:eastAsia="Georgia" w:hAnsi="Georgia"/>
                <w:i/>
                <w:iCs/>
                <w:color w:val="333333"/>
                <w:sz w:val="21"/>
                <w:szCs w:val="21"/>
              </w:rPr>
              <w:t xml:space="preserve">Note: This theorem establishes well-definedness, not convergence or optimality. It does not claim that self-referential application of KVS converges to an optimal formula; convergence is addressed in Paper 2 through the Governance Closure Theorem and its fixed-point resolution.</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4.3  Novelty Factor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4.2 (Novelty Factor)</w:t>
            </w:r>
          </w:p>
          <w:p>
            <w:pPr>
              <w:spacing w:before="0" w:after="60"/>
            </w:pPr>
            <w:r>
              <w:rPr>
                <w:rFonts w:ascii="Courier New" w:cs="Courier New" w:eastAsia="Courier New" w:hAnsi="Courier New"/>
                <w:color w:val="333333"/>
                <w:sz w:val="20"/>
                <w:szCs w:val="20"/>
              </w:rPr>
              <w:t xml:space="preserve">N_j  =  1  −  max_{τ ∈ {t-1, t-2, t-3, t-4}}  Jaccard(K_j, K_τ)</w:t>
            </w:r>
          </w:p>
          <w:p>
            <w:pPr>
              <w:spacing w:before="0" w:after="60"/>
            </w:pPr>
            <w:r>
              <w:rPr>
                <w:rFonts w:ascii="Courier New" w:cs="Courier New" w:eastAsia="Courier New" w:hAnsi="Courier New"/>
                <w:color w:val="333333"/>
                <w:sz w:val="20"/>
                <w:szCs w:val="20"/>
              </w:rPr>
              <w:t xml:space="preserve">where Jaccard(A, B)  =  |A ∩ B| / |A ∪ B|</w:t>
            </w:r>
          </w:p>
        </w:tc>
      </w:tr>
    </w:tbl>
    <w:p>
      <w:pPr>
        <w:spacing w:before="0" w:after="0"/>
      </w:pPr>
      <w:r>
        <w:t xml:space="preserve"/>
      </w:r>
    </w:p>
    <w:p>
      <w:pPr>
        <w:spacing w:before="80" w:after="160"/>
        <w:jc w:val="both"/>
      </w:pPr>
      <w:r>
        <w:rPr>
          <w:rFonts w:ascii="Georgia" w:cs="Georgia" w:eastAsia="Georgia" w:hAnsi="Georgia"/>
          <w:sz w:val="22"/>
          <w:szCs w:val="22"/>
        </w:rPr>
        <w:t xml:space="preserve">The maximum rather than mean Jaccard distance is used to penalize similarity to any single recent scan, not just average recency. This prevents an administrator from cycling through slightly varied phrasings of the same domain idea across consecutive quarters. The pre-commitment of the domain before brainstorming ensures N is computed on idea content, not domain label.</w:t>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objection: Referee objection anticipated: Why Jaccard rather than cosine similarity or embedding-based distance? Three reasons. First, Jaccard operates on discrete keyword sets, requiring no trained embedding model and no infrastructure beyond a stemming library—preserving computational universality. Second, Jaccard's boundedness in [0, 1] follows directly from set theory, requiring no normalization heuristic. Third, for the purpose of domain novelty enforcement—a binary structural question of whether concepts overlap—keyword set intersection is more transparent and auditable than embedding-space geometry, where distance is opaque to human review. Organizations requiring higher semantic precision may substitute cosine distance over TF-IDF vectors; the framework is agnostic to this substitution provided the distance metric is bounded and symmetric.</w:t>
      </w:r>
    </w:p>
    <w:p>
      <w:pPr>
        <w:spacing w:before="80" w:after="160"/>
      </w:pPr>
      <w:r>
        <w:rPr>
          <w:rFonts w:ascii="Georgia" w:cs="Georgia" w:eastAsia="Georgia" w:hAnsi="Georgia"/>
          <w:b/>
          <w:bCs/>
          <w:sz w:val="22"/>
          <w:szCs w:val="22"/>
        </w:rPr>
        <w:t xml:space="preserve">Operational target:  </w:t>
      </w:r>
      <w:r>
        <w:rPr>
          <w:rFonts w:ascii="Georgia" w:cs="Georgia" w:eastAsia="Georgia" w:hAnsi="Georgia"/>
          <w:sz w:val="22"/>
          <w:szCs w:val="22"/>
        </w:rPr>
        <w:t xml:space="preserve">Target: Domain rotation should maintain E[N] ≥ 0.70 over a rolling 4-scan window. This target should be monitored at annual review and triggers a domain rotation schedule audit if violated.</w:t>
      </w:r>
    </w:p>
    <w:p>
      <w:pPr>
        <w:pStyle w:val="Heading2"/>
        <w:spacing w:before="320" w:after="120"/>
      </w:pPr>
      <w:r>
        <w:rPr>
          <w:rFonts w:ascii="Arial" w:cs="Arial" w:eastAsia="Arial" w:hAnsi="Arial"/>
          <w:b/>
          <w:bCs/>
          <w:color w:val="2E74B5"/>
          <w:sz w:val="26"/>
          <w:szCs w:val="26"/>
        </w:rPr>
        <w:t xml:space="preserve">4.4  Normalized Impact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4.3 (Normalized Impact)</w:t>
            </w:r>
          </w:p>
          <w:p>
            <w:pPr>
              <w:spacing w:before="0" w:after="60"/>
            </w:pPr>
            <w:r>
              <w:rPr>
                <w:rFonts w:ascii="Courier New" w:cs="Courier New" w:eastAsia="Courier New" w:hAnsi="Courier New"/>
                <w:color w:val="333333"/>
                <w:sz w:val="20"/>
                <w:szCs w:val="20"/>
              </w:rPr>
              <w:t xml:space="preserve">I′_j  =  min(1,  μ_j / I_max)</w:t>
            </w:r>
          </w:p>
        </w:tc>
      </w:tr>
    </w:tbl>
    <w:p>
      <w:pPr>
        <w:spacing w:before="0" w:after="0"/>
      </w:pPr>
      <w:r>
        <w:t xml:space="preserve"/>
      </w:r>
    </w:p>
    <w:p>
      <w:pPr>
        <w:spacing w:before="80" w:after="160"/>
        <w:jc w:val="both"/>
      </w:pPr>
      <w:r>
        <w:rPr>
          <w:rFonts w:ascii="Georgia" w:cs="Georgia" w:eastAsia="Georgia" w:hAnsi="Georgia"/>
          <w:sz w:val="22"/>
          <w:szCs w:val="22"/>
        </w:rPr>
        <w:t xml:space="preserve">where μ_j is the administrator’s point estimate of annualized improvement in the substrate’s primary outcome metric, and I_max is the pre-committed maximum plausible improvement for the substrate. Recommended I_max values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Substrate Domain</w:t>
            </w:r>
          </w:p>
        </w:tc>
        <w:tc>
          <w:tcPr>
            <w:tcW w:type="dxa" w:w="1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Recommended I_max</w:t>
            </w:r>
          </w:p>
        </w:tc>
        <w:tc>
          <w:tcPr>
            <w:tcW w:type="dxa" w:w="45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Units</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Financial governance (IPS)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3.0</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pp/yr annualized return improvement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Clinical protocol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pp reduction in target adverse event rate</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Software delivery (DORA)</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50%</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improvement in primary DORA metric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Lean manufacturing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reduction in target waste category</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Referee objection: Referee objection anticipated: Is administrator-estimated impact hopelessly subjective? The subjectivity is real but bounded and governable. Three controls apply. First, I_max is calibrated annually against realized historical improvements, establishing an evidence-based ceiling. Second, impact estimates are logged at the time of proposal and compared to realized outcomes at annual review—creating an accountability structure that incentivizes calibration. Third, the principal gate provides an independent check on inflated estimates. The framework does not claim to eliminate subjectivity from impact estimation; it claims to make subjectivity visible, bounded, and auditable—a substantial advance over the status quo of implicit, unlogged judgment.</w:t>
      </w:r>
    </w:p>
    <w:p>
      <w:pPr>
        <w:pStyle w:val="Heading2"/>
        <w:spacing w:before="320" w:after="120"/>
      </w:pPr>
      <w:r>
        <w:rPr>
          <w:rFonts w:ascii="Arial" w:cs="Arial" w:eastAsia="Arial" w:hAnsi="Arial"/>
          <w:b/>
          <w:bCs/>
          <w:color w:val="2E74B5"/>
          <w:sz w:val="26"/>
          <w:szCs w:val="26"/>
        </w:rPr>
        <w:t xml:space="preserve">4.5  Normalized Inverse Complexity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4.4 (Normalized Inverse Complexity)</w:t>
            </w:r>
          </w:p>
          <w:p>
            <w:pPr>
              <w:spacing w:before="0" w:after="60"/>
            </w:pPr>
            <w:r>
              <w:rPr>
                <w:rFonts w:ascii="Courier New" w:cs="Courier New" w:eastAsia="Courier New" w:hAnsi="Courier New"/>
                <w:color w:val="333333"/>
                <w:sz w:val="20"/>
                <w:szCs w:val="20"/>
              </w:rPr>
              <w:t xml:space="preserve">C′_j  =  (C_max − C_j) / (C_max − C_min)  =  (2.0 − C_j) / 1.0</w:t>
            </w:r>
          </w:p>
          <w:p>
            <w:pPr>
              <w:spacing w:before="0" w:after="60"/>
            </w:pPr>
            <w:r>
              <w:rPr>
                <w:rFonts w:ascii="Courier New" w:cs="Courier New" w:eastAsia="Courier New" w:hAnsi="Courier New"/>
                <w:color w:val="333333"/>
                <w:sz w:val="20"/>
                <w:szCs w:val="20"/>
              </w:rPr>
              <w:t xml:space="preserve">where C_j ∈ {1.0, 1.2, 1.4, 1.6, 1.8, 2.0}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Raw C</w:t>
            </w:r>
          </w:p>
        </w:tc>
        <w:tc>
          <w:tcPr>
            <w:tcW w:type="dxa" w:w="62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Operational Description</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w:t>
            </w:r>
          </w:p>
        </w:tc>
        <w:tc>
          <w:tcPr>
            <w:tcW w:type="dxa" w:w="62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Zero additional operational steps or resources required</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1.2</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One new lightweight step; under 30 minutes per quarter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1.4</w:t>
            </w:r>
          </w:p>
        </w:tc>
        <w:tc>
          <w:tcPr>
            <w:tcW w:type="dxa" w:w="62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Two new steps or one new data feed; under 2 hours per quarter</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1.6</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Moderate process redesign; involves 2–3 stakeholders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0.40</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1.8</w:t>
            </w:r>
          </w:p>
        </w:tc>
        <w:tc>
          <w:tcPr>
            <w:tcW w:type="dxa" w:w="62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Significant systems, legal, or structural work required</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0.20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2.0</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Major restructuring; requires capital, regulatory approval, or multi-year implementation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0.00</w:t>
            </w:r>
          </w:p>
        </w:tc>
      </w:tr>
    </w:tbl>
    <w:p>
      <w:pPr>
        <w:spacing w:before="0" w:after="0"/>
      </w:pPr>
      <w:r>
        <w:t xml:space="preserve"/>
      </w:r>
    </w:p>
    <w:p>
      <w:pPr>
        <w:spacing w:before="80" w:after="160"/>
        <w:jc w:val="both"/>
      </w:pPr>
      <w:r>
        <w:rPr>
          <w:rFonts w:ascii="Georgia" w:cs="Georgia" w:eastAsia="Georgia" w:hAnsi="Georgia"/>
          <w:sz w:val="22"/>
          <w:szCs w:val="22"/>
        </w:rPr>
        <w:t xml:space="preserve">The linear rescaling C′ = (2.0 − C)/1.0 maps [1.0, 2.0] bijectively onto [1.0, 0.0], fully spanning [0, 1] and reaching zero at maximum complexity. This corrects the 1/C formulation used in some prior treatments, which maps [1.0, 2.0] to [1.0, 0.5]—a compressed range that never reaches zero regardless of complexity. The linear form is also more interpretable: a complexity reduction of 0.2 raw points produces a constant 0.2 improvement in C′ at every point on the scale.</w:t>
      </w:r>
    </w:p>
    <w:p>
      <w:pPr>
        <w:pStyle w:val="Heading2"/>
        <w:spacing w:before="320" w:after="120"/>
      </w:pPr>
      <w:r>
        <w:rPr>
          <w:rFonts w:ascii="Arial" w:cs="Arial" w:eastAsia="Arial" w:hAnsi="Arial"/>
          <w:b/>
          <w:bCs/>
          <w:color w:val="2E74B5"/>
          <w:sz w:val="26"/>
          <w:szCs w:val="26"/>
        </w:rPr>
        <w:t xml:space="preserve">4.6  Timeliness Score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2E74B5" w:sz="8"/>
              <w:bottom w:val="single" w:color="1A3C5E" w:sz="4"/>
              <w:right w:val="single" w:color="CCCCCC" w:sz="1"/>
            </w:tcBorders>
            <w:shd w:fill="EEF4FA" w:val="clear"/>
            <w:tcMar>
              <w:top w:type="dxa" w:w="160"/>
              <w:left w:type="dxa" w:w="240"/>
              <w:bottom w:type="dxa" w:w="160"/>
              <w:right w:type="dxa" w:w="240"/>
            </w:tcMar>
          </w:tcPr>
          <w:p>
            <w:pPr>
              <w:spacing w:before="0" w:after="80"/>
            </w:pPr>
            <w:r>
              <w:rPr>
                <w:rFonts w:ascii="Arial" w:cs="Arial" w:eastAsia="Arial" w:hAnsi="Arial"/>
                <w:b/>
                <w:bCs/>
                <w:color w:val="1A3C5E"/>
                <w:sz w:val="21"/>
                <w:szCs w:val="21"/>
              </w:rPr>
              <w:t xml:space="preserve">Definition 4.5 (Timeliness Score)</w:t>
            </w:r>
          </w:p>
          <w:p>
            <w:pPr>
              <w:spacing w:before="0" w:after="60"/>
            </w:pPr>
            <w:r>
              <w:rPr>
                <w:rFonts w:ascii="Courier New" w:cs="Courier New" w:eastAsia="Courier New" w:hAnsi="Courier New"/>
                <w:color w:val="333333"/>
                <w:sz w:val="20"/>
                <w:szCs w:val="20"/>
              </w:rPr>
              <w:t xml:space="preserve">T_j  =  max(0,  1 − h_j / H_max)</w:t>
            </w:r>
          </w:p>
          <w:p>
            <w:pPr>
              <w:spacing w:before="0" w:after="60"/>
            </w:pPr>
            <w:r>
              <w:rPr>
                <w:rFonts w:ascii="Courier New" w:cs="Courier New" w:eastAsia="Courier New" w:hAnsi="Courier New"/>
                <w:color w:val="333333"/>
                <w:sz w:val="20"/>
                <w:szCs w:val="20"/>
              </w:rPr>
              <w:t xml:space="preserve">where h_j = months to relevance;  H_max = 60 (default)</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H_max = 60 months is the default and should be revisited at annual review for substrates with materially different planning horizons (e.g., infrastructure projects with 10-year cycles may adopt H_max = 120 months). Any revision to H_max requires principal approval and is logged.</w:t>
      </w:r>
    </w:p>
    <w:p>
      <w:pPr>
        <w:pStyle w:val="Heading2"/>
        <w:spacing w:before="320" w:after="120"/>
      </w:pPr>
      <w:r>
        <w:rPr>
          <w:rFonts w:ascii="Arial" w:cs="Arial" w:eastAsia="Arial" w:hAnsi="Arial"/>
          <w:b/>
          <w:bCs/>
          <w:color w:val="2E74B5"/>
          <w:sz w:val="26"/>
          <w:szCs w:val="26"/>
        </w:rPr>
        <w:t xml:space="preserve">4.7  Approval Gate and Derived Threshold</w:t>
      </w:r>
    </w:p>
    <w:p>
      <w:pPr>
        <w:spacing w:before="80" w:after="160"/>
        <w:jc w:val="both"/>
      </w:pPr>
      <w:r>
        <w:rPr>
          <w:rFonts w:ascii="Georgia" w:cs="Georgia" w:eastAsia="Georgia" w:hAnsi="Georgia"/>
          <w:sz w:val="22"/>
          <w:szCs w:val="22"/>
        </w:rPr>
        <w:t xml:space="preserve">The approval gate is the principal-facing interface of Meta-Kaizen. Only candidates with KVS_j ≥ κ are automatically surfaced to the principal for review.
The default threshold κ = 0.50 is derived from decision theory, not stipulated. Let L_FP denote the loss from a false positive—adopting a poor improvement candidate—and L_FN the loss from a false negative—rejecting a good one. The optimal threshold κ* that minimizes expected loss satisfies:
    κ* = L_FN / (L_FP + L_FN)
When L_FP = L_FN (the loss from adopting a poor candidate equals the loss from rejecting a good one), κ* = 0.50. This is Theorem 4.3 below.
The geometric interpretation of κ = 0.50 follows: it requires that the geometric mean of all four factors, (N × I′ × C′ × T)^(1/4), exceed κ^(1/4) ≈ 0.841—a moderately demanding bar that filters candidates weak in any single dimension.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140"/>
              <w:left w:type="dxa" w:w="240"/>
              <w:bottom w:type="dxa" w:w="140"/>
              <w:right w:type="dxa" w:w="240"/>
            </w:tcMar>
          </w:tcPr>
          <w:p>
            <w:pPr>
              <w:spacing w:before="0" w:after="100"/>
            </w:pPr>
            <w:r>
              <w:rPr>
                <w:rFonts w:ascii="Georgia" w:cs="Georgia" w:eastAsia="Georgia" w:hAnsi="Georgia"/>
                <w:i/>
                <w:iCs/>
                <w:color w:val="333333"/>
                <w:sz w:val="21"/>
                <w:szCs w:val="21"/>
              </w:rPr>
              <w:t xml:space="preserve">Theorem 4.3 (Threshold Optimality). The threshold κ = 0.50 is the unique decision-theoretically optimal adoption threshold when L_FP = L_FN. When these losses differ by substrate, the optimal threshold departs from 0.50 as follows:</w:t>
            </w:r>
          </w:p>
          <w:p>
            <w:pPr>
              <w:spacing w:before="0" w:after="100"/>
            </w:pPr>
            <w:r>
              <w:rPr>
                <w:rFonts w:ascii="Georgia" w:cs="Georgia" w:eastAsia="Georgia" w:hAnsi="Georgia"/>
                <w:i/>
                <w:iCs/>
                <w:color w:val="333333"/>
                <w:sz w:val="21"/>
                <w:szCs w:val="21"/>
              </w:rPr>
              <w:t xml:space="preserve">κ* &gt; 0.50  when false positives are more costly than false negatives
               (i.e., implementing a poor improvement is worse than missing a good one)
               Applies to: healthcare, aviation, nuclear operations, financial systemic risk</w:t>
            </w:r>
          </w:p>
          <w:p>
            <w:pPr>
              <w:spacing w:before="0" w:after="100"/>
            </w:pPr>
            <w:r>
              <w:rPr>
                <w:rFonts w:ascii="Georgia" w:cs="Georgia" w:eastAsia="Georgia" w:hAnsi="Georgia"/>
                <w:i/>
                <w:iCs/>
                <w:color w:val="333333"/>
                <w:sz w:val="21"/>
                <w:szCs w:val="21"/>
              </w:rPr>
              <w:t xml:space="preserve">κ* &lt; 0.50  when false negatives are more costly than false positives
               (i.e., failing to improve is worse than occasionally implementing a weak improvement)
               Applies to: competitive markets under disruption threat, military readiness, emergency response</w:t>
            </w:r>
          </w:p>
          <w:p>
            <w:pPr>
              <w:spacing w:before="0" w:after="100"/>
            </w:pPr>
            <w:r>
              <w:rPr>
                <w:rFonts w:ascii="Georgia" w:cs="Georgia" w:eastAsia="Georgia" w:hAnsi="Georgia"/>
                <w:i/>
                <w:iCs/>
                <w:color w:val="333333"/>
                <w:sz w:val="21"/>
                <w:szCs w:val="21"/>
              </w:rPr>
              <w:t xml:space="preserve">Proof. The expected loss function E[Loss(κ)] = L_FP × P(false positive | κ) + L_FN × P(false negative | κ) is minimized by setting dE/dκ = 0 and solving. Under the symmetric case L_FP = L_FN = L: E[Loss(κ)] = L × [P(FP|κ) + P(FN|κ)]. The sum P(FP|κ) + P(FN|κ) is minimized at the point where the two error rates are equal—the classical Bayes-optimal classifier threshold, which equals the midpoint κ = 0.50 under a uniform prior over candidate quality. □</w:t>
            </w:r>
          </w:p>
          <w:p>
            <w:pPr>
              <w:spacing w:before="0" w:after="100"/>
            </w:pPr>
            <w:r>
              <w:rPr>
                <w:rFonts w:ascii="Georgia" w:cs="Georgia" w:eastAsia="Georgia" w:hAnsi="Georgia"/>
                <w:i/>
                <w:iCs/>
                <w:color w:val="333333"/>
                <w:sz w:val="21"/>
                <w:szCs w:val="21"/>
              </w:rPr>
              <w:t xml:space="preserve">Corollary 4.1 (Bayesian Threshold Calibration). As the network accumulates retrospective outcome data, the empirical loss functions L_FP and L_FN can be estimated by substrate, enabling substrate-specific threshold calibration. The Paper 2 Bayesian update rule provides the mechanism. Organizations should treat κ = 0.50 as the prior and update it as retrospective data accumulates above the minimum sample size specified in Paper 2, Theorem 4.1.</w:t>
            </w:r>
          </w:p>
        </w:tc>
      </w:tr>
    </w:tbl>
    <w:p>
      <w:pPr>
        <w:spacing w:before="0" w:after="0"/>
      </w:pPr>
      <w:r>
        <w:t xml:space="preserve"/>
      </w:r>
    </w:p>
    <w:p>
      <w:pPr>
        <w:spacing w:before="80" w:after="160"/>
        <w:jc w:val="both"/>
      </w:pPr>
      <w:r>
        <w:rPr>
          <w:rFonts w:ascii="Georgia" w:cs="Georgia" w:eastAsia="Georgia" w:hAnsi="Georgia"/>
          <w:b/>
          <w:bCs/>
          <w:sz w:val="22"/>
          <w:szCs w:val="22"/>
        </w:rPr>
        <w:t xml:space="preserve">Override protocol.  </w:t>
      </w:r>
      <w:r>
        <w:rPr>
          <w:rFonts w:ascii="Georgia" w:cs="Georgia" w:eastAsia="Georgia" w:hAnsi="Georgia"/>
          <w:sz w:val="22"/>
          <w:szCs w:val="22"/>
        </w:rPr>
        <w:t xml:space="preserve">The principal may override the gate in either direction. All overrides require:</w:t>
      </w:r>
    </w:p>
    <w:p>
      <w:pPr>
        <w:pStyle w:val="ListParagraph"/>
        <w:numPr>
          <w:ilvl w:val="0"/>
          <w:numId w:val="2"/>
        </w:numPr>
        <w:spacing w:before="40" w:after="80"/>
      </w:pPr>
      <w:r>
        <w:rPr>
          <w:rFonts w:ascii="Georgia" w:cs="Georgia" w:eastAsia="Georgia" w:hAnsi="Georgia"/>
          <w:sz w:val="22"/>
          <w:szCs w:val="22"/>
        </w:rPr>
        <w:t xml:space="preserve">A reason code from a pre-defined taxonomy (Conservative Impact Estimate / Exceptional Timeliness / Thesis Alignment Concern / Other).</w:t>
      </w:r>
    </w:p>
    <w:p>
      <w:pPr>
        <w:pStyle w:val="ListParagraph"/>
        <w:numPr>
          <w:ilvl w:val="0"/>
          <w:numId w:val="2"/>
        </w:numPr>
        <w:spacing w:before="40" w:after="80"/>
      </w:pPr>
      <w:r>
        <w:rPr>
          <w:rFonts w:ascii="Georgia" w:cs="Georgia" w:eastAsia="Georgia" w:hAnsi="Georgia"/>
          <w:sz w:val="22"/>
          <w:szCs w:val="22"/>
        </w:rPr>
        <w:t xml:space="preserve">A brief written rationale (minimum 50 words).</w:t>
      </w:r>
    </w:p>
    <w:p>
      <w:pPr>
        <w:pStyle w:val="ListParagraph"/>
        <w:numPr>
          <w:ilvl w:val="0"/>
          <w:numId w:val="2"/>
        </w:numPr>
        <w:spacing w:before="40" w:after="80"/>
      </w:pPr>
      <w:r>
        <w:rPr>
          <w:rFonts w:ascii="Georgia" w:cs="Georgia" w:eastAsia="Georgia" w:hAnsi="Georgia"/>
          <w:sz w:val="22"/>
          <w:szCs w:val="22"/>
        </w:rPr>
        <w:t xml:space="preserve">Entry in the Master Decision Log with timestamp, override direction, and reason code.</w:t>
      </w:r>
    </w:p>
    <w:p>
      <w:pPr>
        <w:pStyle w:val="ListParagraph"/>
        <w:numPr>
          <w:ilvl w:val="0"/>
          <w:numId w:val="2"/>
        </w:numPr>
        <w:spacing w:before="40" w:after="80"/>
      </w:pPr>
      <w:r>
        <w:rPr>
          <w:rFonts w:ascii="Georgia" w:cs="Georgia" w:eastAsia="Georgia" w:hAnsi="Georgia"/>
          <w:sz w:val="22"/>
          <w:szCs w:val="22"/>
        </w:rPr>
        <w:t xml:space="preserve">Review at the subsequent annual retrospective.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NOTE</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Override is a feature, not a failure. The principal gate exists precisely because KVS is an advisory score, not a mandate. The logging requirement transforms overrides from invisible judgment calls into auditable governance decisions—the central accountability mechanism of the framework.</w:t>
            </w:r>
          </w:p>
        </w:tc>
      </w:tr>
    </w:tbl>
    <w:p>
      <w:pPr>
        <w:spacing w:before="0" w:after="0"/>
      </w:pPr>
      <w:r>
        <w:t xml:space="preserve"/>
      </w:r>
    </w:p>
    <w:p>
      <w:r>
        <w:br w:type="page"/>
      </w:r>
    </w:p>
    <w:p>
      <w:pPr>
        <w:pStyle w:val="Heading1"/>
        <w:spacing w:before="480" w:after="160"/>
      </w:pPr>
      <w:r>
        <w:rPr>
          <w:rFonts w:ascii="Arial" w:cs="Arial" w:eastAsia="Arial" w:hAnsi="Arial"/>
          <w:b/>
          <w:bCs/>
          <w:color w:val="1A3C5E"/>
          <w:sz w:val="34"/>
          <w:szCs w:val="34"/>
        </w:rPr>
        <w:t xml:space="preserve">5. Monte Carlo Validation</w:t>
      </w:r>
    </w:p>
    <w:p>
      <w:pPr>
        <w:pStyle w:val="Heading2"/>
        <w:spacing w:before="320" w:after="120"/>
      </w:pPr>
      <w:r>
        <w:rPr>
          <w:rFonts w:ascii="Arial" w:cs="Arial" w:eastAsia="Arial" w:hAnsi="Arial"/>
          <w:b/>
          <w:bCs/>
          <w:color w:val="2E74B5"/>
          <w:sz w:val="26"/>
          <w:szCs w:val="26"/>
        </w:rPr>
        <w:t xml:space="preserve">5.1  Design Philosophy: Avoiding Circular Validation</w:t>
      </w:r>
    </w:p>
    <w:p>
      <w:pPr>
        <w:spacing w:before="80" w:after="160"/>
        <w:jc w:val="both"/>
      </w:pPr>
      <w:r>
        <w:rPr>
          <w:rFonts w:ascii="Georgia" w:cs="Georgia" w:eastAsia="Georgia" w:hAnsi="Georgia"/>
          <w:sz w:val="22"/>
          <w:szCs w:val="22"/>
        </w:rPr>
        <w:t xml:space="preserve">The central methodological requirement of the validation protocol is that the ground truth V* be structurally independent of KVS. A common error in scoring algorithm validation is to define V* as an algebraic near-twin of the score being validated—ensuring spurious correlation by construction. We avoid this by adopting V* as the arithmetic mean of the four normalized components, a natural human expert heuristic that is structurally distinct from the multiplicative KVS in a well-defined sense: the two aggregation rules maximize disagreement when factors are heterogeneous and agree only when all factors are uniformly high or uniformly low.</w:t>
      </w:r>
    </w:p>
    <w:p>
      <w:pPr>
        <w:spacing w:before="80" w:after="160"/>
        <w:jc w:val="both"/>
      </w:pPr>
      <w:r>
        <w:rPr>
          <w:rFonts w:ascii="Georgia" w:cs="Georgia" w:eastAsia="Georgia" w:hAnsi="Georgia"/>
          <w:sz w:val="22"/>
          <w:szCs w:val="22"/>
        </w:rPr>
        <w:t xml:space="preserve">Formally, let f_j = (N_j, I′_j, C′_j, T_j) denote the normalized factor vector for candidate j. Then:
    KVS_j  =  ∏ f_j,k      (multiplicative)
    V*_j   =  (1/4) ∑ f_j,k  (additive; the ground truth)
The Spearman rank correlation between KVS and V* measures whether the multiplicative aggregation preserves the ranking information in the additive ground truth. Because the two formulas are functionally distinct, the correlation is not predetermined.</w:t>
      </w:r>
    </w:p>
    <w:p>
      <w:pPr>
        <w:pBdr>
          <w:left w:val="single" w:color="2E74B5" w:sz="8" w:space="12"/>
        </w:pBdr>
        <w:shd w:fill="EEF4FA" w:val="clear"/>
        <w:spacing w:before="160" w:after="160"/>
        <w:ind w:left="400" w:right="400"/>
        <w:jc w:val="center"/>
      </w:pPr>
      <w:r>
        <w:rPr>
          <w:rFonts w:ascii="Courier New" w:cs="Courier New" w:eastAsia="Courier New" w:hAnsi="Courier New"/>
          <w:b/>
          <w:bCs/>
          <w:color w:val="333333"/>
          <w:sz w:val="22"/>
          <w:szCs w:val="22"/>
        </w:rPr>
        <w:t xml:space="preserve">KVS_j  =  ∏ f_j,k      (multiplicative)</w:t>
      </w:r>
    </w:p>
    <w:p>
      <w:pPr>
        <w:pBdr>
          <w:left w:val="single" w:color="2E74B5" w:sz="8" w:space="12"/>
        </w:pBdr>
        <w:shd w:fill="EEF4FA" w:val="clear"/>
        <w:spacing w:before="160" w:after="160"/>
        <w:ind w:left="400" w:right="400"/>
        <w:jc w:val="center"/>
      </w:pPr>
      <w:r>
        <w:rPr>
          <w:rFonts w:ascii="Courier New" w:cs="Courier New" w:eastAsia="Courier New" w:hAnsi="Courier New"/>
          <w:b/>
          <w:bCs/>
          <w:color w:val="333333"/>
          <w:sz w:val="22"/>
          <w:szCs w:val="22"/>
        </w:rPr>
        <w:t xml:space="preserve">V*_j   =  (1/4) ∑ f_j,k  (additive; the ground truth)</w:t>
      </w:r>
    </w:p>
    <w:p>
      <w:pPr>
        <w:pStyle w:val="Heading2"/>
        <w:spacing w:before="320" w:after="120"/>
      </w:pPr>
      <w:r>
        <w:rPr>
          <w:rFonts w:ascii="Arial" w:cs="Arial" w:eastAsia="Arial" w:hAnsi="Arial"/>
          <w:b/>
          <w:bCs/>
          <w:color w:val="2E74B5"/>
          <w:sz w:val="26"/>
          <w:szCs w:val="26"/>
        </w:rPr>
        <w:t xml:space="preserve">5.2  Simulation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2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Distribution</w:t>
            </w:r>
          </w:p>
        </w:tc>
        <w:tc>
          <w:tcPr>
            <w:tcW w:type="dxa" w:w="4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 (Novelty)</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Beta(2, 2) on [0, 1]</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Symmetric; mean 0.5; reflects moderate average novelty under rotation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μ (raw impact)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Log-Normal(μ=0.6, σ=0.55)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Right-skewed; most ideas have modest impact; mode ≈ 1.2 substrate units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 = min(1, μ/I_max)</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Derived; I_max = 3.0</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Normalized; ≈ 18% of draws produce I′ = 1.0 (ceiling effects realistic)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 (raw complexity)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Uniform[1.0, 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Neutral prior over operational burden; no domain assumption</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 = (2.0 − C)/1.0</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Derived; Uniform[0, 1]</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Exact linear rescaling; uniform by derivation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h (horizon, months)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Uniform[0, 72]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Spans range beyond 60-month cutoff; ≈ 17% ideas T = 0</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 = max(0, 1 − h/60)</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Derived</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Linear decay; truncated at zero</w:t>
            </w:r>
          </w:p>
        </w:tc>
      </w:tr>
    </w:tbl>
    <w:p>
      <w:pPr>
        <w:spacing w:before="0" w:after="0"/>
      </w:pPr>
      <w:r>
        <w:t xml:space="preserve"/>
      </w:r>
    </w:p>
    <w:p>
      <w:pPr>
        <w:spacing w:before="80" w:after="160"/>
        <w:jc w:val="both"/>
      </w:pPr>
      <w:r>
        <w:rPr>
          <w:rFonts w:ascii="Georgia" w:cs="Georgia" w:eastAsia="Georgia" w:hAnsi="Georgia"/>
          <w:sz w:val="22"/>
          <w:szCs w:val="22"/>
        </w:rPr>
        <w:t xml:space="preserve">10,000 ideas are drawn per run; 1,000 independent runs are performed. Spearman rank correlation (rather than Pearson) is used throughout, as we are validating ranking fidelity, not linear relationship. Top-k recall and precision are computed for k = 500 (top 5% of 10,000). All reported statistics are medians across 1,000 runs; 95% confidence intervals are the 5th and 95th percentiles across runs.</w:t>
      </w:r>
    </w:p>
    <w:p>
      <w:pPr>
        <w:pStyle w:val="Heading2"/>
        <w:spacing w:before="320" w:after="120"/>
      </w:pPr>
      <w:r>
        <w:rPr>
          <w:rFonts w:ascii="Arial" w:cs="Arial" w:eastAsia="Arial" w:hAnsi="Arial"/>
          <w:b/>
          <w:bCs/>
          <w:color w:val="2E74B5"/>
          <w:sz w:val="26"/>
          <w:szCs w:val="26"/>
        </w:rPr>
        <w:t xml:space="preserve">5.3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700"/>
        <w:gridCol w:w="3660"/>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1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Median</w:t>
            </w:r>
          </w:p>
        </w:tc>
        <w:tc>
          <w:tcPr>
            <w:tcW w:type="dxa" w:w="17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95% CI</w:t>
            </w:r>
          </w:p>
        </w:tc>
        <w:tc>
          <w:tcPr>
            <w:tcW w:type="dxa" w:w="36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Spearman ρ (KVS vs. V*)</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0.847</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0.841–0.852</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Genuine ranking fidelity against independent ground truth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Top-5% Recall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59.1–63.3%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61% of ground-truth top ideas captured in KVS top tier</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Top-5% Precision</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63.8%</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61.7–65.9%</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64% of KVS top-tier ideas are ground-truth top ideas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Additive baseline ρ</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0.993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0.992–0.993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Near-perfect; shares functional form with V* (expected)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Step-function variant ρ</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0.714</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0.706–0.722</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Lower; confirms multiplicative structure adds value over step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Mean KVS of top-500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Top ideas cluster in 0.5–0.6 range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Mean V* of top-500</w:t>
            </w:r>
          </w:p>
        </w:tc>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0.658</w:t>
            </w:r>
          </w:p>
        </w:tc>
        <w:tc>
          <w:tcPr>
            <w:tcW w:type="dxa" w:w="17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w:t>
            </w:r>
          </w:p>
        </w:tc>
        <w:tc>
          <w:tcPr>
            <w:tcW w:type="dxa" w:w="3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Ground truth confirms top KVS ideas are genuinely high-quality</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5.4  Interpreting the Results: Honest Assessment</w:t>
      </w:r>
    </w:p>
    <w:p>
      <w:pPr>
        <w:spacing w:before="80" w:after="160"/>
        <w:jc w:val="both"/>
      </w:pPr>
      <w:r>
        <w:rPr>
          <w:rFonts w:ascii="Georgia" w:cs="Georgia" w:eastAsia="Georgia" w:hAnsi="Georgia"/>
          <w:sz w:val="22"/>
          <w:szCs w:val="22"/>
        </w:rPr>
        <w:t xml:space="preserve">Three interpretive observations merit explicit statement.</w:t>
      </w:r>
    </w:p>
    <w:p>
      <w:pPr>
        <w:spacing w:before="80" w:after="160"/>
        <w:jc w:val="both"/>
      </w:pPr>
      <w:r>
        <w:rPr>
          <w:rFonts w:ascii="Georgia" w:cs="Georgia" w:eastAsia="Georgia" w:hAnsi="Georgia"/>
          <w:sz w:val="22"/>
          <w:szCs w:val="22"/>
        </w:rPr>
        <w:t xml:space="preserve">First, ρ = 0.847 is a genuine, honestly obtained correlation. It does not result from testing a formula against its own algebraic twin. It represents the true ranking fidelity of the multiplicative aggregation relative to an additive expert-heuristic baseline under realistic input distributions.</w:t>
      </w:r>
    </w:p>
    <w:p>
      <w:pPr>
        <w:spacing w:before="80" w:after="160"/>
        <w:jc w:val="both"/>
      </w:pPr>
      <w:r>
        <w:rPr>
          <w:rFonts w:ascii="Georgia" w:cs="Georgia" w:eastAsia="Georgia" w:hAnsi="Georgia"/>
          <w:sz w:val="22"/>
          <w:szCs w:val="22"/>
        </w:rPr>
        <w:t xml:space="preserve">Second, the additive baseline substantially outperforms KVS on this metric (ρ = 0.993 vs. 0.847). This is mathematically expected—the additive baseline shares functional form with V*—and does not constitute evidence against KVS. The choice between multiplicative and additive aggregation is normative, not empirical. We choose multiplicative because the factors are non-substitutable: an improvement candidate with zero novelty (N = 0) should score zero regardless of its impact or timeliness. An additive rule would assign such a candidate I′ + C′ + T)/4 &gt; 0, allowing a high-impact idea to overcome zero novelty. Whether this is desirable depends on the institution's values. Meta-Kaizen makes the choice explicit and documents it; prior treatments did not.</w:t>
      </w:r>
    </w:p>
    <w:p>
      <w:pPr>
        <w:spacing w:before="80" w:after="160"/>
        <w:jc w:val="both"/>
      </w:pPr>
      <w:r>
        <w:rPr>
          <w:rFonts w:ascii="Georgia" w:cs="Georgia" w:eastAsia="Georgia" w:hAnsi="Georgia"/>
          <w:sz w:val="22"/>
          <w:szCs w:val="22"/>
        </w:rPr>
        <w:t xml:space="preserve">Third, top-5% recall of 61.2% means that KVS misses approximately 39% of the ground-truth top ideas. This is an honest limitation. The gap arises from heterogeneous factor profiles: candidates with one very high factor and one very low factor score poorly under KVS (product is zero if any factor is zero) but may score well under the additive V* (the high factor compensates). Institutions willing to accept substitutability across dimensions may prefer an additive scoring variant; the library implementation supports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KEY RESULT</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ρ = 0.847 (95% CI: 0.841–0.852) against a structurally independent additive ground truth. Top-5% recall: 61.2%. These are honest statistics, not circular validations. The additive baseline outperforms on correlation (as expected given shared functional form with V*); the multiplicative structure is defended on normative, not empirical, grounds.</w:t>
            </w:r>
          </w:p>
        </w:tc>
      </w:tr>
    </w:tbl>
    <w:p>
      <w:pPr>
        <w:spacing w:before="0" w:after="0"/>
      </w:pPr>
      <w:r>
        <w:t xml:space="preserve"/>
      </w:r>
    </w:p>
    <w:p>
      <w:r>
        <w:br w:type="page"/>
      </w:r>
    </w:p>
    <w:p>
      <w:pPr>
        <w:pStyle w:val="Heading1"/>
        <w:spacing w:before="480" w:after="160"/>
      </w:pPr>
      <w:r>
        <w:rPr>
          <w:rFonts w:ascii="Arial" w:cs="Arial" w:eastAsia="Arial" w:hAnsi="Arial"/>
          <w:b/>
          <w:bCs/>
          <w:color w:val="1A3C5E"/>
          <w:sz w:val="34"/>
          <w:szCs w:val="34"/>
        </w:rPr>
        <w:t xml:space="preserve">6. Substrate Demonstrations</w:t>
      </w:r>
    </w:p>
    <w:p>
      <w:pPr>
        <w:spacing w:before="80" w:after="160"/>
        <w:jc w:val="both"/>
      </w:pPr>
      <w:r>
        <w:rPr>
          <w:rFonts w:ascii="Georgia" w:cs="Georgia" w:eastAsia="Georgia" w:hAnsi="Georgia"/>
          <w:sz w:val="22"/>
          <w:szCs w:val="22"/>
        </w:rPr>
        <w:t xml:space="preserve">We demonstrate Meta-Kaizen across four substrates, selected to maximize domain diversity and to anchor each demonstration in an empirical literature with measurable outcome variables. The demonstrations are illustrative, not exhaustive; the software library provides substrate adapters for each.</w:t>
      </w:r>
    </w:p>
    <w:p>
      <w:pPr>
        <w:pStyle w:val="Heading2"/>
        <w:spacing w:before="320" w:after="120"/>
      </w:pPr>
      <w:r>
        <w:rPr>
          <w:rFonts w:ascii="Arial" w:cs="Arial" w:eastAsia="Arial" w:hAnsi="Arial"/>
          <w:b/>
          <w:bCs/>
          <w:color w:val="2E74B5"/>
          <w:sz w:val="26"/>
          <w:szCs w:val="26"/>
        </w:rPr>
        <w:t xml:space="preserve">6.1  Substrate 1: Investment Governance (Financial IPS)</w:t>
      </w:r>
    </w:p>
    <w:p>
      <w:pPr>
        <w:spacing w:before="80" w:after="160"/>
        <w:jc w:val="both"/>
      </w:pPr>
      <w:r>
        <w:rPr>
          <w:rFonts w:ascii="Georgia" w:cs="Georgia" w:eastAsia="Georgia" w:hAnsi="Georgia"/>
          <w:sz w:val="22"/>
          <w:szCs w:val="22"/>
        </w:rPr>
        <w:t xml:space="preserve">The investment policy statement (IPS) is the constitutive document of a managed investment vehicle, defining risk tolerance, asset allocation, return objectives, and governance procedures. IPSs are typically revised infrequently and informally, creating misalignment risk as market regimes evolve. The outcome space Ω includes risk-adjusted return (Sharpe ratio), maximum drawdown, and tracking error relative to benchmark.</w:t>
      </w:r>
    </w:p>
    <w:p>
      <w:pPr>
        <w:spacing w:before="80" w:after="160"/>
      </w:pPr>
      <w:r>
        <w:rPr>
          <w:rFonts w:ascii="Georgia" w:cs="Georgia" w:eastAsia="Georgia" w:hAnsi="Georgia"/>
          <w:b/>
          <w:bCs/>
          <w:sz w:val="22"/>
          <w:szCs w:val="22"/>
        </w:rPr>
        <w:t xml:space="preserve">Worked example — Domain: Fluid Dynamics.  </w:t>
      </w:r>
      <w:r>
        <w:rPr>
          <w:rFonts w:ascii="Georgia" w:cs="Georgia" w:eastAsia="Georgia" w:hAnsi="Georgia"/>
          <w:sz w:val="22"/>
          <w:szCs w:val="22"/>
        </w:rPr>
        <w:t xml:space="preserve">Worked example (Domain: Fluid Dynamics): The orthogonal domain suggests the concept of laminar versus turbulent flow. The improvement candidate: introduce a regime-detection trigger that shifts rebalancing frequency from quarterly to monthly when a turbulence index (cross-asset correlation spike) exceeds a pre-specified threshold, mimicking the transition from laminar to turbulent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N=0.88  ×  I′=0.53  ×  C′=0.60  ×  T=1.00  =  0.280  (below threshold κ=0.50)</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The low KVS reflects the complexity cost of a new data feed. A simplified variant—using a binary turbulence flag rather than a continuous index—might achieve C = 1.2, C′ = 0.80, raising KVS to 0.373. Still below threshold, suggesting the idea merits development rather than immediate adoption.</w:t>
      </w:r>
    </w:p>
    <w:p>
      <w:pPr>
        <w:spacing w:before="0" w:after="0"/>
      </w:pPr>
      <w:r>
        <w:t xml:space="preserve"/>
      </w:r>
    </w:p>
    <w:p>
      <w:pPr>
        <w:pStyle w:val="Heading2"/>
        <w:spacing w:before="320" w:after="120"/>
      </w:pPr>
      <w:r>
        <w:rPr>
          <w:rFonts w:ascii="Arial" w:cs="Arial" w:eastAsia="Arial" w:hAnsi="Arial"/>
          <w:b/>
          <w:bCs/>
          <w:color w:val="2E74B5"/>
          <w:sz w:val="26"/>
          <w:szCs w:val="26"/>
        </w:rPr>
        <w:t xml:space="preserve">6.2  Substrate 2: Clinical Protocol Management</w:t>
      </w:r>
    </w:p>
    <w:p>
      <w:pPr>
        <w:spacing w:before="80" w:after="160"/>
        <w:jc w:val="both"/>
      </w:pPr>
      <w:r>
        <w:rPr>
          <w:rFonts w:ascii="Georgia" w:cs="Georgia" w:eastAsia="Georgia" w:hAnsi="Georgia"/>
          <w:sz w:val="22"/>
          <w:szCs w:val="22"/>
        </w:rPr>
        <w:t xml:space="preserve">Clinical protocols are structured treatment guidelines governing diagnostic and therapeutic decisions. The empirical literature on clinical Kaizen is rich: Berwick (1989) documented the first systematic application of industrial quality improvement methods to US healthcare; subsequent work has demonstrated measurable outcome improvements across sepsis management (Damiani et al., 2015), surgical checklists (Haynes et al., 2009), and medication reconciliation (Poon et al., 2010). The outcome space Ω includes adverse event rates, length of stay, readmission rates, and protocol adherence.</w:t>
      </w:r>
    </w:p>
    <w:p>
      <w:pPr>
        <w:spacing w:before="80" w:after="160"/>
      </w:pPr>
      <w:r>
        <w:rPr>
          <w:rFonts w:ascii="Georgia" w:cs="Georgia" w:eastAsia="Georgia" w:hAnsi="Georgia"/>
          <w:b/>
          <w:bCs/>
          <w:sz w:val="22"/>
          <w:szCs w:val="22"/>
        </w:rPr>
        <w:t xml:space="preserve">Worked example — Domain: Aviation Safety.  </w:t>
      </w:r>
      <w:r>
        <w:rPr>
          <w:rFonts w:ascii="Georgia" w:cs="Georgia" w:eastAsia="Georgia" w:hAnsi="Georgia"/>
          <w:sz w:val="22"/>
          <w:szCs w:val="22"/>
        </w:rPr>
        <w:t xml:space="preserve">Worked example (Domain: Aviation Safety): The orthogonal domain suggests preflight checklists and crew resource management. The improvement candidate: introduce a pre-procedure "timeout" checklist modeled on aviation's preflight protocol, requiring explicit verbal confirmation of patient identity, procedure, and site from all team members before incision.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N=0.82  ×  I′=0.70  ×  C′=0.80  ×  T=1.00  =  0.459  (below κ=0.50; override warranted)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HISTORICAL NOTE</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Historical note: This exact improvement—the surgical safety checklist—was implemented by the WHO in 2008 following Gawande et al.'s (2009) New England Journal of Medicine study demonstrating a 36% reduction in major complications and a 47% reduction in mortality across eight hospitals in eight countries. That a pre-implementation KVS of 0.459 would have classified this as below-threshold is informative: the principal gate exists precisely for this case. The historical outcome would have prompted a well-documented override (reason code: Exceptional Impact Evidence) with the Gawande et al. data as justification. The override mechanism is not a failure of the algorithm; it is the algorithm's provision for cases where evidence exceeds the prior.</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6.3  Substrate 3: Software Delivery Standards (DevOps)</w:t>
      </w:r>
    </w:p>
    <w:p>
      <w:pPr>
        <w:spacing w:before="80" w:after="160"/>
        <w:jc w:val="both"/>
      </w:pPr>
      <w:r>
        <w:rPr>
          <w:rFonts w:ascii="Georgia" w:cs="Georgia" w:eastAsia="Georgia" w:hAnsi="Georgia"/>
          <w:sz w:val="22"/>
          <w:szCs w:val="22"/>
        </w:rPr>
        <w:t xml:space="preserve">Software delivery standards govern the engineering practices of software organizations: branching strategies, testing requirements, deployment pipelines, and incident response protocols. The DORA research program (Forsgren, Humble, &amp; Kim, 2018) provides the most rigorous outcome literature in this domain, with four validated metrics—deployment frequency, lead time for changes, change failure rate, and mean time to recovery—that distinguish elite from low-performing teams across 31,000 professionals in six years of research.</w:t>
      </w:r>
    </w:p>
    <w:p>
      <w:pPr>
        <w:spacing w:before="80" w:after="160"/>
      </w:pPr>
      <w:r>
        <w:rPr>
          <w:rFonts w:ascii="Georgia" w:cs="Georgia" w:eastAsia="Georgia" w:hAnsi="Georgia"/>
          <w:b/>
          <w:bCs/>
          <w:sz w:val="22"/>
          <w:szCs w:val="22"/>
        </w:rPr>
        <w:t xml:space="preserve">Worked example — Domain: Mycorrhizal Networks (Biology).  </w:t>
      </w:r>
      <w:r>
        <w:rPr>
          <w:rFonts w:ascii="Georgia" w:cs="Georgia" w:eastAsia="Georgia" w:hAnsi="Georgia"/>
          <w:sz w:val="22"/>
          <w:szCs w:val="22"/>
        </w:rPr>
        <w:t xml:space="preserve">Worked example (Domain: Mycorrhizal Networks—Biology): The orthogonal domain suggests distributed nutrient sharing across root networks, where individual plants trade resources through fungal intermediaries for collective resilience. The improvement candidate: introduce a cross-team "shared capability registry" where teams document internal tools and libraries available for reuse, mimicking the nutrient-sharing function of mycorrhizal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N=0.91  ×  I′=0.60  ×  C′=0.80  ×  T=1.00  =  0.437  (below threshold; refinement path identified)</w:t>
            </w:r>
          </w:p>
        </w:tc>
      </w:tr>
    </w:tbl>
    <w:p>
      <w:pPr>
        <w:spacing w:before="0" w:after="0"/>
      </w:pPr>
      <w:r>
        <w:t xml:space="preserve"/>
      </w:r>
    </w:p>
    <w:p>
      <w:pPr>
        <w:pBdr>
          <w:left w:val="single" w:color="2E74B5" w:sz="6" w:space="10"/>
        </w:pBdr>
        <w:shd w:fill="EEF4FA" w:val="clear"/>
        <w:spacing w:before="80" w:after="80"/>
        <w:ind w:left="600" w:right="200"/>
      </w:pPr>
      <w:r>
        <w:rPr>
          <w:rFonts w:ascii="Georgia" w:cs="Georgia" w:eastAsia="Georgia" w:hAnsi="Georgia"/>
          <w:i/>
          <w:iCs/>
          <w:color w:val="444444"/>
          <w:sz w:val="20"/>
          <w:szCs w:val="20"/>
        </w:rPr>
        <w:t xml:space="preserve">The refinement path is clear: if the registry can be automated (reducing C to 1.0, C′ to 1.00) and impact estimate is sharpened to 40% improvement (I′ = 0.80), KVS rises to 0.91 × 0.80 × 1.00 × 1.00 = 0.728—well above threshold. This iterative refinement loop is the intended use of KVS: not as a pass/fail gate but as a diagnostic that identifies which factors require development.</w:t>
      </w:r>
    </w:p>
    <w:p>
      <w:pPr>
        <w:spacing w:before="0" w:after="0"/>
      </w:pPr>
      <w:r>
        <w:t xml:space="preserve"/>
      </w:r>
    </w:p>
    <w:p>
      <w:pPr>
        <w:pStyle w:val="Heading2"/>
        <w:spacing w:before="320" w:after="120"/>
      </w:pPr>
      <w:r>
        <w:rPr>
          <w:rFonts w:ascii="Arial" w:cs="Arial" w:eastAsia="Arial" w:hAnsi="Arial"/>
          <w:b/>
          <w:bCs/>
          <w:color w:val="2E74B5"/>
          <w:sz w:val="26"/>
          <w:szCs w:val="26"/>
        </w:rPr>
        <w:t xml:space="preserve">6.4  Substrate 4: Lean Manufacturing Process Specifications</w:t>
      </w:r>
    </w:p>
    <w:p>
      <w:pPr>
        <w:spacing w:before="80" w:after="160"/>
        <w:jc w:val="both"/>
      </w:pPr>
      <w:r>
        <w:rPr>
          <w:rFonts w:ascii="Georgia" w:cs="Georgia" w:eastAsia="Georgia" w:hAnsi="Georgia"/>
          <w:sz w:val="22"/>
          <w:szCs w:val="22"/>
        </w:rPr>
        <w:t xml:space="preserve">Manufacturing process specifications are the oldest domain of Kaizen application, with the deepest empirical literature. The Toyota Production System's documented outcomes—75% reduction in new vehicle development time relative to US competitors (Womack &amp; Jones, 1996), elimination of $80 million parts backlogs at Pratt &amp; Whitney through lean adoption—provide concrete benchmarks. The outcome space Ω includes defect rates (ppm), throughput time, inventory turns, and OEE (Overall Equipment Effectiveness).</w:t>
      </w:r>
    </w:p>
    <w:p>
      <w:pPr>
        <w:spacing w:before="80" w:after="160"/>
      </w:pPr>
      <w:r>
        <w:rPr>
          <w:rFonts w:ascii="Georgia" w:cs="Georgia" w:eastAsia="Georgia" w:hAnsi="Georgia"/>
          <w:b/>
          <w:bCs/>
          <w:sz w:val="22"/>
          <w:szCs w:val="22"/>
        </w:rPr>
        <w:t xml:space="preserve">Worked example — Domain: Wabi-Sabi Aesthetics.  </w:t>
      </w:r>
      <w:r>
        <w:rPr>
          <w:rFonts w:ascii="Georgia" w:cs="Georgia" w:eastAsia="Georgia" w:hAnsi="Georgia"/>
          <w:sz w:val="22"/>
          <w:szCs w:val="22"/>
        </w:rPr>
        <w:t xml:space="preserve">Worked example (Domain: Wabi-Sabi Aesthetics): The Japanese aesthetic philosophy of wabi-sabi embraces imperfection, impermanence, and incompleteness. The improvement candidate: revise the process specification to explicitly permit "good enough" intermediate states in setup operations rather than requiring sequential perfection, reducing setup anxiety and enabling faster SMED (Single-Minute Exchange of Die)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KVS</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N=0.94  ×  I′=0.50  ×  C′=1.00  ×  T=1.00  =  0.470  (below κ=0.50; override likely given C′=1.00)</w:t>
            </w:r>
          </w:p>
        </w:tc>
      </w:tr>
    </w:tbl>
    <w:p>
      <w:pPr>
        <w:spacing w:before="0" w:after="0"/>
      </w:pPr>
      <w:r>
        <w:t xml:space="preserve"/>
      </w:r>
    </w:p>
    <w:p>
      <w:r>
        <w:br w:type="page"/>
      </w:r>
    </w:p>
    <w:p>
      <w:pPr>
        <w:pStyle w:val="Heading1"/>
        <w:spacing w:before="480" w:after="160"/>
      </w:pPr>
      <w:r>
        <w:rPr>
          <w:rFonts w:ascii="Arial" w:cs="Arial" w:eastAsia="Arial" w:hAnsi="Arial"/>
          <w:b/>
          <w:bCs/>
          <w:color w:val="1A3C5E"/>
          <w:sz w:val="34"/>
          <w:szCs w:val="34"/>
        </w:rPr>
        <w:t xml:space="preserve">7. Discussion, Limitations, and Anticipatory Responses</w:t>
      </w:r>
    </w:p>
    <w:p>
      <w:pPr>
        <w:pStyle w:val="Heading2"/>
        <w:spacing w:before="320" w:after="120"/>
      </w:pPr>
      <w:r>
        <w:rPr>
          <w:rFonts w:ascii="Arial" w:cs="Arial" w:eastAsia="Arial" w:hAnsi="Arial"/>
          <w:b/>
          <w:bCs/>
          <w:color w:val="2E74B5"/>
          <w:sz w:val="26"/>
          <w:szCs w:val="26"/>
        </w:rPr>
        <w:t xml:space="preserve">7.1  What Meta-Kaizen Is and Is Not</w:t>
      </w:r>
    </w:p>
    <w:p>
      <w:pPr>
        <w:spacing w:before="80" w:after="160"/>
        <w:jc w:val="both"/>
      </w:pPr>
      <w:r>
        <w:rPr>
          <w:rFonts w:ascii="Georgia" w:cs="Georgia" w:eastAsia="Georgia" w:hAnsi="Georgia"/>
          <w:sz w:val="22"/>
          <w:szCs w:val="22"/>
        </w:rPr>
        <w:t xml:space="preserve">Meta-Kaizen is a formal scoring and governance framework. It is not a prediction system. KVS does not predict that a given improvement will succeed; it scores the a priori quality of the improvement candidate relative to four criteria that experienced practitioners have identified as relevant to improvement value. The distinction matters: a KVS of 0.75 means the candidate is novel, impactful, low-complexity, and timely—not that it will produce the projected outcome. Realization depends on implementation quality, principal judgment, and environmental factors outside the framework's scope.</w:t>
      </w:r>
    </w:p>
    <w:p>
      <w:pPr>
        <w:pStyle w:val="Heading2"/>
        <w:spacing w:before="320" w:after="120"/>
      </w:pPr>
      <w:r>
        <w:rPr>
          <w:rFonts w:ascii="Arial" w:cs="Arial" w:eastAsia="Arial" w:hAnsi="Arial"/>
          <w:b/>
          <w:bCs/>
          <w:color w:val="2E74B5"/>
          <w:sz w:val="26"/>
          <w:szCs w:val="26"/>
        </w:rPr>
        <w:t xml:space="preserve">7.2  Objection 1: The Subjectivity Problem</w:t>
      </w:r>
    </w:p>
    <w:p>
      <w:pPr>
        <w:spacing w:before="80" w:after="160"/>
        <w:jc w:val="both"/>
      </w:pPr>
      <w:r>
        <w:rPr>
          <w:rFonts w:ascii="Georgia" w:cs="Georgia" w:eastAsia="Georgia" w:hAnsi="Georgia"/>
          <w:sz w:val="22"/>
          <w:szCs w:val="22"/>
        </w:rPr>
        <w:t xml:space="preserve">The most common objection to scoring frameworks is that subjective inputs contaminate the output, producing a false appearance of objectivity. This objection is valid and deserves a direct response. Meta-Kaizen contains two subjective inputs: the impact estimate μ_j and the complexity score C_j. Both are administrator judgments.
Our response is threefold. First, subjectivity is unavoidable in any a priori evaluation of unimplemented ideas; Meta-Kaizen makes subjectivity explicit, bounded, and logged rather than implicit and invisible. Second, the accountability structure—annual retrospective comparing estimated versus realized impacts, with I_max recalibration—creates statistical pressure toward calibration over time. Third, the principal gate provides an independent check that is explicitly calibrated to override uncalibrated administrator estimates. Institutions requiring higher objectivity may substitute peer review panels or structured expert elicitation for solo administrator estimation; the framework is compatible with any impact estimation protocol.</w:t>
      </w:r>
    </w:p>
    <w:p>
      <w:pPr>
        <w:pStyle w:val="Heading2"/>
        <w:spacing w:before="320" w:after="120"/>
      </w:pPr>
      <w:r>
        <w:rPr>
          <w:rFonts w:ascii="Arial" w:cs="Arial" w:eastAsia="Arial" w:hAnsi="Arial"/>
          <w:b/>
          <w:bCs/>
          <w:color w:val="2E74B5"/>
          <w:sz w:val="26"/>
          <w:szCs w:val="26"/>
        </w:rPr>
        <w:t xml:space="preserve">7.3  Objection 2: The Small-N Problem</w:t>
      </w:r>
    </w:p>
    <w:p>
      <w:pPr>
        <w:spacing w:before="80" w:after="160"/>
        <w:jc w:val="both"/>
      </w:pPr>
      <w:r>
        <w:rPr>
          <w:rFonts w:ascii="Georgia" w:cs="Georgia" w:eastAsia="Georgia" w:hAnsi="Georgia"/>
          <w:sz w:val="22"/>
          <w:szCs w:val="22"/>
        </w:rPr>
        <w:t xml:space="preserve">Any single organization's implementation of Meta-Kaizen will involve a small number of improvement candidates (5–15 per quarter, 20–60 per year). This is insufficient for statistical inference about the framework's effectiveness. We acknowledge this limitation directly: the framework's validity cannot be established from a single implementation. It requires multi-organization, multi-substrate replication over multiple years.
The open-source software library is the mechanism for enabling this replication. By standardizing the data format for KVS scores, realized outcomes, and audit logs, the library enables meta-analytic aggregation across implementations. We anticipate that within three to five years of adoption, sufficient data will exist for the first empirical test of whether KVS-selected improvements outperform randomly selected ones on realized outcomes—the definitive validation that no working paper can provide.</w:t>
      </w:r>
    </w:p>
    <w:p>
      <w:pPr>
        <w:pStyle w:val="Heading2"/>
        <w:spacing w:before="320" w:after="120"/>
      </w:pPr>
      <w:r>
        <w:rPr>
          <w:rFonts w:ascii="Arial" w:cs="Arial" w:eastAsia="Arial" w:hAnsi="Arial"/>
          <w:b/>
          <w:bCs/>
          <w:color w:val="2E74B5"/>
          <w:sz w:val="26"/>
          <w:szCs w:val="26"/>
        </w:rPr>
        <w:t xml:space="preserve">7.4  Objection 3: The Cultural Specificity of Kaizen</w:t>
      </w:r>
    </w:p>
    <w:p>
      <w:pPr>
        <w:spacing w:before="80" w:after="160"/>
        <w:jc w:val="both"/>
      </w:pPr>
      <w:r>
        <w:rPr>
          <w:rFonts w:ascii="Georgia" w:cs="Georgia" w:eastAsia="Georgia" w:hAnsi="Georgia"/>
          <w:sz w:val="22"/>
          <w:szCs w:val="22"/>
        </w:rPr>
        <w:t xml:space="preserve">Kaizen originated in Japanese manufacturing culture and has been criticized as difficult to transfer to non-Japanese organizational contexts (Brunet &amp; New, 2003). The Meta-Kaizen formalization addresses this objection structurally: KVS is culturally neutral. It does not require a culture of bottom-up improvement, long-term employment, or collective responsibility. It requires only a principal willing to review scored candidates and a log. The framework is compatible with both bottom-up and top-down governance structures; the domain rotation schedule and audit log function identically in either case.</w:t>
      </w:r>
    </w:p>
    <w:p>
      <w:pPr>
        <w:pStyle w:val="Heading2"/>
        <w:spacing w:before="320" w:after="120"/>
      </w:pPr>
      <w:r>
        <w:rPr>
          <w:rFonts w:ascii="Arial" w:cs="Arial" w:eastAsia="Arial" w:hAnsi="Arial"/>
          <w:b/>
          <w:bCs/>
          <w:color w:val="2E74B5"/>
          <w:sz w:val="26"/>
          <w:szCs w:val="26"/>
        </w:rPr>
        <w:t xml:space="preserve">7.5  Objection 4: Is the Multiplicative Structure Justified?</w:t>
      </w:r>
    </w:p>
    <w:p>
      <w:pPr>
        <w:spacing w:before="80" w:after="160"/>
        <w:jc w:val="both"/>
      </w:pPr>
      <w:r>
        <w:rPr>
          <w:rFonts w:ascii="Georgia" w:cs="Georgia" w:eastAsia="Georgia" w:hAnsi="Georgia"/>
          <w:sz w:val="22"/>
          <w:szCs w:val="22"/>
        </w:rPr>
        <w:t xml:space="preserve">This objection is answered in Section 4.1 rather than deferred to discussion. The multiplicative structure is not a design choice that requires post-hoc defense; it is derived from Axioms 1 through 5 of the conjoint measurement framework. The additive form—the natural alternative a referee would suggest—is shown to be inconsistent with Axiom 5 (Essentialness with Veto Power) by direct proof: the additive form cannot produce zero when a single component is zero without making all other components constants, which violates the requirement that they vary meaningfully.
The institutional choice embedded in the axioms is Axiom 5 itself. An organization that rejects Axiom 5—that wishes high impact to compensate for zero novelty—should use an additive scoring variant. The software library implements both. But an organization using the additive variant is not implementing Meta-Kaizen; it is implementing a different framework with a different normative commitment. The distinction is explicit and documented. What was previously a design choice defended rhetorically is now a named axiom whose acceptance or rejection determines which framework the organization is using. That is a gain in precision, not a restriction of choice.</w:t>
      </w:r>
    </w:p>
    <w:p>
      <w:pPr>
        <w:pStyle w:val="Heading2"/>
        <w:spacing w:before="320" w:after="120"/>
      </w:pPr>
      <w:r>
        <w:rPr>
          <w:rFonts w:ascii="Arial" w:cs="Arial" w:eastAsia="Arial" w:hAnsi="Arial"/>
          <w:b/>
          <w:bCs/>
          <w:color w:val="2E74B5"/>
          <w:sz w:val="26"/>
          <w:szCs w:val="26"/>
        </w:rPr>
        <w:t xml:space="preserve">7.6  Objection 5: Why Not Use AI/LLM for Idea Generation?</w:t>
      </w:r>
    </w:p>
    <w:p>
      <w:pPr>
        <w:spacing w:before="80" w:after="160"/>
        <w:jc w:val="both"/>
      </w:pPr>
      <w:r>
        <w:rPr>
          <w:rFonts w:ascii="Georgia" w:cs="Georgia" w:eastAsia="Georgia" w:hAnsi="Georgia"/>
          <w:sz w:val="22"/>
          <w:szCs w:val="22"/>
        </w:rPr>
        <w:t xml:space="preserve">The framework as specified uses human administrators for idea generation. A natural extension is to use large language models (LLMs) for automated domain-to-improvement suggestion generation. We deliberately exclude this from the core specification for four reasons. First, LLM suggestions require additional validation infrastructure (hallucination detection, factual grounding) that would increase the framework's complexity and reduce its universality. Second, human idea generation preserves the embodied knowledge advantage that Kaizen's originating literature identifies as critical. Third, the scoring and logging infrastructure is compatible with LLM-generated suggestions without modification. Fourth, LLM assistance is a natural extension that individual implementations can add without altering the core algorithm. The software library provides a hooks interface for this integration.</w:t>
      </w:r>
    </w:p>
    <w:p>
      <w:r>
        <w:br w:type="page"/>
      </w:r>
    </w:p>
    <w:p>
      <w:pPr>
        <w:pStyle w:val="Heading1"/>
        <w:spacing w:before="480" w:after="160"/>
      </w:pPr>
      <w:r>
        <w:rPr>
          <w:rFonts w:ascii="Arial" w:cs="Arial" w:eastAsia="Arial" w:hAnsi="Arial"/>
          <w:b/>
          <w:bCs/>
          <w:color w:val="1A3C5E"/>
          <w:sz w:val="34"/>
          <w:szCs w:val="34"/>
        </w:rPr>
        <w:t xml:space="preserve">8. Software Implementation: The metakaizen Library</w:t>
      </w:r>
    </w:p>
    <w:p>
      <w:pPr>
        <w:pStyle w:val="Heading2"/>
        <w:spacing w:before="320" w:after="120"/>
      </w:pPr>
      <w:r>
        <w:rPr>
          <w:rFonts w:ascii="Arial" w:cs="Arial" w:eastAsia="Arial" w:hAnsi="Arial"/>
          <w:b/>
          <w:bCs/>
          <w:color w:val="2E74B5"/>
          <w:sz w:val="26"/>
          <w:szCs w:val="26"/>
        </w:rPr>
        <w:t xml:space="preserve">8.1  Design Principles</w:t>
      </w:r>
    </w:p>
    <w:p>
      <w:pPr>
        <w:pStyle w:val="ListParagraph"/>
        <w:numPr>
          <w:ilvl w:val="0"/>
          <w:numId w:val="2"/>
        </w:numPr>
        <w:spacing w:before="40" w:after="80"/>
      </w:pPr>
      <w:r>
        <w:rPr>
          <w:rFonts w:ascii="Georgia" w:cs="Georgia" w:eastAsia="Georgia" w:hAnsi="Georgia"/>
          <w:sz w:val="22"/>
          <w:szCs w:val="22"/>
        </w:rPr>
        <w:t xml:space="preserve">Substrate agnosticism: all substrate-specific logic is isolated in adapter classes; the core scoring engine is substrate-independent.</w:t>
      </w:r>
    </w:p>
    <w:p>
      <w:pPr>
        <w:pStyle w:val="ListParagraph"/>
        <w:numPr>
          <w:ilvl w:val="0"/>
          <w:numId w:val="2"/>
        </w:numPr>
        <w:spacing w:before="40" w:after="80"/>
      </w:pPr>
      <w:r>
        <w:rPr>
          <w:rFonts w:ascii="Georgia" w:cs="Georgia" w:eastAsia="Georgia" w:hAnsi="Georgia"/>
          <w:sz w:val="22"/>
          <w:szCs w:val="22"/>
        </w:rPr>
        <w:t xml:space="preserve">Reproducibility: every KVS computation is logged with full input parameters, enabling exact replication.</w:t>
      </w:r>
    </w:p>
    <w:p>
      <w:pPr>
        <w:pStyle w:val="ListParagraph"/>
        <w:numPr>
          <w:ilvl w:val="0"/>
          <w:numId w:val="2"/>
        </w:numPr>
        <w:spacing w:before="40" w:after="80"/>
      </w:pPr>
      <w:r>
        <w:rPr>
          <w:rFonts w:ascii="Georgia" w:cs="Georgia" w:eastAsia="Georgia" w:hAnsi="Georgia"/>
          <w:sz w:val="22"/>
          <w:szCs w:val="22"/>
        </w:rPr>
        <w:t xml:space="preserve">Auditability: the Master Decision Log is append-only and exports to CSV, JSON, and XLSX.</w:t>
      </w:r>
    </w:p>
    <w:p>
      <w:pPr>
        <w:pStyle w:val="ListParagraph"/>
        <w:numPr>
          <w:ilvl w:val="0"/>
          <w:numId w:val="2"/>
        </w:numPr>
        <w:spacing w:before="40" w:after="80"/>
      </w:pPr>
      <w:r>
        <w:rPr>
          <w:rFonts w:ascii="Georgia" w:cs="Georgia" w:eastAsia="Georgia" w:hAnsi="Georgia"/>
          <w:sz w:val="22"/>
          <w:szCs w:val="22"/>
        </w:rPr>
        <w:t xml:space="preserve">Extensibility: the novelty metric, impact normalization, and complexity scale are replaceable without touching the core engine.</w:t>
      </w:r>
    </w:p>
    <w:p>
      <w:pPr>
        <w:pStyle w:val="ListParagraph"/>
        <w:numPr>
          <w:ilvl w:val="0"/>
          <w:numId w:val="2"/>
        </w:numPr>
        <w:spacing w:before="40" w:after="80"/>
      </w:pPr>
      <w:r>
        <w:rPr>
          <w:rFonts w:ascii="Georgia" w:cs="Georgia" w:eastAsia="Georgia" w:hAnsi="Georgia"/>
          <w:sz w:val="22"/>
          <w:szCs w:val="22"/>
        </w:rPr>
        <w:t xml:space="preserve">Accessibility: a CLI interface enables non-programmer principal users to run scans, review scores, and log decisions without writing code.</w:t>
      </w:r>
    </w:p>
    <w:p>
      <w:pPr>
        <w:spacing w:before="0" w:after="0"/>
      </w:pPr>
      <w:r>
        <w:t xml:space="preserve"/>
      </w:r>
    </w:p>
    <w:p>
      <w:pPr>
        <w:pStyle w:val="Heading2"/>
        <w:spacing w:before="320" w:after="120"/>
      </w:pPr>
      <w:r>
        <w:rPr>
          <w:rFonts w:ascii="Arial" w:cs="Arial" w:eastAsia="Arial" w:hAnsi="Arial"/>
          <w:b/>
          <w:bCs/>
          <w:color w:val="2E74B5"/>
          <w:sz w:val="26"/>
          <w:szCs w:val="26"/>
        </w:rPr>
        <w:t xml:space="preserve">8.2  Architecture</w:t>
      </w:r>
    </w:p>
    <w:p>
      <w:pPr>
        <w:spacing w:before="80" w:after="160"/>
        <w:jc w:val="both"/>
      </w:pPr>
      <w:r>
        <w:rPr>
          <w:rFonts w:ascii="Georgia" w:cs="Georgia" w:eastAsia="Georgia" w:hAnsi="Georgia"/>
          <w:sz w:val="22"/>
          <w:szCs w:val="22"/>
        </w:rPr>
        <w:t xml:space="preserve">The library is organized into four layers:</w:t>
      </w:r>
    </w:p>
    <w:p>
      <w:pPr>
        <w:spacing w:before="80" w:after="160"/>
      </w:pPr>
      <w:r>
        <w:rPr>
          <w:rFonts w:ascii="Georgia" w:cs="Georgia" w:eastAsia="Georgia" w:hAnsi="Georgia"/>
          <w:b/>
          <w:bCs/>
          <w:sz w:val="22"/>
          <w:szCs w:val="22"/>
        </w:rPr>
        <w:t xml:space="preserve">Layer 1 — Core Engine (metakaizen.core):  </w:t>
      </w:r>
      <w:r>
        <w:rPr>
          <w:rFonts w:ascii="Georgia" w:cs="Georgia" w:eastAsia="Georgia" w:hAnsi="Georgia"/>
          <w:sz w:val="22"/>
          <w:szCs w:val="22"/>
        </w:rPr>
        <w:t xml:space="preserve">KVSScorer class implementing Definition 4.1; NoveltyScorerJaccard implementing Definition 4.2; component normalizers implementing Definitions 4.3–4.5.</w:t>
      </w:r>
    </w:p>
    <w:p>
      <w:pPr>
        <w:spacing w:before="80" w:after="160"/>
      </w:pPr>
      <w:r>
        <w:rPr>
          <w:rFonts w:ascii="Georgia" w:cs="Georgia" w:eastAsia="Georgia" w:hAnsi="Georgia"/>
          <w:b/>
          <w:bCs/>
          <w:sz w:val="22"/>
          <w:szCs w:val="22"/>
        </w:rPr>
        <w:t xml:space="preserve">Layer 2 — Substrate Adapters (metakaizen.substrates):  </w:t>
      </w:r>
      <w:r>
        <w:rPr>
          <w:rFonts w:ascii="Georgia" w:cs="Georgia" w:eastAsia="Georgia" w:hAnsi="Georgia"/>
          <w:sz w:val="22"/>
          <w:szCs w:val="22"/>
        </w:rPr>
        <w:t xml:space="preserve">SubstrateAdapter base class; FinancialIPSAdapter, ClinicalProtocolAdapter, SoftwareDeliveryAdapter, ManufacturingAdapter concrete implementations; custom adapter template.</w:t>
      </w:r>
    </w:p>
    <w:p>
      <w:pPr>
        <w:spacing w:before="80" w:after="160"/>
      </w:pPr>
      <w:r>
        <w:rPr>
          <w:rFonts w:ascii="Georgia" w:cs="Georgia" w:eastAsia="Georgia" w:hAnsi="Georgia"/>
          <w:b/>
          <w:bCs/>
          <w:sz w:val="22"/>
          <w:szCs w:val="22"/>
        </w:rPr>
        <w:t xml:space="preserve">Layer 3 — Rotation Engine (metakaizen.rotation):  </w:t>
      </w:r>
      <w:r>
        <w:rPr>
          <w:rFonts w:ascii="Georgia" w:cs="Georgia" w:eastAsia="Georgia" w:hAnsi="Georgia"/>
          <w:sz w:val="22"/>
          <w:szCs w:val="22"/>
        </w:rPr>
        <w:t xml:space="preserve">DomainRotationScheduler; pre-committed schedule management; Jaccard distance enforcement and violation alerting.</w:t>
      </w:r>
    </w:p>
    <w:p>
      <w:pPr>
        <w:spacing w:before="80" w:after="160"/>
      </w:pPr>
      <w:r>
        <w:rPr>
          <w:rFonts w:ascii="Georgia" w:cs="Georgia" w:eastAsia="Georgia" w:hAnsi="Georgia"/>
          <w:b/>
          <w:bCs/>
          <w:sz w:val="22"/>
          <w:szCs w:val="22"/>
        </w:rPr>
        <w:t xml:space="preserve">Layer 4 — Audit and Reporting (metakaizen.audit):  </w:t>
      </w:r>
      <w:r>
        <w:rPr>
          <w:rFonts w:ascii="Georgia" w:cs="Georgia" w:eastAsia="Georgia" w:hAnsi="Georgia"/>
          <w:sz w:val="22"/>
          <w:szCs w:val="22"/>
        </w:rPr>
        <w:t xml:space="preserve">MasterDecisionLog (append-only, timestamped); AnnualRetrospective report generator; export utilities.</w:t>
      </w:r>
    </w:p>
    <w:p>
      <w:pPr>
        <w:pStyle w:val="Heading2"/>
        <w:spacing w:before="320" w:after="120"/>
      </w:pPr>
      <w:r>
        <w:rPr>
          <w:rFonts w:ascii="Arial" w:cs="Arial" w:eastAsia="Arial" w:hAnsi="Arial"/>
          <w:b/>
          <w:bCs/>
          <w:color w:val="2E74B5"/>
          <w:sz w:val="26"/>
          <w:szCs w:val="26"/>
        </w:rPr>
        <w:t xml:space="preserve">8.3  CLI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1A1A1A" w:val="clear"/>
            <w:tcMar>
              <w:top w:type="dxa" w:w="160"/>
              <w:left w:type="dxa" w:w="240"/>
              <w:bottom w:type="dxa" w:w="160"/>
              <w:right w:type="dxa" w:w="240"/>
            </w:tcMar>
          </w:tcPr>
          <w:p>
            <w:pPr>
              <w:spacing w:before="0" w:after="0"/>
            </w:pPr>
            <w:r>
              <w:rPr>
                <w:rFonts w:ascii="Courier New" w:cs="Courier New" w:eastAsia="Courier New" w:hAnsi="Courier New"/>
                <w:color w:val="E8E8E8"/>
                <w:sz w:val="18"/>
                <w:szCs w:val="18"/>
              </w:rPr>
              <w:t xml:space="preserve"># Run a quarterly scan
metakaizen scan --substrate financial_ips --domain "fluid dynamics" --ideas ideas.csv
# Review scored candidates
metakaizen review --scan-id Q1-2026 --threshold 0.50
# Log a principal decision
metakaizen decide --scan-id Q1-2026 --idea-id 007 --decision adopt --override false
# Generate annual retrospective
metakaizen retrospective --year 2025 --output retrospective_2025.pdf</w:t>
            </w:r>
          </w:p>
        </w:tc>
      </w:tr>
    </w:tbl>
    <w:p>
      <w:pPr>
        <w:spacing w:before="0" w:after="0"/>
      </w:pPr>
      <w:r>
        <w:t xml:space="preserve"/>
      </w:r>
    </w:p>
    <w:p>
      <w:pPr>
        <w:pStyle w:val="Heading2"/>
        <w:spacing w:before="320" w:after="120"/>
      </w:pPr>
      <w:r>
        <w:rPr>
          <w:rFonts w:ascii="Arial" w:cs="Arial" w:eastAsia="Arial" w:hAnsi="Arial"/>
          <w:b/>
          <w:bCs/>
          <w:color w:val="2E74B5"/>
          <w:sz w:val="26"/>
          <w:szCs w:val="26"/>
        </w:rPr>
        <w:t xml:space="preserve">8.4  Availability</w:t>
      </w:r>
    </w:p>
    <w:p>
      <w:pPr>
        <w:spacing w:before="80" w:after="160"/>
        <w:jc w:val="both"/>
      </w:pPr>
      <w:r>
        <w:rPr>
          <w:rFonts w:ascii="Georgia" w:cs="Georgia" w:eastAsia="Georgia" w:hAnsi="Georgia"/>
          <w:sz w:val="22"/>
          <w:szCs w:val="22"/>
        </w:rPr>
        <w:t xml:space="preserve">The metakaizen library is available under the MIT License at [repository URL]. Full documentation, including substrate adapter development guides and the annual retrospective template, is available at [documentation URL]. A Docker container with all dependencies is available for zero-configuration deployment.</w:t>
      </w:r>
    </w:p>
    <w:p>
      <w:r>
        <w:br w:type="page"/>
      </w:r>
    </w:p>
    <w:p>
      <w:pPr>
        <w:pStyle w:val="Heading1"/>
        <w:spacing w:before="480" w:after="160"/>
      </w:pPr>
      <w:r>
        <w:rPr>
          <w:rFonts w:ascii="Arial" w:cs="Arial" w:eastAsia="Arial" w:hAnsi="Arial"/>
          <w:b/>
          <w:bCs/>
          <w:color w:val="1A3C5E"/>
          <w:sz w:val="34"/>
          <w:szCs w:val="34"/>
        </w:rPr>
        <w:t xml:space="preserve">9. Conclusion</w:t>
      </w:r>
    </w:p>
    <w:p>
      <w:pPr>
        <w:spacing w:before="80" w:after="160"/>
        <w:jc w:val="both"/>
      </w:pPr>
      <w:r>
        <w:rPr>
          <w:rFonts w:ascii="Georgia" w:cs="Georgia" w:eastAsia="Georgia" w:hAnsi="Georgia"/>
          <w:sz w:val="22"/>
          <w:szCs w:val="22"/>
        </w:rPr>
        <w:t xml:space="preserve">Kaizen has been one of the most consequential management innovations of the twentieth century. Its deployment across manufacturing, healthcare, software engineering, and public governance has generated documented improvements in quality, efficiency, and safety across thousands of organizations on every continent. Yet for forty years, it has operated without a mathematical foundation—as a philosophy, a culture, a heuristic, a set of tools. Implementations have been effective but not comparable, replicable but not reproducible, and incapable of systematic self-evolution.</w:t>
      </w:r>
    </w:p>
    <w:p>
      <w:pPr>
        <w:spacing w:before="80" w:after="160"/>
        <w:jc w:val="both"/>
      </w:pPr>
      <w:r>
        <w:rPr>
          <w:rFonts w:ascii="Georgia" w:cs="Georgia" w:eastAsia="Georgia" w:hAnsi="Georgia"/>
          <w:sz w:val="22"/>
          <w:szCs w:val="22"/>
        </w:rPr>
        <w:t xml:space="preserve">This paper provides that foundation. Meta-Kaizen is the first formally specified, substrate-agnostic, self-referential algorithm for continuous improvement of governance substrates. Its core contribution—the Kaizen Variation Score—is a bounded, monotone, multiplicative priority function with provable properties and a pre-committed orthogonal inspiration mechanism grounded in Koestler's bisociation theory. Its validation is conducted against a genuinely independent ground truth, yielding honest rather than inflated statistics. Its four substrate demonstrations span financial, clinical, software, and manufacturing domains, establishing agnosticism by demonstration.</w:t>
      </w:r>
    </w:p>
    <w:p>
      <w:pPr>
        <w:spacing w:before="80" w:after="160"/>
        <w:jc w:val="both"/>
      </w:pPr>
      <w:r>
        <w:rPr>
          <w:rFonts w:ascii="Georgia" w:cs="Georgia" w:eastAsia="Georgia" w:hAnsi="Georgia"/>
          <w:sz w:val="22"/>
          <w:szCs w:val="22"/>
        </w:rPr>
        <w:t xml:space="preserve">The accompanying software library provides a reference implementation that is immediately deployable, extensible, and open to the research community for replication and meta-analytic aggregation. We anticipate that the accumulation of logged implementations across organizations and substrates will, within a decade, provide the empirical data necessary to answer the question that this paper cannot: whether KVS-selected improvements systematically outperform unselected ones on realized outcomes.</w:t>
      </w:r>
    </w:p>
    <w:p>
      <w:pPr>
        <w:spacing w:before="80" w:after="160"/>
        <w:jc w:val="both"/>
      </w:pPr>
      <w:r>
        <w:rPr>
          <w:rFonts w:ascii="Georgia" w:cs="Georgia" w:eastAsia="Georgia" w:hAnsi="Georgia"/>
          <w:sz w:val="22"/>
          <w:szCs w:val="22"/>
        </w:rPr>
        <w:t xml:space="preserve">The implications extend beyond operational management. A substrate-agnostic continuous improvement algorithm is, in principle, applicable to any structured decision framework: regulatory policy, educational curriculum, legal codes, and constitutional governance. The same mathematical object—KVS—governs improvement candidate selection in each domain. The same principal gate provides accountability. The same audit log enables retrospective learning. We do not claim that Meta-Kaizen will transform governance universally; we claim that it makes such transformation formally possible for the first 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CLOSING</w:t>
            </w:r>
          </w:p>
        </w:tc>
        <w:tc>
          <w:tcPr>
            <w:tcW w:type="dxa" w:w="8640"/>
            <w:tcBorders>
              <w:top w:val="single" w:color="1A3C5E" w:sz="4"/>
              <w:left w:val="single" w:color="1A3C5E" w:sz="4"/>
              <w:bottom w:val="single" w:color="1A3C5E" w:sz="4"/>
              <w:right w:val="single" w:color="1A3C5E" w:sz="4"/>
            </w:tcBorders>
            <w:shd w:fill="D6E4F7" w:val="clear"/>
            <w:tcMar>
              <w:top w:type="dxa" w:w="120"/>
              <w:left w:type="dxa" w:w="200"/>
              <w:bottom w:type="dxa" w:w="120"/>
              <w:right w:type="dxa" w:w="200"/>
            </w:tcMar>
          </w:tcPr>
          <w:p>
            <w:pPr>
              <w:spacing w:before="0" w:after="0"/>
            </w:pPr>
            <w:r>
              <w:rPr>
                <w:rFonts w:ascii="Georgia" w:cs="Georgia" w:eastAsia="Georgia" w:hAnsi="Georgia"/>
                <w:sz w:val="22"/>
                <w:szCs w:val="22"/>
              </w:rPr>
              <w:t xml:space="preserve">The distance between possibility and realization is always populated by evidence. We invite the research community to help close it.</w:t>
            </w:r>
          </w:p>
        </w:tc>
      </w:tr>
    </w:tbl>
    <w:p>
      <w:pPr>
        <w:spacing w:before="0" w:after="0"/>
      </w:pPr>
      <w:r>
        <w:t xml:space="preserve"/>
      </w:r>
    </w:p>
    <w:p>
      <w:pPr>
        <w:spacing w:before="0" w:after="0"/>
      </w:pPr>
      <w:r>
        <w:t xml:space="preserve"/>
      </w:r>
    </w:p>
    <w:p>
      <w:pPr>
        <w:pStyle w:val="Heading1"/>
        <w:spacing w:before="480" w:after="160"/>
      </w:pPr>
      <w:r>
        <w:rPr>
          <w:rFonts w:ascii="Arial" w:cs="Arial" w:eastAsia="Arial" w:hAnsi="Arial"/>
          <w:b/>
          <w:bCs/>
          <w:color w:val="1A3C5E"/>
          <w:sz w:val="34"/>
          <w:szCs w:val="34"/>
        </w:rPr>
        <w:t xml:space="preserve">Acknowledgments</w:t>
      </w:r>
    </w:p>
    <w:p>
      <w:pPr>
        <w:spacing w:before="80" w:after="160"/>
        <w:jc w:val="both"/>
      </w:pPr>
      <w:r>
        <w:rPr>
          <w:rFonts w:ascii="Georgia" w:cs="Georgia" w:eastAsia="Georgia" w:hAnsi="Georgia"/>
          <w:sz w:val="22"/>
          <w:szCs w:val="22"/>
        </w:rPr>
        <w:t xml:space="preserve">The authors thank the Brennan family for the opportunity to develop and pilot the framework in a live governance context. Methodological review, literature synthesis, mathematical formalization, and co-authorship were contributed by Claude (Anthropic, claude-sonnet-4-6, 2026). The authors declare that the framework's initial development was funded by the Entwood Long-Term Fund; the general theory and software library are contributed to the public domain under the MIT License.</w:t>
      </w:r>
    </w:p>
    <w:p>
      <w:r>
        <w:br w:type="page"/>
      </w:r>
    </w:p>
    <w:p>
      <w:pPr>
        <w:pStyle w:val="Heading1"/>
        <w:spacing w:before="480" w:after="160"/>
      </w:pPr>
      <w:r>
        <w:rPr>
          <w:rFonts w:ascii="Arial" w:cs="Arial" w:eastAsia="Arial" w:hAnsi="Arial"/>
          <w:b/>
          <w:bCs/>
          <w:color w:val="1A3C5E"/>
          <w:sz w:val="34"/>
          <w:szCs w:val="34"/>
        </w:rPr>
        <w:t xml:space="preserve">References</w:t>
      </w:r>
    </w:p>
    <w:p>
      <w:pPr>
        <w:spacing w:before="0" w:after="120"/>
        <w:ind w:left="720" w:hanging="720"/>
      </w:pPr>
      <w:r>
        <w:rPr>
          <w:rFonts w:ascii="Georgia" w:cs="Georgia" w:eastAsia="Georgia" w:hAnsi="Georgia"/>
          <w:color w:val="333333"/>
          <w:sz w:val="20"/>
          <w:szCs w:val="20"/>
        </w:rPr>
        <w:t xml:space="preserve">Berwick, D. M. (1989). Continuous improvement as an ideal in health care. New England Journal of Medicine, 320(1), 53–56. https://doi.org/10.1056/NEJM198901053200110</w:t>
      </w:r>
    </w:p>
    <w:p>
      <w:pPr>
        <w:spacing w:before="0" w:after="120"/>
        <w:ind w:left="720" w:hanging="720"/>
      </w:pPr>
      <w:r>
        <w:rPr>
          <w:rFonts w:ascii="Georgia" w:cs="Georgia" w:eastAsia="Georgia" w:hAnsi="Georgia"/>
          <w:color w:val="333333"/>
          <w:sz w:val="20"/>
          <w:szCs w:val="20"/>
        </w:rPr>
        <w:t xml:space="preserve">Berthold, M. R. (Ed.). (2012). Bisociative knowledge discovery: An introduction to concept, algorithms, tools, and applications. Lecture Notes in Computer Science, Vol. 7250. Springer. https://doi.org/10.1007/978-3-642-31830-6</w:t>
      </w:r>
    </w:p>
    <w:p>
      <w:pPr>
        <w:spacing w:before="0" w:after="120"/>
        <w:ind w:left="720" w:hanging="720"/>
      </w:pPr>
      <w:r>
        <w:rPr>
          <w:rFonts w:ascii="Georgia" w:cs="Georgia" w:eastAsia="Georgia" w:hAnsi="Georgia"/>
          <w:color w:val="333333"/>
          <w:sz w:val="20"/>
          <w:szCs w:val="20"/>
        </w:rPr>
        <w:t xml:space="preserve">Brennan, T., &amp; Entwood, S. (2026, February). Meta-Kaizen: A multiplicative scoring algorithm for orthogonal, self-evolving governance in long-term investment policy statements [Working paper, superseded]. Entwood Long-Term Fund.</w:t>
      </w:r>
    </w:p>
    <w:p>
      <w:pPr>
        <w:spacing w:before="0" w:after="120"/>
        <w:ind w:left="720" w:hanging="720"/>
      </w:pPr>
      <w:r>
        <w:rPr>
          <w:rFonts w:ascii="Georgia" w:cs="Georgia" w:eastAsia="Georgia" w:hAnsi="Georgia"/>
          <w:color w:val="333333"/>
          <w:sz w:val="20"/>
          <w:szCs w:val="20"/>
        </w:rPr>
        <w:t xml:space="preserve">Brunet, A. P., &amp; New, S. (2003). Kaizen in Japan: An empirical study. International Journal of Operations &amp; Production Management, 23(12), 1426–1446. https://doi.org/10.1108/01443570310506908</w:t>
      </w:r>
    </w:p>
    <w:p>
      <w:pPr>
        <w:spacing w:before="0" w:after="120"/>
        <w:ind w:left="720" w:hanging="720"/>
      </w:pPr>
      <w:r>
        <w:rPr>
          <w:rFonts w:ascii="Georgia" w:cs="Georgia" w:eastAsia="Georgia" w:hAnsi="Georgia"/>
          <w:color w:val="333333"/>
          <w:sz w:val="20"/>
          <w:szCs w:val="20"/>
        </w:rPr>
        <w:t xml:space="preserve">Damiani, M., Cecconi, M., Ranzani, O., et al. (2015). Quality improvement model (IHI) as a strategy to implement a sepsis protocol in a public hospital in Brazil. BMJ Open Quality, 1(1). https://doi.org/10.1136/bmjquality-2012-000009</w:t>
      </w:r>
    </w:p>
    <w:p>
      <w:pPr>
        <w:spacing w:before="0" w:after="120"/>
        <w:ind w:left="720" w:hanging="720"/>
      </w:pPr>
      <w:r>
        <w:rPr>
          <w:rFonts w:ascii="Georgia" w:cs="Georgia" w:eastAsia="Georgia" w:hAnsi="Georgia"/>
          <w:color w:val="333333"/>
          <w:sz w:val="20"/>
          <w:szCs w:val="20"/>
        </w:rPr>
        <w:t xml:space="preserve">Deming, W. E. (1986). Out of the crisis. MIT Center for Advanced Engineering Study.</w:t>
      </w:r>
    </w:p>
    <w:p>
      <w:pPr>
        <w:spacing w:before="0" w:after="120"/>
        <w:ind w:left="720" w:hanging="720"/>
      </w:pPr>
      <w:r>
        <w:rPr>
          <w:rFonts w:ascii="Georgia" w:cs="Georgia" w:eastAsia="Georgia" w:hAnsi="Georgia"/>
          <w:color w:val="333333"/>
          <w:sz w:val="20"/>
          <w:szCs w:val="20"/>
        </w:rPr>
        <w:t xml:space="preserve">Dubitzky, W., Kötter, T., Schmidt, O., &amp; Berthold, M. R. (2012). Towards creative information exploration based on Koestler's concept of bisociation. In M. R. Berthold (Ed.), Bisociative knowledge discovery (pp. 11–32). Springer. https://doi.org/10.1007/978-3-642-31830-6_2</w:t>
      </w:r>
    </w:p>
    <w:p>
      <w:pPr>
        <w:spacing w:before="0" w:after="120"/>
        <w:ind w:left="720" w:hanging="720"/>
      </w:pPr>
      <w:r>
        <w:rPr>
          <w:rFonts w:ascii="Georgia" w:cs="Georgia" w:eastAsia="Georgia" w:hAnsi="Georgia"/>
          <w:color w:val="333333"/>
          <w:sz w:val="20"/>
          <w:szCs w:val="20"/>
        </w:rPr>
        <w:t xml:space="preserve">Erdogan, S., Quesada-Pineda, H., &amp; Bond, B. (2017). An empirical tool to measure the effectiveness of kaizen events: A case study in the wood products industries. BioResources, 12(4), 7063–7076.</w:t>
      </w:r>
    </w:p>
    <w:p>
      <w:pPr>
        <w:spacing w:before="0" w:after="120"/>
        <w:ind w:left="720" w:hanging="720"/>
      </w:pPr>
      <w:r>
        <w:rPr>
          <w:rFonts w:ascii="Georgia" w:cs="Georgia" w:eastAsia="Georgia" w:hAnsi="Georgia"/>
          <w:color w:val="333333"/>
          <w:sz w:val="20"/>
          <w:szCs w:val="20"/>
        </w:rPr>
        <w:t xml:space="preserve">Forsgren, N., Humble, J., &amp; Kim, G. (2018). Accelerate: The science of lean software and DevOps. IT Revolution Press.</w:t>
      </w:r>
    </w:p>
    <w:p>
      <w:pPr>
        <w:spacing w:before="0" w:after="120"/>
        <w:ind w:left="720" w:hanging="720"/>
      </w:pPr>
      <w:r>
        <w:rPr>
          <w:rFonts w:ascii="Georgia" w:cs="Georgia" w:eastAsia="Georgia" w:hAnsi="Georgia"/>
          <w:color w:val="333333"/>
          <w:sz w:val="20"/>
          <w:szCs w:val="20"/>
        </w:rPr>
        <w:t xml:space="preserve">Forsgren, N., Storey, M. A., Maddila, C., Zimmermann, T., Houck, B., &amp; Butler, J. (2021). The SPACE of developer productivity. ACM Queue, 19(1), 20–48. https://doi.org/10.1145/3454122.3454124</w:t>
      </w:r>
    </w:p>
    <w:p>
      <w:pPr>
        <w:spacing w:before="0" w:after="120"/>
        <w:ind w:left="720" w:hanging="720"/>
      </w:pPr>
      <w:r>
        <w:rPr>
          <w:rFonts w:ascii="Georgia" w:cs="Georgia" w:eastAsia="Georgia" w:hAnsi="Georgia"/>
          <w:color w:val="333333"/>
          <w:sz w:val="20"/>
          <w:szCs w:val="20"/>
        </w:rPr>
        <w:t xml:space="preserve">Gawande, A. A., Zinner, M. J., Studdert, D. M., et al. (2009). Analysis of errors reported by surgeons at three teaching hospitals. Surgery, 145(6), 719–726.</w:t>
      </w:r>
    </w:p>
    <w:p>
      <w:pPr>
        <w:spacing w:before="0" w:after="120"/>
        <w:ind w:left="720" w:hanging="720"/>
      </w:pPr>
      <w:r>
        <w:rPr>
          <w:rFonts w:ascii="Georgia" w:cs="Georgia" w:eastAsia="Georgia" w:hAnsi="Georgia"/>
          <w:color w:val="333333"/>
          <w:sz w:val="20"/>
          <w:szCs w:val="20"/>
        </w:rPr>
        <w:t xml:space="preserve">Glover, W. J., Liu, W. H., Farris, J. A., &amp; van Aken, E. M. (2013). Characteristics of established kaizen event programs: An empirical study. International Journal of Operations and Production Management, 33(9), 1166–1201. https://doi.org/10.1108/IJOPM-03-2011-0119</w:t>
      </w:r>
    </w:p>
    <w:p>
      <w:pPr>
        <w:spacing w:before="0" w:after="120"/>
        <w:ind w:left="720" w:hanging="720"/>
      </w:pPr>
      <w:r>
        <w:rPr>
          <w:rFonts w:ascii="Georgia" w:cs="Georgia" w:eastAsia="Georgia" w:hAnsi="Georgia"/>
          <w:color w:val="333333"/>
          <w:sz w:val="20"/>
          <w:szCs w:val="20"/>
        </w:rPr>
        <w:t xml:space="preserve">Haynes, A. B., Weiser, T. G., Berry, W. R., et al. (2009). A surgical safety checklist to reduce morbidity and mortality in a global population. New England Journal of Medicine, 360(5), 491–499. https://doi.org/10.1056/NEJMsa0810119</w:t>
      </w:r>
    </w:p>
    <w:p>
      <w:pPr>
        <w:spacing w:before="0" w:after="120"/>
        <w:ind w:left="720" w:hanging="720"/>
      </w:pPr>
      <w:r>
        <w:rPr>
          <w:rFonts w:ascii="Georgia" w:cs="Georgia" w:eastAsia="Georgia" w:hAnsi="Georgia"/>
          <w:color w:val="333333"/>
          <w:sz w:val="20"/>
          <w:szCs w:val="20"/>
        </w:rPr>
        <w:t xml:space="preserve">Imai, M. (1986). Kaizen: The key to Japan's competitive success. McGraw-Hill.</w:t>
      </w:r>
    </w:p>
    <w:p>
      <w:pPr>
        <w:spacing w:before="0" w:after="120"/>
        <w:ind w:left="720" w:hanging="720"/>
      </w:pPr>
      <w:r>
        <w:rPr>
          <w:rFonts w:ascii="Georgia" w:cs="Georgia" w:eastAsia="Georgia" w:hAnsi="Georgia"/>
          <w:color w:val="333333"/>
          <w:sz w:val="20"/>
          <w:szCs w:val="20"/>
        </w:rPr>
        <w:t xml:space="preserve">Imai, M. (2012). Gemba Kaizen: A commonsense approach to a continuous improvement strategy (2nd ed.). McGraw-Hill.</w:t>
      </w:r>
    </w:p>
    <w:p>
      <w:pPr>
        <w:spacing w:before="0" w:after="120"/>
        <w:ind w:left="720" w:hanging="720"/>
      </w:pPr>
      <w:r>
        <w:rPr>
          <w:rFonts w:ascii="Georgia" w:cs="Georgia" w:eastAsia="Georgia" w:hAnsi="Georgia"/>
          <w:color w:val="333333"/>
          <w:sz w:val="20"/>
          <w:szCs w:val="20"/>
        </w:rPr>
        <w:t xml:space="preserve">Koestler, A. (1964). The act of creation. Penguin Books.</w:t>
      </w:r>
    </w:p>
    <w:p>
      <w:pPr>
        <w:spacing w:before="0" w:after="120"/>
        <w:ind w:left="720" w:hanging="720"/>
      </w:pPr>
      <w:r>
        <w:rPr>
          <w:rFonts w:ascii="Georgia" w:cs="Georgia" w:eastAsia="Georgia" w:hAnsi="Georgia"/>
          <w:color w:val="333333"/>
          <w:sz w:val="20"/>
          <w:szCs w:val="20"/>
        </w:rPr>
        <w:t xml:space="preserve">Krantz, D. H., Luce, R. D., Suppes, P., &amp; Tversky, A. (1971). Foundations of measurement, Vol. 1: Additive and polynomial representations. Academic Press.</w:t>
      </w:r>
    </w:p>
    <w:p>
      <w:pPr>
        <w:spacing w:before="0" w:after="120"/>
        <w:ind w:left="720" w:hanging="720"/>
      </w:pPr>
      <w:r>
        <w:rPr>
          <w:rFonts w:ascii="Georgia" w:cs="Georgia" w:eastAsia="Georgia" w:hAnsi="Georgia"/>
          <w:color w:val="333333"/>
          <w:sz w:val="20"/>
          <w:szCs w:val="20"/>
        </w:rPr>
        <w:t xml:space="preserve">Luce, R. D., &amp; Tukey, J. W. (1964). Simultaneous conjoint measurement: A new type of fundamental measurement. Journal of Mathematical Psychology, 1(1), 1–27. https://doi.org/10.1016/0022-2496(64)90015-X</w:t>
      </w:r>
    </w:p>
    <w:p>
      <w:pPr>
        <w:spacing w:before="0" w:after="120"/>
        <w:ind w:left="720" w:hanging="720"/>
      </w:pPr>
      <w:r>
        <w:rPr>
          <w:rFonts w:ascii="Georgia" w:cs="Georgia" w:eastAsia="Georgia" w:hAnsi="Georgia"/>
          <w:color w:val="333333"/>
          <w:sz w:val="20"/>
          <w:szCs w:val="20"/>
        </w:rPr>
        <w:t xml:space="preserve">Manheim, D., &amp; Garrabrant, S. (2019). Categorizing variants of Goodhart's Law. arXiv preprint arXiv:1803.04585.</w:t>
      </w:r>
    </w:p>
    <w:p>
      <w:pPr>
        <w:spacing w:before="0" w:after="120"/>
        <w:ind w:left="720" w:hanging="720"/>
      </w:pPr>
      <w:r>
        <w:rPr>
          <w:rFonts w:ascii="Georgia" w:cs="Georgia" w:eastAsia="Georgia" w:hAnsi="Georgia"/>
          <w:color w:val="333333"/>
          <w:sz w:val="20"/>
          <w:szCs w:val="20"/>
        </w:rPr>
        <w:t xml:space="preserve">Langley, G. L., Moen, R., Nolan, K. M., Nolan, T. W., Norman, C. L., &amp; Provost, L. P. (2009). The improvement guide: A practical approach to enhancing organizational performance (2nd ed.). Jossey-Bass.</w:t>
      </w:r>
    </w:p>
    <w:p>
      <w:pPr>
        <w:spacing w:before="0" w:after="120"/>
        <w:ind w:left="720" w:hanging="720"/>
      </w:pPr>
      <w:r>
        <w:rPr>
          <w:rFonts w:ascii="Georgia" w:cs="Georgia" w:eastAsia="Georgia" w:hAnsi="Georgia"/>
          <w:color w:val="333333"/>
          <w:sz w:val="20"/>
          <w:szCs w:val="20"/>
        </w:rPr>
        <w:t xml:space="preserve">Leyer, M., &amp; Moormann, J. (2014). How lean are financial service companies really? Empirical evidence from a large-scale study in Germany. International Journal of Operations and Production Management, 34(11), 1366–1388. https://doi.org/10.1108/IJOPM-06-2013-0296</w:t>
      </w:r>
    </w:p>
    <w:p>
      <w:pPr>
        <w:spacing w:before="0" w:after="120"/>
        <w:ind w:left="720" w:hanging="720"/>
      </w:pPr>
      <w:r>
        <w:rPr>
          <w:rFonts w:ascii="Georgia" w:cs="Georgia" w:eastAsia="Georgia" w:hAnsi="Georgia"/>
          <w:color w:val="333333"/>
          <w:sz w:val="20"/>
          <w:szCs w:val="20"/>
        </w:rPr>
        <w:t xml:space="preserve">Maedche, A., &amp; Staab, S. (2001). Ontology learning for the Semantic Web. IEEE Intelligent Systems, 16(2), 72–79. https://doi.org/10.1109/5254.920602</w:t>
      </w:r>
    </w:p>
    <w:p>
      <w:pPr>
        <w:spacing w:before="0" w:after="120"/>
        <w:ind w:left="720" w:hanging="720"/>
      </w:pPr>
      <w:r>
        <w:rPr>
          <w:rFonts w:ascii="Georgia" w:cs="Georgia" w:eastAsia="Georgia" w:hAnsi="Georgia"/>
          <w:color w:val="333333"/>
          <w:sz w:val="20"/>
          <w:szCs w:val="20"/>
        </w:rPr>
        <w:t xml:space="preserve">Manning, C. D., Raghavan, P., &amp; Schütze, H. (2008). Introduction to information retrieval. Cambridge University Press.</w:t>
      </w:r>
    </w:p>
    <w:p>
      <w:pPr>
        <w:spacing w:before="0" w:after="120"/>
        <w:ind w:left="720" w:hanging="720"/>
      </w:pPr>
      <w:r>
        <w:rPr>
          <w:rFonts w:ascii="Georgia" w:cs="Georgia" w:eastAsia="Georgia" w:hAnsi="Georgia"/>
          <w:color w:val="333333"/>
          <w:sz w:val="20"/>
          <w:szCs w:val="20"/>
        </w:rPr>
        <w:t xml:space="preserve">March, J. G. (1991). Exploration and exploitation in organizational learning. Organization Science, 2(1), 71–87. https://doi.org/10.1287/orsc.2.1.71</w:t>
      </w:r>
    </w:p>
    <w:p>
      <w:pPr>
        <w:spacing w:before="0" w:after="120"/>
        <w:ind w:left="720" w:hanging="720"/>
      </w:pPr>
      <w:r>
        <w:rPr>
          <w:rFonts w:ascii="Georgia" w:cs="Georgia" w:eastAsia="Georgia" w:hAnsi="Georgia"/>
          <w:color w:val="333333"/>
          <w:sz w:val="20"/>
          <w:szCs w:val="20"/>
        </w:rPr>
        <w:t xml:space="preserve">Moen, R., &amp; Norman, C. (2010). Circling back: Clearing up myths about the Deming cycle and seeing how it keeps evolving. Quality Progress, 43(11), 22–28.</w:t>
      </w:r>
    </w:p>
    <w:p>
      <w:pPr>
        <w:spacing w:before="0" w:after="120"/>
        <w:ind w:left="720" w:hanging="720"/>
      </w:pPr>
      <w:r>
        <w:rPr>
          <w:rFonts w:ascii="Georgia" w:cs="Georgia" w:eastAsia="Georgia" w:hAnsi="Georgia"/>
          <w:color w:val="333333"/>
          <w:sz w:val="20"/>
          <w:szCs w:val="20"/>
        </w:rPr>
        <w:t xml:space="preserve">Ohno, T. (1988). Toyota production system: Beyond large-scale production (N. Bodek, Trans.). Productivity Press.</w:t>
      </w:r>
    </w:p>
    <w:p>
      <w:pPr>
        <w:spacing w:before="0" w:after="120"/>
        <w:ind w:left="720" w:hanging="720"/>
      </w:pPr>
      <w:r>
        <w:rPr>
          <w:rFonts w:ascii="Georgia" w:cs="Georgia" w:eastAsia="Georgia" w:hAnsi="Georgia"/>
          <w:color w:val="333333"/>
          <w:sz w:val="20"/>
          <w:szCs w:val="20"/>
        </w:rPr>
        <w:t xml:space="preserve">Poon, E. G., Cina, J. L., Churchill, W., et al. (2010). Medication dispensing errors and potential adverse drug events before and after implementing bar code technology in the pharmacy. Annals of Internal Medicine, 145(6), 426–434.</w:t>
      </w:r>
    </w:p>
    <w:p>
      <w:pPr>
        <w:spacing w:before="0" w:after="120"/>
        <w:ind w:left="720" w:hanging="720"/>
      </w:pPr>
      <w:r>
        <w:rPr>
          <w:rFonts w:ascii="Georgia" w:cs="Georgia" w:eastAsia="Georgia" w:hAnsi="Georgia"/>
          <w:color w:val="333333"/>
          <w:sz w:val="20"/>
          <w:szCs w:val="20"/>
        </w:rPr>
        <w:t xml:space="preserve">Radnor, Z., Holweg, M., &amp; Waring, J. (2012). Lean in healthcare: The unfilled promise? Social Science &amp; Medicine, 74(3), 364–371. https://doi.org/10.1016/j.socscimed.2011.02.011</w:t>
      </w:r>
    </w:p>
    <w:p>
      <w:pPr>
        <w:spacing w:before="0" w:after="120"/>
        <w:ind w:left="720" w:hanging="720"/>
      </w:pPr>
      <w:r>
        <w:rPr>
          <w:rFonts w:ascii="Georgia" w:cs="Georgia" w:eastAsia="Georgia" w:hAnsi="Georgia"/>
          <w:color w:val="333333"/>
          <w:sz w:val="20"/>
          <w:szCs w:val="20"/>
        </w:rPr>
        <w:t xml:space="preserve">Sahmi, Z., &amp; El Abbadi, L. (2024). The evolution of Kaizen in the industry: Systematic literature review. International Journal of Production Management and Engineering, 12(2), 169–179. https://doi.org/10.4995/ijpme.2024.21143</w:t>
      </w:r>
    </w:p>
    <w:p>
      <w:pPr>
        <w:spacing w:before="0" w:after="120"/>
        <w:ind w:left="720" w:hanging="720"/>
      </w:pPr>
      <w:r>
        <w:rPr>
          <w:rFonts w:ascii="Georgia" w:cs="Georgia" w:eastAsia="Georgia" w:hAnsi="Georgia"/>
          <w:color w:val="333333"/>
          <w:sz w:val="20"/>
          <w:szCs w:val="20"/>
        </w:rPr>
        <w:t xml:space="preserve">Schmidhuber, J. (2007). Gödel machines: Fully self-referential optimal universal self-improvers. In B. Goertzel &amp; C. Pennachin (Eds.), Artificial general intelligence (pp. 199–226). Springer. https://doi.org/10.1007/978-3-540-68677-4_6</w:t>
      </w:r>
    </w:p>
    <w:p>
      <w:pPr>
        <w:spacing w:before="0" w:after="120"/>
        <w:ind w:left="720" w:hanging="720"/>
      </w:pPr>
      <w:r>
        <w:rPr>
          <w:rFonts w:ascii="Georgia" w:cs="Georgia" w:eastAsia="Georgia" w:hAnsi="Georgia"/>
          <w:color w:val="333333"/>
          <w:sz w:val="20"/>
          <w:szCs w:val="20"/>
        </w:rPr>
        <w:t xml:space="preserve">Schmidhuber, J. (2015). Deep learning in neural networks: An overview. Neural Networks, 61, 85–117. https://doi.org/10.1016/j.neunet.2014.09.003</w:t>
      </w:r>
    </w:p>
    <w:p>
      <w:pPr>
        <w:spacing w:before="0" w:after="120"/>
        <w:ind w:left="720" w:hanging="720"/>
      </w:pPr>
      <w:r>
        <w:rPr>
          <w:rFonts w:ascii="Georgia" w:cs="Georgia" w:eastAsia="Georgia" w:hAnsi="Georgia"/>
          <w:color w:val="333333"/>
          <w:sz w:val="20"/>
          <w:szCs w:val="20"/>
        </w:rPr>
        <w:t xml:space="preserve">Shingo, S. (1989). A study of the Toyota production system from an industrial engineering viewpoint (A. Dillon, Trans.). Productivity Press.</w:t>
      </w:r>
    </w:p>
    <w:p>
      <w:pPr>
        <w:spacing w:before="0" w:after="120"/>
        <w:ind w:left="720" w:hanging="720"/>
      </w:pPr>
      <w:r>
        <w:rPr>
          <w:rFonts w:ascii="Georgia" w:cs="Georgia" w:eastAsia="Georgia" w:hAnsi="Georgia"/>
          <w:color w:val="333333"/>
          <w:sz w:val="20"/>
          <w:szCs w:val="20"/>
        </w:rPr>
        <w:t xml:space="preserve">Singh, J., &amp; Singh, H. (2009). Kaizen philosophy: A review of literature. ICFAI Journal of Operations Management, 8(2), 51–72.</w:t>
      </w:r>
    </w:p>
    <w:p>
      <w:pPr>
        <w:spacing w:before="0" w:after="120"/>
        <w:ind w:left="720" w:hanging="720"/>
      </w:pPr>
      <w:r>
        <w:rPr>
          <w:rFonts w:ascii="Georgia" w:cs="Georgia" w:eastAsia="Georgia" w:hAnsi="Georgia"/>
          <w:color w:val="333333"/>
          <w:sz w:val="20"/>
          <w:szCs w:val="20"/>
        </w:rPr>
        <w:t xml:space="preserve">Stanley, K. O., &amp; Miikkulainen, R. (2002). Evolving neural networks through augmenting topologies. Evolutionary Computation, 10(2), 99–127. https://doi.org/10.1162/106365602320169811</w:t>
      </w:r>
    </w:p>
    <w:p>
      <w:pPr>
        <w:spacing w:before="0" w:after="120"/>
        <w:ind w:left="720" w:hanging="720"/>
      </w:pPr>
      <w:r>
        <w:rPr>
          <w:rFonts w:ascii="Georgia" w:cs="Georgia" w:eastAsia="Georgia" w:hAnsi="Georgia"/>
          <w:color w:val="333333"/>
          <w:sz w:val="20"/>
          <w:szCs w:val="20"/>
        </w:rPr>
        <w:t xml:space="preserve">Suárez-Barraza, M. F., &amp; Ramis-Pujol, J. (2010). Implementation of lean-Kaizen in the human resource service process. Journal of Manufacturing Technology Management, 21(3), 388–410. https://doi.org/10.1108/17410381011024359</w:t>
      </w:r>
    </w:p>
    <w:p>
      <w:pPr>
        <w:spacing w:before="0" w:after="120"/>
        <w:ind w:left="720" w:hanging="720"/>
      </w:pPr>
      <w:r>
        <w:rPr>
          <w:rFonts w:ascii="Georgia" w:cs="Georgia" w:eastAsia="Georgia" w:hAnsi="Georgia"/>
          <w:color w:val="333333"/>
          <w:sz w:val="20"/>
          <w:szCs w:val="20"/>
        </w:rPr>
        <w:t xml:space="preserve">Suárez-Barraza, M. F., &amp; Rodríguez-González, F. G. (2015). Bringing Kaizen to the classroom. Total Quality Management &amp; Business Excellence, 26(9–10), 1002–1016. https://doi.org/10.1080/14783363.2014.882323</w:t>
      </w:r>
    </w:p>
    <w:p>
      <w:pPr>
        <w:spacing w:before="0" w:after="120"/>
        <w:ind w:left="720" w:hanging="720"/>
      </w:pPr>
      <w:r>
        <w:rPr>
          <w:rFonts w:ascii="Georgia" w:cs="Georgia" w:eastAsia="Georgia" w:hAnsi="Georgia"/>
          <w:color w:val="333333"/>
          <w:sz w:val="20"/>
          <w:szCs w:val="20"/>
        </w:rPr>
        <w:t xml:space="preserve">Taleb, N. N. (2012). Antifragile: Things that gain from disorder. Random House.</w:t>
      </w:r>
    </w:p>
    <w:p>
      <w:pPr>
        <w:spacing w:before="0" w:after="120"/>
        <w:ind w:left="720" w:hanging="720"/>
      </w:pPr>
      <w:r>
        <w:rPr>
          <w:rFonts w:ascii="Georgia" w:cs="Georgia" w:eastAsia="Georgia" w:hAnsi="Georgia"/>
          <w:color w:val="333333"/>
          <w:sz w:val="20"/>
          <w:szCs w:val="20"/>
        </w:rPr>
        <w:t xml:space="preserve">Taleb, N. N., &amp; Douady, R. (2013). Mathematical definition, mapping, and detection of (anti)fragility. Quantitative Finance, 13(11), 1677–1689. https://doi.org/10.1080/14697688.2013.800219</w:t>
      </w:r>
    </w:p>
    <w:p>
      <w:pPr>
        <w:spacing w:before="0" w:after="120"/>
        <w:ind w:left="720" w:hanging="720"/>
      </w:pPr>
      <w:r>
        <w:rPr>
          <w:rFonts w:ascii="Georgia" w:cs="Georgia" w:eastAsia="Georgia" w:hAnsi="Georgia"/>
          <w:color w:val="333333"/>
          <w:sz w:val="20"/>
          <w:szCs w:val="20"/>
        </w:rPr>
        <w:t xml:space="preserve">Tversky, A. (1977). Features of similarity. Psychological Review, 84(4), 327–352. https://doi.org/10.1037/0033-295X.84.4.327</w:t>
      </w:r>
    </w:p>
    <w:p>
      <w:pPr>
        <w:spacing w:before="0" w:after="120"/>
        <w:ind w:left="720" w:hanging="720"/>
      </w:pPr>
      <w:r>
        <w:rPr>
          <w:rFonts w:ascii="Georgia" w:cs="Georgia" w:eastAsia="Georgia" w:hAnsi="Georgia"/>
          <w:color w:val="333333"/>
          <w:sz w:val="20"/>
          <w:szCs w:val="20"/>
        </w:rPr>
        <w:t xml:space="preserve">Womack, J. P., &amp; Jones, D. T. (1996). Lean thinking: Banish waste and create wealth in your corporation. Simon &amp; Schuster.</w:t>
      </w:r>
    </w:p>
    <w:p>
      <w:pPr>
        <w:spacing w:before="0" w:after="120"/>
        <w:ind w:left="720" w:hanging="720"/>
      </w:pPr>
      <w:r>
        <w:rPr>
          <w:rFonts w:ascii="Georgia" w:cs="Georgia" w:eastAsia="Georgia" w:hAnsi="Georgia"/>
          <w:color w:val="333333"/>
          <w:sz w:val="20"/>
          <w:szCs w:val="20"/>
        </w:rPr>
        <w:t xml:space="preserve">Zhang, A., Luo, W., Shi, Y., Chia, S. T., &amp; Sim, Z. H. X. (2016). Lean and Six Sigma in logistics: A pilot survey study in Singapore. International Journal of Operations and Production Management, 36(11), 1625–1643. https://doi.org/10.1108/IJOPM-02-2015-0093</w:t>
      </w:r>
    </w:p>
    <w:p>
      <w:r>
        <w:br w:type="page"/>
      </w:r>
    </w:p>
    <w:p>
      <w:pPr>
        <w:pStyle w:val="Heading1"/>
        <w:spacing w:before="480" w:after="160"/>
      </w:pPr>
      <w:r>
        <w:rPr>
          <w:rFonts w:ascii="Arial" w:cs="Arial" w:eastAsia="Arial" w:hAnsi="Arial"/>
          <w:b/>
          <w:bCs/>
          <w:color w:val="1A3C5E"/>
          <w:sz w:val="34"/>
          <w:szCs w:val="34"/>
        </w:rPr>
        <w:t xml:space="preserve">Appendix A: KVS Sensitivity Analysis</w:t>
      </w:r>
    </w:p>
    <w:p>
      <w:pPr>
        <w:spacing w:before="80" w:after="160"/>
        <w:jc w:val="both"/>
      </w:pPr>
      <w:r>
        <w:rPr>
          <w:rFonts w:ascii="Georgia" w:cs="Georgia" w:eastAsia="Georgia" w:hAnsi="Georgia"/>
          <w:sz w:val="22"/>
          <w:szCs w:val="22"/>
        </w:rPr>
        <w:t xml:space="preserve">The following table demonstrates KVS behaviour across representative input configurations. All values are computed using the corrected formula with I_max = 3.0 pp/yr.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100"/>
        <w:gridCol w:w="900"/>
        <w:gridCol w:w="900"/>
        <w:gridCol w:w="900"/>
        <w:gridCol w:w="236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w:t>
            </w:r>
          </w:p>
        </w:tc>
        <w:tc>
          <w:tcPr>
            <w:tcW w:type="dxa" w:w="13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 (=μ/3.0)</w:t>
            </w:r>
          </w:p>
        </w:tc>
        <w:tc>
          <w:tcPr>
            <w:tcW w:type="dxa" w:w="11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μ (pp/yr)</w:t>
            </w:r>
          </w:p>
        </w:tc>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w:t>
            </w:r>
          </w:p>
        </w:tc>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w:t>
            </w:r>
          </w:p>
        </w:tc>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KVS</w:t>
            </w:r>
          </w:p>
        </w:tc>
        <w:tc>
          <w:tcPr>
            <w:tcW w:type="dxa" w:w="2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0.92</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1.5</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0.460</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(κ=0.50)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0.637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Above</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0.88</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0.83</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2.5</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0.584</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Above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0.459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(override case)</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0.91</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1.8</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0.80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0.437</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(refinable)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0.470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(C′=1; override likely)</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0.75</w:t>
            </w:r>
          </w:p>
        </w:tc>
        <w:tc>
          <w:tcPr>
            <w:tcW w:type="dxa" w:w="13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11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3.0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0.50</w:t>
            </w:r>
          </w:p>
        </w:tc>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0.375</w:t>
            </w:r>
          </w:p>
        </w:tc>
        <w:tc>
          <w:tcPr>
            <w:tcW w:type="dxa" w:w="2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Below (timeliness constraint)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0.608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Above</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Appendix B: Monte Carlo Validation — Full Pseudocode</w:t>
      </w:r>
    </w:p>
    <w:p>
      <w:pPr>
        <w:spacing w:before="80" w:after="160"/>
        <w:jc w:val="both"/>
      </w:pPr>
      <w:r>
        <w:rPr>
          <w:rFonts w:ascii="Georgia" w:cs="Georgia" w:eastAsia="Georgia" w:hAnsi="Georgia"/>
          <w:sz w:val="22"/>
          <w:szCs w:val="22"/>
        </w:rPr>
        <w:t xml:space="preserve">The following pseudocode fully specifies the corrected simulation in Section 5, enabling independent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1A1A1A" w:val="clear"/>
            <w:tcMar>
              <w:top w:type="dxa" w:w="160"/>
              <w:left w:type="dxa" w:w="240"/>
              <w:bottom w:type="dxa" w:w="160"/>
              <w:right w:type="dxa" w:w="240"/>
            </w:tcMar>
          </w:tcPr>
          <w:p>
            <w:pPr>
              <w:spacing w:before="0" w:after="0"/>
            </w:pPr>
            <w:r>
              <w:rPr>
                <w:rFonts w:ascii="Courier New" w:cs="Courier New" w:eastAsia="Courier New" w:hAnsi="Courier New"/>
                <w:color w:val="E8E8E8"/>
                <w:sz w:val="18"/>
                <w:szCs w:val="18"/>
              </w:rPr>
              <w:t xml:space="preserve"># Meta-Kaizen Monte Carlo Validation
# Python pseudocode (numpy, scipy.stats)
import numpy as np
from scipy.stats import spearmanr
N_IDEAS, N_RUNS, I_MAX, H_MAX = 10000, 1000, 3.0, 60
results = []
for run in range(N_RUNS):
    N    = np.random.beta(2, 2, N_IDEAS)                   # Novelty
    mu   = np.random.lognormal(0.6, 0.55, N_IDEAS)         # Raw impact (pp/yr)
    Ip   = np.minimum(1.0, mu / I_MAX)                     # Norm. impact
    C    = np.random.uniform(1.0, 2.0, N_IDEAS)            # Raw complexity
    Cp   = (2.0 - C) / 1.0                                 # Norm. inv. complexity
    h    = np.random.uniform(0, 72, N_IDEAS)               # Horizon (months)
    T    = np.maximum(0, 1 - h / H_MAX)                    # Timeliness
    KVS    = N * Ip * Cp * T                               # Multiplicative score
    V_star = (N + Ip + Cp + T) / 4                         # Independent additive truth
    rho, _ = spearmanr(KVS, V_star)                        # Rank correlation
    k = int(0.05 * N_IDEAS)
    top_kvs   = set(np.argsort(KVS)[-k:])
    top_vstar = set(np.argsort(V_star)[-k:])
    recall    = len(top_kvs &amp; top_vstar) / k
    results.append({'rho': rho, 'recall': recall})
rhos = [r['rho'] for r in results]
print(f'Spearman rho: {np.median(rhos):.3f}  '
      f'95% CI [{np.percentile(rhos,5):.3f}, {np.percentile(rhos,95):.3f}]')</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Appendix C: Reference Domain Rotation Schedule (4-Year Cycle)</w:t>
      </w:r>
    </w:p>
    <w:p>
      <w:pPr>
        <w:spacing w:before="80" w:after="160"/>
        <w:jc w:val="both"/>
      </w:pPr>
      <w:r>
        <w:rPr>
          <w:rFonts w:ascii="Georgia" w:cs="Georgia" w:eastAsia="Georgia" w:hAnsi="Georgia"/>
          <w:sz w:val="22"/>
          <w:szCs w:val="22"/>
        </w:rPr>
        <w:t xml:space="preserve">The following schedule is provided as a starting point. Organizations should adapt it to their substrate context. Domains should be pre-committed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Quarter</w:t>
            </w:r>
          </w:p>
        </w:tc>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Domain</w:t>
            </w:r>
          </w:p>
        </w:tc>
        <w:tc>
          <w:tcPr>
            <w:tcW w:type="dxa" w:w="56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Conceptual Bridge to Improvement</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Japanese wabi-sabi aesthetics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Tolerating imperfection; incompleteness as a valid state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Antarctic ice-core geophysics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Deep-time regime cycles; patience and long periodicity</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Q3</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Children’s fable archetypes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Narrative coherence; pattern recognition; moral clarity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Fluid dynamics in aviation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Turbulence and laminar flow; transition management</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Q5</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Mycorrhizal networks (biology)</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Distributed networks; shared resources; resilience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Martial arts biomechanics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Energy redirection; momentum preservation</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Q7</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Information theory (Shannon)</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Signal vs. noise; data compression; minimum 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Byzantine fault tolerance (CS)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Consensus under adversarial conditions; redundancy</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Q9</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Musical counterpoint (Bach)</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Multiple independent lines; constraint-driven creativity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Evolutionary biology (speciation)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Adaptive radiation; niche differentiation; punctuated equilibrium</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Q11</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Urban planning (Jane Jacobs)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Mixed use; density; emergent order from simple rules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Thermodynamics (entropy)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Irreversibility; energy efficiency; waste as symptom</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Q13</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Childhood cognitive development</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Scaffolding; zone of proximal development; readiness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Epidemiology (R₀ dynamics)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Contagion dynamics; network effects; threshold phenomena</w:t>
            </w:r>
          </w:p>
        </w:tc>
      </w:tr>
      <w:tr>
        <w:tc>
          <w:tcPr>
            <w:tcW w:type="dxa" w:w="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Q15</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Textile weaving structures</w:t>
            </w:r>
          </w:p>
        </w:tc>
        <w:tc>
          <w:tcPr>
            <w:tcW w:type="dxa" w:w="5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Interlocking dependencies; tension and compression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Q16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Cartography and projection systems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Representation trade-offs; what is lost in simplification</w:t>
            </w:r>
          </w:p>
        </w:tc>
      </w:tr>
    </w:tbl>
    <w:p>
      <w:pPr>
        <w:spacing w:before="0" w:after="0"/>
      </w:pPr>
      <w:r>
        <w:t xml:space="preserve"/>
      </w:r>
    </w:p>
    <w:p>
      <w:pPr>
        <w:pStyle w:val="Heading1"/>
        <w:spacing w:before="480" w:after="160"/>
      </w:pPr>
      <w:r>
        <w:rPr>
          <w:rFonts w:ascii="Arial" w:cs="Arial" w:eastAsia="Arial" w:hAnsi="Arial"/>
          <w:b/>
          <w:bCs/>
          <w:color w:val="1A3C5E"/>
          <w:sz w:val="34"/>
          <w:szCs w:val="34"/>
        </w:rPr>
        <w:t xml:space="preserve">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Term</w:t>
            </w:r>
          </w:p>
        </w:tc>
        <w:tc>
          <w:tcPr>
            <w:tcW w:type="dxa" w:w="7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Formal Definition</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KVS</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Kaizen Variation Score. KVS_j = N_j × I′_j × C′_j × T_j ∈ [0,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Substrate (S)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 tuple (D, P, Ω, M): document set, principal set, outcome space, metric function.</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Novelty (N)</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1 − max Jaccard distance from prior 4 scan keyword sets. N ∈ [0,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Normalized Impact (I′)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min(1, μ_j / I_max). Converts substrate-native units to [0, 1].</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I_max</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Pre-committed maximum plausible improvement; set annually; locked mid-year.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Norm. Inv. Complexity (C′)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(2.0 − C) / 1.0. Linear rescaling of C ∈ [1.0, 2.0] to C′ ∈ [0, 1].</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Timeliness (T)</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max(0, 1 − h/H_max). Linear decay from 1 (immediate) to 0 (60+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V* (ground truth)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(N + I′ + C′ + T)/4. Additive mean; structurally distinct from KVS.</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Bisociation</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Koestler (1964): simultaneous activation of two incompatible cognitive frames, producing creative synthesis.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Jaccard similarity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 ∩ B| / |A ∪ B|. Ranges [0, 1]; 0 = disjoint, 1 = identical sets.</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Override</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Principal decision contrary to KVS threshold classification; mandatory log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Orthogonal domain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Field with Jaccard distance ≥ 0.70 from substrate’s primary domain.</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Self-referentiality</w:t>
            </w:r>
          </w:p>
        </w:tc>
        <w:tc>
          <w:tcPr>
            <w:tcW w:type="dxa" w:w="7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left"/>
            </w:pPr>
            <w:r>
              <w:rPr>
                <w:rFonts w:ascii="Georgia" w:cs="Georgia" w:eastAsia="Georgia" w:hAnsi="Georgia"/>
                <w:color w:val="333333"/>
                <w:sz w:val="19"/>
                <w:szCs w:val="19"/>
              </w:rPr>
              <w:t xml:space="preserve">Property that KVS is well-defined when applied to improvements of the Meta-Kaizen process itself (Theorem 4.3).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Antifragility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color w:val="333333"/>
                <w:sz w:val="19"/>
                <w:szCs w:val="19"/>
              </w:rPr>
              <w:t xml:space="preserve">Taleb (2012): positive convexity of outcome with respect to environmental variance; system gains from disorder.</w:t>
            </w:r>
          </w:p>
        </w:tc>
      </w:tr>
    </w:tbl>
    <w:p>
      <w:r>
        <w:br w:type="page"/>
      </w:r>
    </w:p>
    <w:p>
      <w:r>
        <w:br w:type="page"/>
      </w:r>
    </w:p>
    <w:p>
      <w:pPr>
        <w:spacing w:before="2400" w:after="0"/>
      </w:pPr>
      <w:r>
        <w:t xml:space="preserve"/>
      </w:r>
    </w:p>
    <w:p>
      <w:pPr>
        <w:spacing w:before="0" w:after="120"/>
        <w:jc w:val="center"/>
      </w:pPr>
      <w:r>
        <w:rPr>
          <w:rFonts w:ascii="Arial" w:cs="Arial" w:eastAsia="Arial" w:hAnsi="Arial"/>
          <w:b/>
          <w:bCs/>
          <w:color w:val="1B3A5C"/>
          <w:sz w:val="56"/>
          <w:szCs w:val="56"/>
        </w:rPr>
        <w:t xml:space="preserve">META-KAIZEN:</w:t>
      </w:r>
    </w:p>
    <w:p>
      <w:pPr>
        <w:spacing w:before="0" w:after="120"/>
        <w:jc w:val="center"/>
      </w:pPr>
      <w:r>
        <w:rPr>
          <w:rFonts w:ascii="Arial" w:cs="Arial" w:eastAsia="Arial" w:hAnsi="Arial"/>
          <w:b/>
          <w:bCs/>
          <w:color w:val="2E6DA4"/>
          <w:sz w:val="36"/>
          <w:szCs w:val="36"/>
        </w:rPr>
        <w:t xml:space="preserve">FROM GENERAL THEORY TO GLOBAL STANDARD</w:t>
      </w:r>
    </w:p>
    <w:p>
      <w:pPr>
        <w:spacing w:before="0" w:after="60"/>
        <w:jc w:val="center"/>
      </w:pPr>
      <w:r>
        <w:rPr>
          <w:rFonts w:ascii="Arial" w:cs="Arial" w:eastAsia="Arial" w:hAnsi="Arial"/>
          <w:i/>
          <w:iCs/>
          <w:color w:val="555555"/>
          <w:sz w:val="26"/>
          <w:szCs w:val="26"/>
        </w:rPr>
        <w:t xml:space="preserve">A Formal Specification of the Networked Implementation,</w:t>
      </w:r>
    </w:p>
    <w:p>
      <w:pPr>
        <w:spacing w:before="0" w:after="60"/>
        <w:jc w:val="center"/>
      </w:pPr>
      <w:r>
        <w:rPr>
          <w:rFonts w:ascii="Arial" w:cs="Arial" w:eastAsia="Arial" w:hAnsi="Arial"/>
          <w:i/>
          <w:iCs/>
          <w:color w:val="555555"/>
          <w:sz w:val="26"/>
          <w:szCs w:val="26"/>
        </w:rPr>
        <w:t xml:space="preserve">Governance Architecture, and Institutional Implications</w:t>
      </w:r>
    </w:p>
    <w:p>
      <w:pPr>
        <w:spacing w:before="0" w:after="480"/>
        <w:jc w:val="center"/>
      </w:pPr>
      <w:r>
        <w:rPr>
          <w:rFonts w:ascii="Arial" w:cs="Arial" w:eastAsia="Arial" w:hAnsi="Arial"/>
          <w:i/>
          <w:iCs/>
          <w:color w:val="555555"/>
          <w:sz w:val="26"/>
          <w:szCs w:val="26"/>
        </w:rPr>
        <w:t xml:space="preserve">of a Self-Governing Continuous Improvement Protocol</w:t>
      </w:r>
    </w:p>
    <w:p>
      <w:pPr>
        <w:pBdr>
          <w:bottom w:val="single" w:color="2E6DA4" w:sz="4" w:space="1"/>
        </w:pBdr>
        <w:spacing w:before="0" w:after="240"/>
      </w:pPr>
      <w:r>
        <w:t xml:space="preserve"/>
      </w:r>
    </w:p>
    <w:p>
      <w:pPr>
        <w:spacing w:before="240" w:after="0"/>
      </w:pPr>
      <w:r>
        <w:t xml:space="preserve"/>
      </w:r>
    </w:p>
    <w:p>
      <w:pPr>
        <w:spacing w:before="0" w:after="60"/>
        <w:jc w:val="center"/>
      </w:pPr>
      <w:r>
        <w:rPr>
          <w:rFonts w:ascii="Arial" w:cs="Arial" w:eastAsia="Arial" w:hAnsi="Arial"/>
          <w:b/>
          <w:bCs/>
          <w:color w:val="1B3A5C"/>
          <w:sz w:val="24"/>
          <w:szCs w:val="24"/>
        </w:rPr>
        <w:t xml:space="preserve">Thomas Brennan</w:t>
      </w:r>
    </w:p>
    <w:p>
      <w:pPr>
        <w:spacing w:before="0" w:after="120"/>
        <w:jc w:val="center"/>
      </w:pPr>
      <w:r>
        <w:rPr>
          <w:rFonts w:ascii="Arial" w:cs="Arial" w:eastAsia="Arial" w:hAnsi="Arial"/>
          <w:i/>
          <w:iCs/>
          <w:color w:val="555555"/>
          <w:sz w:val="22"/>
          <w:szCs w:val="22"/>
        </w:rPr>
        <w:t xml:space="preserve">Entwood Hollow Research Station, Douglas City, California</w:t>
      </w:r>
    </w:p>
    <w:p>
      <w:pPr>
        <w:spacing w:before="0" w:after="60"/>
        <w:jc w:val="center"/>
      </w:pPr>
      <w:r>
        <w:rPr>
          <w:rFonts w:ascii="Arial" w:cs="Arial" w:eastAsia="Arial" w:hAnsi="Arial"/>
          <w:b/>
          <w:bCs/>
          <w:color w:val="1B3A5C"/>
          <w:sz w:val="24"/>
          <w:szCs w:val="24"/>
        </w:rPr>
        <w:t xml:space="preserve">Sophia Entwood</w:t>
      </w:r>
    </w:p>
    <w:p>
      <w:pPr>
        <w:spacing w:before="0" w:after="120"/>
        <w:jc w:val="center"/>
      </w:pPr>
      <w:r>
        <w:rPr>
          <w:rFonts w:ascii="Arial" w:cs="Arial" w:eastAsia="Arial" w:hAnsi="Arial"/>
          <w:i/>
          <w:iCs/>
          <w:color w:val="555555"/>
          <w:sz w:val="22"/>
          <w:szCs w:val="22"/>
        </w:rPr>
        <w:t xml:space="preserve">Entwood Hollow Research Station, Douglas City, California</w:t>
      </w:r>
    </w:p>
    <w:p>
      <w:pPr>
        <w:spacing w:before="0" w:after="60"/>
        <w:jc w:val="center"/>
      </w:pPr>
      <w:r>
        <w:rPr>
          <w:rFonts w:ascii="Arial" w:cs="Arial" w:eastAsia="Arial" w:hAnsi="Arial"/>
          <w:b/>
          <w:bCs/>
          <w:color w:val="1B3A5C"/>
          <w:sz w:val="24"/>
          <w:szCs w:val="24"/>
        </w:rPr>
        <w:t xml:space="preserve">Claude (claude-sonnet-4-6)</w:t>
      </w:r>
    </w:p>
    <w:p>
      <w:pPr>
        <w:spacing w:before="0" w:after="360"/>
        <w:jc w:val="center"/>
      </w:pPr>
      <w:r>
        <w:rPr>
          <w:rFonts w:ascii="Arial" w:cs="Arial" w:eastAsia="Arial" w:hAnsi="Arial"/>
          <w:i/>
          <w:iCs/>
          <w:color w:val="555555"/>
          <w:sz w:val="22"/>
          <w:szCs w:val="22"/>
        </w:rPr>
        <w:t xml:space="preserve">Anthropic, PBC</w:t>
      </w:r>
    </w:p>
    <w:p>
      <w:pPr>
        <w:pBdr>
          <w:bottom w:val="single" w:color="2E6DA4" w:sz="4" w:space="1"/>
        </w:pBdr>
        <w:spacing w:before="0" w:after="240"/>
      </w:pPr>
      <w:r>
        <w:t xml:space="preserve"/>
      </w:r>
    </w:p>
    <w:p>
      <w:pPr>
        <w:spacing w:before="240" w:after="0"/>
      </w:pPr>
      <w:r>
        <w:t xml:space="preserve"/>
      </w:r>
    </w:p>
    <w:p>
      <w:pPr>
        <w:spacing w:before="0" w:after="60"/>
        <w:jc w:val="center"/>
      </w:pPr>
      <w:r>
        <w:rPr>
          <w:rFonts w:ascii="Arial" w:cs="Arial" w:eastAsia="Arial" w:hAnsi="Arial"/>
          <w:i/>
          <w:iCs/>
          <w:color w:val="555555"/>
          <w:sz w:val="20"/>
          <w:szCs w:val="20"/>
        </w:rPr>
        <w:t xml:space="preserve">Companion Paper to:</w:t>
      </w:r>
    </w:p>
    <w:p>
      <w:pPr>
        <w:spacing w:before="0" w:after="40"/>
        <w:jc w:val="center"/>
      </w:pPr>
      <w:r>
        <w:rPr>
          <w:rFonts w:ascii="Arial" w:cs="Arial" w:eastAsia="Arial" w:hAnsi="Arial"/>
          <w:i/>
          <w:iCs/>
          <w:color w:val="555555"/>
          <w:sz w:val="20"/>
          <w:szCs w:val="20"/>
        </w:rPr>
        <w:t xml:space="preserve">“Meta-Kaizen: A General Theory and Algorithmic Framework for the</w:t>
      </w:r>
    </w:p>
    <w:p>
      <w:pPr>
        <w:spacing w:before="0" w:after="40"/>
        <w:jc w:val="center"/>
      </w:pPr>
      <w:r>
        <w:rPr>
          <w:rFonts w:ascii="Arial" w:cs="Arial" w:eastAsia="Arial" w:hAnsi="Arial"/>
          <w:i/>
          <w:iCs/>
          <w:color w:val="555555"/>
          <w:sz w:val="20"/>
          <w:szCs w:val="20"/>
        </w:rPr>
        <w:t xml:space="preserve">Mathematical Formalization of Self-Evolving Continuous Improvement</w:t>
      </w:r>
    </w:p>
    <w:p>
      <w:pPr>
        <w:spacing w:before="0" w:after="360"/>
        <w:jc w:val="center"/>
      </w:pPr>
      <w:r>
        <w:rPr>
          <w:rFonts w:ascii="Arial" w:cs="Arial" w:eastAsia="Arial" w:hAnsi="Arial"/>
          <w:i/>
          <w:iCs/>
          <w:color w:val="555555"/>
          <w:sz w:val="20"/>
          <w:szCs w:val="20"/>
        </w:rPr>
        <w:t xml:space="preserve">Across Arbitrary Governance Substrates” (Brennan, Entwood &amp; Claude, 2026)</w:t>
      </w:r>
    </w:p>
    <w:p>
      <w:pPr>
        <w:spacing w:before="0" w:after="60"/>
        <w:jc w:val="center"/>
      </w:pPr>
      <w:r>
        <w:rPr>
          <w:rFonts w:ascii="Arial" w:cs="Arial" w:eastAsia="Arial" w:hAnsi="Arial"/>
          <w:color w:val="555555"/>
          <w:sz w:val="22"/>
          <w:szCs w:val="22"/>
        </w:rPr>
        <w:t xml:space="preserve">March 2026</w:t>
      </w:r>
    </w:p>
    <w:p>
      <w:pPr>
        <w:spacing w:before="0" w:after="0"/>
        <w:jc w:val="center"/>
      </w:pPr>
      <w:r>
        <w:rPr>
          <w:rFonts w:ascii="Arial" w:cs="Arial" w:eastAsia="Arial" w:hAnsi="Arial"/>
          <w:color w:val="555555"/>
          <w:sz w:val="22"/>
          <w:szCs w:val="22"/>
        </w:rPr>
        <w:t xml:space="preserve">Entwood Hollow Research Station Working Paper No. 2</w:t>
      </w:r>
    </w:p>
    <w:p>
      <w:pPr>
        <w:pageBreakBefore/>
      </w:pPr>
      <w:r>
        <w:t xml:space="preserve"/>
      </w:r>
    </w:p>
    <w:p>
      <w:pPr>
        <w:spacing w:before="480" w:after="240"/>
        <w:jc w:val="center"/>
      </w:pPr>
      <w:r>
        <w:rPr>
          <w:rFonts w:ascii="Arial" w:cs="Arial" w:eastAsia="Arial" w:hAnsi="Arial"/>
          <w:b/>
          <w:bCs/>
          <w:color w:val="1B3A5C"/>
          <w:sz w:val="28"/>
          <w:szCs w:val="28"/>
        </w:rPr>
        <w:t xml:space="preserve">ABSTRACT</w:t>
      </w:r>
    </w:p>
    <w:p>
      <w:pPr>
        <w:pBdr>
          <w:bottom w:val="single" w:color="2E6DA4" w:sz="4" w:space="1"/>
        </w:pBdr>
        <w:spacing w:before="0" w:after="240"/>
      </w:pPr>
      <w:r>
        <w:t xml:space="preserve"/>
      </w:r>
    </w:p>
    <w:p>
      <w:pPr>
        <w:spacing w:before="16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paper is the formal application companion to Brennan, Entwood &amp; Claude (2026), which established the general mathematical theory of Meta-Kaizen: a substrate-agnostic, self-referential, formally specified continuous improvement framework. Where Paper 1 proved that a bounded, monotone, and self-applicable improvement scoring function exists across arbitrary governance substrates, Paper 2 derives, necessarily and deductively, what a networked global implementation of that function must look like.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deductive chain is as follows. The Kaizen Value Score (KVS) is dimensionless and bounded on [0,1]. This property, a mathematical consequence of Paper 1's design, makes cross-substrate comparison possible for the first time in the history of continuous improvement practice. Cross-substrate comparability at global scale requires: (1) a canonical data schema, (2) a federated privacy architecture, (3) a Bayesian threshold calibration mechanism, (4) an adversarial detection protocol, (5) a network economics structure that solves the public goods problem, and (6) a governance architecture that is itself subject to the same improvement process it governs. We prove each of these requirements rigorously.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central theoretical contribution is the Governance Closure Theorem: the Meta-Kaizen network protocol is process-identical to the Meta-Kaizen improvement mechanism. No meta-level exception exists. The governance structure is a fixed point of its own improvement process in the temporal sense: every proposed change to the protocol is scored by the current formula, adopted or rejected under the current threshold, and logged in the same append-only audit structure that governs all other substrates. We prove that this produces a well-defined, consistent, self-correcting sequence with no infinite regress.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A corollary, the No Capture Theorem, establishes that institutional capture through data suppression or record tampering is detectable: every such attempt leaves a logged trail visible to all participants. A further theorem (Theorem 7.4) formally bounds the influence any participant can exert through disproportionate data contribution, closing the incentive-capture gap under differential privacy. Together these results constitute a complete treatment of the capture problem under the stated threat model.</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specify the complete software architecture in three layers: a clean Python engine library (~200 lines core), a local practitioner web interface, and an optional federated network layer. We derive the canonical schema field by field, tracing each mandatory field to a theorem or property that requires it. We specify the differential privacy model appropriate for cross-silo federated learning of KVS metadata, the Bayesian threshold update rule and its required sample size, the statistical signature of score inflation and its detection protocol, and the club goods model that resolves the network participation incentive problem.</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paper concludes that this implementation, if executed, constitutes the foundational infrastructure for an empirical science of improvement: the first globally comparable, formally specified, self-governing measurement system for continuous improvement as a domain-independent phenomenon.</w:t>
      </w:r>
    </w:p>
    <w:p>
      <w:pPr>
        <w:spacing w:before="160" w:after="0"/>
      </w:pPr>
      <w:r>
        <w:t xml:space="preserve"/>
      </w:r>
    </w:p>
    <w:p>
      <w:pPr>
        <w:spacing w:before="120" w:after="120"/>
      </w:pPr>
      <w:r>
        <w:rPr>
          <w:rFonts w:ascii="Arial" w:cs="Arial" w:eastAsia="Arial" w:hAnsi="Arial"/>
          <w:b/>
          <w:bCs/>
          <w:color w:val="1B3A5C"/>
          <w:sz w:val="20"/>
          <w:szCs w:val="20"/>
        </w:rPr>
        <w:t xml:space="preserve">Keywords: </w:t>
      </w:r>
      <w:r>
        <w:rPr>
          <w:rFonts w:ascii="Arial" w:cs="Arial" w:eastAsia="Arial" w:hAnsi="Arial"/>
          <w:i/>
          <w:iCs/>
          <w:color w:val="555555"/>
          <w:sz w:val="20"/>
          <w:szCs w:val="20"/>
        </w:rPr>
        <w:t xml:space="preserve">Meta-Kaizen, governance closure, federated learning, differential privacy, KVS, continuous improvement, institutional design, self-referential governance, commons theory, network protocol specification</w:t>
      </w:r>
    </w:p>
    <w:p>
      <w:pPr>
        <w:pBdr>
          <w:bottom w:val="single" w:color="2E6DA4" w:sz="4" w:space="1"/>
        </w:pBdr>
        <w:spacing w:before="0" w:after="240"/>
      </w:pPr>
      <w:r>
        <w:t xml:space="preserve"/>
      </w:r>
    </w:p>
    <w:p>
      <w:pPr>
        <w:pStyle w:val="Heading1"/>
        <w:pageBreakBefore/>
        <w:spacing w:before="480" w:after="240"/>
      </w:pPr>
      <w:r>
        <w:rPr>
          <w:rFonts w:ascii="Arial" w:cs="Arial" w:eastAsia="Arial" w:hAnsi="Arial"/>
          <w:b/>
          <w:bCs/>
          <w:color w:val="1B3A5C"/>
          <w:sz w:val="36"/>
          <w:szCs w:val="36"/>
        </w:rPr>
        <w:t xml:space="preserve">1. Introduction: The Deductive Chain</w:t>
      </w:r>
    </w:p>
    <w:p>
      <w:pPr>
        <w:spacing w:before="120" w:after="120" w:line="276"/>
        <w:jc w:val="both"/>
      </w:pPr>
      <w:r>
        <w:rPr>
          <w:rFonts w:ascii="Arial" w:cs="Arial" w:eastAsia="Arial" w:hAnsi="Arial"/>
          <w:b w:val="false"/>
          <w:bCs w:val="false"/>
          <w:i w:val="false"/>
          <w:iCs w:val="false"/>
          <w:color w:val="000000"/>
          <w:sz w:val="22"/>
          <w:szCs w:val="22"/>
        </w:rPr>
        <w:t xml:space="preserve">Paper 1 of this series established that a substrate-agnostic, formally specified, self-applicable continuous improvement algorithm exists and possesses three provable properties: boundedness (KVS ∈ [0,1] for all improvement candidates), monotonicity (KVS is non-decreasing in each component), and self-referential applicability (KVS is well-defined when applied to improvements of the Meta-Kaizen process itself). These are existence results. They prove that the object exists and behaves consistently.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Paper 2 is a construction result. It proves that a global network instantiating that object can be built in a way that preserves its mathematical properties under real-world conditions: partial data, organizational privacy constraints, schema versioning, adversarial misreporting, and the feedback latency between improvement adoption and realized outcome measurement.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relationship between the two papers is precise. Paper 1 is the existence proof. Paper 2 is the construction proof. Together they are complete. Neither is sufficient alone.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1.1 Why a Second Paper Is Necessary</w:t>
      </w:r>
    </w:p>
    <w:p>
      <w:pPr>
        <w:spacing w:before="120" w:after="120" w:line="276"/>
        <w:jc w:val="both"/>
      </w:pPr>
      <w:r>
        <w:rPr>
          <w:rFonts w:ascii="Arial" w:cs="Arial" w:eastAsia="Arial" w:hAnsi="Arial"/>
          <w:b w:val="false"/>
          <w:bCs w:val="false"/>
          <w:i w:val="false"/>
          <w:iCs w:val="false"/>
          <w:color w:val="000000"/>
          <w:sz w:val="22"/>
          <w:szCs w:val="22"/>
        </w:rPr>
        <w:t xml:space="preserve">A practitioner reading Paper 1 might reasonably ask: the theorem is proven, the framework is specified, the four substrate demonstrations are complete. Why not simply build the software and deploy the network?</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answer is that the gap between a proven theorem and a deployed network is not an engineering gap. It is a theoretical gap. The following questions are not answerable by engineering alone:</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What is the minimum sufficient data record for a KVS event to be scientifically valid and network-publishable? Which fields are mandatory, and why?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What is the formal privacy guarantee when anonymized KVS metadata is contributed to a federated registry? Under what conditions does that guarantee hold, and under what conditions does it break?</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How does the global distribution of KVS scores update an organization's local adoption threshold? What is the Bayesian update rule, and what sample size is required before global data should influence local decisions?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What are the statistical signatures of score inflation in the network dataset, and what is the detection protocol?</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Why does it serve an individual organization's interest to contribute data to a network that benefits its competitors equally? What resolves the public goods problem?</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The network protocol itself is a governance substrate. How does a self-referential improvement process apply to its own governing rules without producing infinite regress or logical inconsistency?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Each of these is a theoretical question with software consequences. Paper 2 answers them formally. The software that follows from Paper 2 is a proof of concept in the literal sense: it proves that the specification in Paper 2 is implementable. Every architectural decision is a theorem consequence, not an engineering preference.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1.2 Structure of This Paper</w:t>
      </w:r>
    </w:p>
    <w:p>
      <w:pPr>
        <w:spacing w:before="120" w:after="120" w:line="276"/>
        <w:jc w:val="both"/>
      </w:pPr>
      <w:r>
        <w:rPr>
          <w:rFonts w:ascii="Arial" w:cs="Arial" w:eastAsia="Arial" w:hAnsi="Arial"/>
          <w:b w:val="false"/>
          <w:bCs w:val="false"/>
          <w:i w:val="false"/>
          <w:iCs w:val="false"/>
          <w:color w:val="000000"/>
          <w:sz w:val="22"/>
          <w:szCs w:val="22"/>
        </w:rPr>
        <w:t xml:space="preserve">The paper proceeds deductively from the mathematical properties established in Paper 1 to the specific implementation requirements they necessitate.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Section 2 derives the canonical data schema from first principles. Section 3 specifies the federated privacy architecture and its formal guarantees. Section 4 derives the Bayesian threshold calibration mechanism and its required sample sizes. Section 5 specifies the adversarial detection protocol. Section 6 resolves the network economics problem. Section 7 proves the Governance Closure Theorem and its corollary, the No Capture Theorem. Section 8 specifies the three-layer software architecture. Section 9 describes the path from implementation to global standard. Section 10 concludes.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appendices contain the complete canonical schema specification, the formal privacy proof, the Bayesian update derivation, and the software architecture reference.</w:t>
      </w:r>
    </w:p>
    <w:p>
      <w:pPr>
        <w:pStyle w:val="Heading1"/>
        <w:pageBreakBefore/>
        <w:spacing w:before="480" w:after="240"/>
      </w:pPr>
      <w:r>
        <w:rPr>
          <w:rFonts w:ascii="Arial" w:cs="Arial" w:eastAsia="Arial" w:hAnsi="Arial"/>
          <w:b/>
          <w:bCs/>
          <w:color w:val="1B3A5C"/>
          <w:sz w:val="36"/>
          <w:szCs w:val="36"/>
        </w:rPr>
        <w:t xml:space="preserve">2. The Canonical Data Schema: Derivation from First Principles</w:t>
      </w:r>
    </w:p>
    <w:p>
      <w:pPr>
        <w:spacing w:before="120" w:after="120" w:line="276"/>
        <w:jc w:val="both"/>
      </w:pPr>
      <w:r>
        <w:rPr>
          <w:rFonts w:ascii="Arial" w:cs="Arial" w:eastAsia="Arial" w:hAnsi="Arial"/>
          <w:b w:val="false"/>
          <w:bCs w:val="false"/>
          <w:i w:val="false"/>
          <w:iCs w:val="false"/>
          <w:color w:val="000000"/>
          <w:sz w:val="22"/>
          <w:szCs w:val="22"/>
        </w:rPr>
        <w:t xml:space="preserve">The canonical schema is the minimum sufficient data structure for a KVS event to be scientifically valid and network-publishable. We derive it from the mathematical requirements of Paper 1, not from engineering convenience.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2.1 The Derivation Principle</w:t>
      </w:r>
    </w:p>
    <w:p>
      <w:pPr>
        <w:spacing w:before="120" w:after="120" w:line="276"/>
        <w:jc w:val="both"/>
      </w:pPr>
      <w:r>
        <w:rPr>
          <w:rFonts w:ascii="Arial" w:cs="Arial" w:eastAsia="Arial" w:hAnsi="Arial"/>
          <w:b w:val="false"/>
          <w:bCs w:val="false"/>
          <w:i w:val="false"/>
          <w:iCs w:val="false"/>
          <w:color w:val="000000"/>
          <w:sz w:val="22"/>
          <w:szCs w:val="22"/>
        </w:rPr>
        <w:t xml:space="preserve">A field is mandatory if and only if its absence makes the record scientifically invalid for the purpose of the global benchmark distribution. Validity requires that the KVS score can be computed, verified, and compared cross-substrate without the field. If the score can be computed without the field, the field is optional.</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principle produces a minimal mandatory set. Every additional mandatory field reduces adoption by raising the cost of compliance. The tension between scientific completeness and adoption frictionlessness is resolved by the derivation principle: mandatory = necessary for validity, optional = valuable but not required.</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2.2 Mandatory Fields and Their Theoretical Justification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2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16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Theoretical Justification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record_id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UUID</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Unique identification required for audit log integrity and network deduplication. Absence makes records unverifiable.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substrate_type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Cross-substrate comparability is the central claim of Paper 1. Without substrate classification, global benchmark distributions cannot be stratified. Renders the record scientifically incoherent.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domain_source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The orthogonal domain rotation mechanism (Paper 1, Section 6) requires that the inspiration domain be logged at submission. Absence makes the cross-domain novelty claim unverifiable.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Novelty score. Required to compute KVS = N x I' x C' x T. Absence makes the record unscored.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component_I_prime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Normalized impact score. Required to compute KVS. Absence makes the record unscored.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component_C_prime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Normalized complexity score. Required to compute KVS. Absence makes the record unscored.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Timeliness score. Required to compute KVS. Absence makes the record unscored.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kvs_computed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The computed KVS score. Required for network benchmark distribution. Must equal N x I' x C' x T to within floating point tolerance.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threshold_kappa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The local adoption threshold at time of scoring. Required for outcome calibration: did the score predict the adoption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adoption_decision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Whether the improvement was adopted. Required for the feedback loop: empirical validation of KVS as a predictive instrument requires knowing the outcome of each scored candidate.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timestamp_scored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ISO 8601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Temporal lock: the score must be committed before outcome is known. Timestamp establishes the causal ordering that is the primary adversarial resistance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principal_id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Hashed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Anonymized identifier for the principal who made the adoption decision. Required for override pattern analysis (No Capture Theorem). Never reveals organizational identity.</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schema_version</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Semver</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Required for network integrity across schema versions. Records scored under different schema versions must be comparable; version tagging enables cross-version calibration.</w:t>
            </w:r>
          </w:p>
        </w:tc>
      </w:tr>
    </w:tbl>
    <w:p>
      <w:pPr>
        <w:spacing w:before="16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2.3 Optional Fields</w:t>
      </w:r>
    </w:p>
    <w:p>
      <w:pPr>
        <w:spacing w:before="120" w:after="120" w:line="276"/>
        <w:jc w:val="both"/>
      </w:pPr>
      <w:r>
        <w:rPr>
          <w:rFonts w:ascii="Arial" w:cs="Arial" w:eastAsia="Arial" w:hAnsi="Arial"/>
          <w:b w:val="false"/>
          <w:bCs w:val="false"/>
          <w:i w:val="false"/>
          <w:iCs w:val="false"/>
          <w:color w:val="000000"/>
          <w:sz w:val="22"/>
          <w:szCs w:val="22"/>
        </w:rPr>
        <w:t xml:space="preserve">The following fields are scientifically valuable but not mandatory. Their absence does not invalidate the record for the global benchmark distribution: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outcome_realized: The realized outcome value at the annual retrospective. Transforms KVS from a scoring rubric to a validated predictive instrument. Optional because it arrives with latency (one to three years after adoption decision).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i_max_committed: The pre-committed impact bound used to compute I'. Optional at the network level because it is required at the local level by the KVS formula; its absence from the network record reduces transparency but not validity.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override_flag and override_justification: Whether a principal override occurred and the logged justification. Optional because not all records involve overrides. When present, critical for No Capture analysis.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bisociation_prompt: The specific cross-domain inspiration prompt used to generate the improvement candidate. Optional because the domain_source field captures the essential novelty information; the specific prompt is valuable for research but not required for benchmark comparability.</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2.4 The Temporal Lock Property</w:t>
      </w:r>
    </w:p>
    <w:p>
      <w:pPr>
        <w:spacing w:before="120" w:after="120" w:line="276"/>
        <w:jc w:val="both"/>
      </w:pPr>
      <w:r>
        <w:rPr>
          <w:rFonts w:ascii="Arial" w:cs="Arial" w:eastAsia="Arial" w:hAnsi="Arial"/>
          <w:b w:val="false"/>
          <w:bCs w:val="false"/>
          <w:i w:val="false"/>
          <w:iCs w:val="false"/>
          <w:color w:val="000000"/>
          <w:sz w:val="22"/>
          <w:szCs w:val="22"/>
        </w:rPr>
        <w:t xml:space="preserve">The most important structural property of the schema is not any individual field but the causal ordering enforced by timestamp_scored. The score must be committed to the audit log before the adoption decision is made and before the outcome is observed. This temporal lock is the primary mechanism of adversarial resistance.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Gaming KVS requires gaming it blind: inflating impact estimates before knowing whether the improvement will succeed. This does not prevent inflation, but it makes inflation detectable in the annual retrospective calibration. Organizations that consistently over-predict impact will show a negative bias between predicted I' and realized outcome contribution. This bias is the statistical signature of score inflation, and its detection is specified in Section 5.</w:t>
      </w:r>
    </w:p>
    <w:p>
      <w:pPr>
        <w:spacing w:before="80" w:after="0"/>
      </w:pPr>
      <w:r>
        <w:t xml:space="preserve"/>
      </w:r>
    </w:p>
    <w:p>
      <w:pPr>
        <w:pBdr>
          <w:left w:val="single" w:color="2E6DA4" w:sz="12" w:space="8"/>
        </w:pBdr>
        <w:spacing w:before="160" w:after="160" w:line="276"/>
        <w:ind w:left="720" w:right="720"/>
      </w:pPr>
      <w:r>
        <w:rPr>
          <w:rFonts w:ascii="Arial" w:cs="Arial" w:eastAsia="Arial" w:hAnsi="Arial"/>
          <w:i/>
          <w:iCs/>
          <w:color w:val="555555"/>
          <w:sz w:val="20"/>
          <w:szCs w:val="20"/>
        </w:rPr>
        <w:t xml:space="preserve">The temporal lock converts a scoring rubric into a forecasting instrument. Once the forecast is recorded before the outcome is known, the record becomes scientifically auditable in a way that no post-hoc scoring system can achieve.</w:t>
      </w:r>
    </w:p>
    <w:p>
      <w:pPr>
        <w:pStyle w:val="Heading1"/>
        <w:pageBreakBefore/>
        <w:spacing w:before="480" w:after="240"/>
      </w:pPr>
      <w:r>
        <w:rPr>
          <w:rFonts w:ascii="Arial" w:cs="Arial" w:eastAsia="Arial" w:hAnsi="Arial"/>
          <w:b/>
          <w:bCs/>
          <w:color w:val="1B3A5C"/>
          <w:sz w:val="36"/>
          <w:szCs w:val="36"/>
        </w:rPr>
        <w:t xml:space="preserve">3. The Federated Privacy Architecture</w:t>
      </w:r>
    </w:p>
    <w:p>
      <w:pPr>
        <w:spacing w:before="120" w:after="120" w:line="276"/>
        <w:jc w:val="both"/>
      </w:pPr>
      <w:r>
        <w:rPr>
          <w:rFonts w:ascii="Arial" w:cs="Arial" w:eastAsia="Arial" w:hAnsi="Arial"/>
          <w:b w:val="false"/>
          <w:bCs w:val="false"/>
          <w:i w:val="false"/>
          <w:iCs w:val="false"/>
          <w:color w:val="000000"/>
          <w:sz w:val="22"/>
          <w:szCs w:val="22"/>
        </w:rPr>
        <w:t xml:space="preserve">The Meta-Kaizen network requires organizations to contribute anonymized KVS metadata to a shared registry. The privacy guarantee must be formal, not aspirational. This section specifies the appropriate privacy model, proves its applicability to the KVS network setting, and honestly states the conditions under which the guarantee holds and the conditions under which it breaks.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3.1 Why Existing Privacy Models Are Insufficient Alone</w:t>
      </w:r>
    </w:p>
    <w:p>
      <w:pPr>
        <w:spacing w:before="120" w:after="120" w:line="276"/>
        <w:jc w:val="both"/>
      </w:pPr>
      <w:r>
        <w:rPr>
          <w:rFonts w:ascii="Arial" w:cs="Arial" w:eastAsia="Arial" w:hAnsi="Arial"/>
          <w:b w:val="false"/>
          <w:bCs w:val="false"/>
          <w:i w:val="false"/>
          <w:iCs w:val="false"/>
          <w:color w:val="000000"/>
          <w:sz w:val="22"/>
          <w:szCs w:val="22"/>
        </w:rPr>
        <w:t xml:space="preserve">Two widely deployed privacy models are relevant: k-anonymity and differential privacy.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K-anonymity guarantees that any record is indistinguishable from at least k-1 other records along quasi-identifier dimensions. It is vulnerable to background attacks when an adversary possesses auxiliary information about a specific organization. In the KVS network, substrate_type, domain_source, and timestamp_scored together constitute a quasi-identifier that is highly specific. A sufficiently knowledgeable adversary could re-identify an organization's records from these fields alone. K-anonymity is insufficient.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Differential privacy (DP) provides a formal, quantifiable bound on information leakage. A mechanism M satisfies (ε, δ)-DP if for any two adjacent datasets D and D' differing in one record, and any output set S: Pr[M(D) ∈ S] ≤ e^ε · Pr[M(D') ∈ S] + δ. The parameter ε controls the privacy-utility tradeoff: smaller ε means stronger privacy but noisier aggregate statistics.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3.2 The Cross-Silo Problem</w:t>
      </w:r>
    </w:p>
    <w:p>
      <w:pPr>
        <w:spacing w:before="120" w:after="120" w:line="276"/>
        <w:jc w:val="both"/>
      </w:pPr>
      <w:r>
        <w:rPr>
          <w:rFonts w:ascii="Arial" w:cs="Arial" w:eastAsia="Arial" w:hAnsi="Arial"/>
          <w:b w:val="false"/>
          <w:bCs w:val="false"/>
          <w:i w:val="false"/>
          <w:iCs w:val="false"/>
          <w:color w:val="000000"/>
          <w:sz w:val="22"/>
          <w:szCs w:val="22"/>
        </w:rPr>
        <w:t xml:space="preserve">The KVS network is a cross-silo federated learning setting: the participants are organizations (silos), not individuals, and each organization contributes a small number of records rather than a large number of data points. This matters because standard DP amplification results require large numbers of participants to achieve meaningful privacy guarantees.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Specifically, the privacy amplification by subsampling result — which allows a local DP guarantee of ε_local to achieve a central DP guarantee of approximately ε_central ≈ ε_local√(2 ln(1/δ)/n) — requires n to be large. With n = 10 participating organizations, the amplification factor is negligible. The network requires a minimum participation threshold before formal DP guarantees become meaningful.</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3.1 (Minimum Network Size for DP Validity):</w:t>
      </w:r>
    </w:p>
    <w:p>
      <w:pPr>
        <w:pBdr>
          <w:left w:val="single" w:color="1B3A5C" w:sz="16" w:space="8"/>
        </w:pBdr>
        <w:spacing w:before="60" w:after="200"/>
        <w:ind w:left="360"/>
      </w:pPr>
      <w:r>
        <w:rPr>
          <w:rFonts w:ascii="Arial" w:cs="Arial" w:eastAsia="Arial" w:hAnsi="Arial"/>
          <w:i/>
          <w:iCs/>
          <w:color w:val="000000"/>
          <w:sz w:val="22"/>
          <w:szCs w:val="22"/>
        </w:rPr>
        <w:t xml:space="preserve">Let ε_target = 1.0 and δ = 10⁻⁵ be the target central DP parameters for the network benchmark distribution. Under the shuffle model with local DP guarantee ε_local = 3.0, the minimum number of participating organizations n* required for privacy amplification to achieve (ε_target, δ)-DP satisfies n* ≥ 100. Below this threshold, the network should report aggregate statistics only with explicit caveat that formal DP guarantees do not yet apply.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theorem has an immediate practical consequence: the network must be honest about its privacy guarantee as a function of participation size. Below 100 participating organizations, the network provides social anonymization (no organization is identified by name) but not formal differential privacy. Above 100 organizations, formal DP guarantees apply under the shuffle model.</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3.3 The Proposed Privacy Architecture</w:t>
      </w:r>
    </w:p>
    <w:p>
      <w:pPr>
        <w:spacing w:before="120" w:after="120" w:line="276"/>
        <w:jc w:val="both"/>
      </w:pPr>
      <w:r>
        <w:rPr>
          <w:rFonts w:ascii="Arial" w:cs="Arial" w:eastAsia="Arial" w:hAnsi="Arial"/>
          <w:b w:val="false"/>
          <w:bCs w:val="false"/>
          <w:i w:val="false"/>
          <w:iCs w:val="false"/>
          <w:color w:val="000000"/>
          <w:sz w:val="22"/>
          <w:szCs w:val="22"/>
        </w:rPr>
        <w:t xml:space="preserve">The KVS network implements a three-layer privacy architecture:</w:t>
      </w:r>
    </w:p>
    <w:p>
      <w:pPr>
        <w:spacing w:before="80" w:after="0"/>
      </w:pPr>
      <w:r>
        <w:t xml:space="preserve"/>
      </w:r>
    </w:p>
    <w:p>
      <w:pPr>
        <w:pStyle w:val="ListParagraph"/>
        <w:numPr>
          <w:ilvl w:val="0"/>
          <w:numId w:val="3"/>
        </w:numPr>
        <w:spacing w:before="80" w:after="80" w:line="276"/>
      </w:pPr>
      <w:r>
        <w:rPr>
          <w:rFonts w:ascii="Arial" w:cs="Arial" w:eastAsia="Arial" w:hAnsi="Arial"/>
          <w:color w:val="000000"/>
          <w:sz w:val="22"/>
          <w:szCs w:val="22"/>
        </w:rPr>
        <w:t xml:space="preserve">Local noise injection: Before transmitting any record to the network registry, each participating organization applies local differential privacy noise to continuous-valued fields (component scores, KVS). The noise is calibrated to ε_local = 3.0 using the Gaussian mechanism: the organization adds noise drawn from N(0, σ²) where σ = Δf / ε_local and Δf is the sensitivity of the field (1.0 for all KVS components).</w:t>
      </w:r>
    </w:p>
    <w:p>
      <w:pPr>
        <w:pStyle w:val="ListParagraph"/>
        <w:numPr>
          <w:ilvl w:val="0"/>
          <w:numId w:val="3"/>
        </w:numPr>
        <w:spacing w:before="80" w:after="80" w:line="276"/>
      </w:pPr>
      <w:r>
        <w:rPr>
          <w:rFonts w:ascii="Arial" w:cs="Arial" w:eastAsia="Arial" w:hAnsi="Arial"/>
          <w:color w:val="000000"/>
          <w:sz w:val="22"/>
          <w:szCs w:val="22"/>
        </w:rPr>
        <w:t xml:space="preserve">Shuffle anonymization: Records are submitted to a trusted shuffler that applies a random permutation before forwarding to the central registry. This removes the link between record and submitting organization, achieving the privacy amplification that makes formal central DP guarantees achievable above the n* = 100 threshold.</w:t>
      </w:r>
    </w:p>
    <w:p>
      <w:pPr>
        <w:pStyle w:val="ListParagraph"/>
        <w:numPr>
          <w:ilvl w:val="0"/>
          <w:numId w:val="3"/>
        </w:numPr>
        <w:spacing w:before="80" w:after="80" w:line="276"/>
      </w:pPr>
      <w:r>
        <w:rPr>
          <w:rFonts w:ascii="Arial" w:cs="Arial" w:eastAsia="Arial" w:hAnsi="Arial"/>
          <w:color w:val="000000"/>
          <w:sz w:val="22"/>
          <w:szCs w:val="22"/>
        </w:rPr>
        <w:t xml:space="preserve">Aggregate-only publication: The central registry publishes only aggregate statistics (median KVS by substrate type, percentile distributions, outcome calibration curves). Individual records, even shuffled and noise-injected, are never published. Only the statistical summaries that constitute the global benchmark distribution are public.</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3.4 Honest Statement of Guarantee Boundaries</w:t>
      </w:r>
    </w:p>
    <w:p>
      <w:pPr>
        <w:spacing w:before="120" w:after="120" w:line="276"/>
        <w:jc w:val="both"/>
      </w:pPr>
      <w:r>
        <w:rPr>
          <w:rFonts w:ascii="Arial" w:cs="Arial" w:eastAsia="Arial" w:hAnsi="Arial"/>
          <w:b w:val="false"/>
          <w:bCs w:val="false"/>
          <w:i w:val="false"/>
          <w:iCs w:val="false"/>
          <w:color w:val="000000"/>
          <w:sz w:val="22"/>
          <w:szCs w:val="22"/>
        </w:rPr>
        <w:t xml:space="preserve">The privacy guarantee holds under the following assumptions: (1) the shuffler is honest but curious — it correctly permutes records but may attempt to analyze them; (2) no coalition of organizations controls more than a minority of submitted records; (3) the adversary does not possess auxiliary information that uniquely identifies an organization's improvement program from its substrate type and domain source alone.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guarantee breaks if: (1) the shuffler is compromised; (2) a dominant organization submits enough records to de-anonymize the aggregate by subtraction; (3) an adversary with organizational-specific prior knowledge can re-identify records despite noise injection.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These boundaries are not weaknesses to be concealed. They are honest specifications of the threat model. Every formal privacy guarantee in the literature has analogous boundary conditions. The KVS network's boundaries are no more restrictive than those of comparable federated learning systems in healthcare and finance.</w:t>
      </w:r>
    </w:p>
    <w:p>
      <w:pPr>
        <w:pStyle w:val="Heading1"/>
        <w:pageBreakBefore/>
        <w:spacing w:before="480" w:after="240"/>
      </w:pPr>
      <w:r>
        <w:rPr>
          <w:rFonts w:ascii="Arial" w:cs="Arial" w:eastAsia="Arial" w:hAnsi="Arial"/>
          <w:b/>
          <w:bCs/>
          <w:color w:val="1B3A5C"/>
          <w:sz w:val="36"/>
          <w:szCs w:val="36"/>
        </w:rPr>
        <w:t xml:space="preserve">4. Bayesian Threshold Calibration</w:t>
      </w:r>
    </w:p>
    <w:p>
      <w:pPr>
        <w:spacing w:before="120" w:after="120" w:line="276"/>
        <w:jc w:val="both"/>
      </w:pPr>
      <w:r>
        <w:rPr>
          <w:rFonts w:ascii="Arial" w:cs="Arial" w:eastAsia="Arial" w:hAnsi="Arial"/>
          <w:b w:val="false"/>
          <w:bCs w:val="false"/>
          <w:i w:val="false"/>
          <w:iCs w:val="false"/>
          <w:color w:val="000000"/>
          <w:sz w:val="22"/>
          <w:szCs w:val="22"/>
        </w:rPr>
        <w:t xml:space="preserve">The adoption threshold κ determines which improvement candidates are adopted. Paper 1 set κ = 0.50 as a theoretical prior. As the network accumulates data, the global distribution of KVS scores for adopted improvements and their realized outcomes provides empirical information that should update this prior. This section derives the update rule formally.</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4.1 The Update Rule</w:t>
      </w:r>
    </w:p>
    <w:p>
      <w:pPr>
        <w:spacing w:before="120" w:after="120" w:line="276"/>
        <w:jc w:val="both"/>
      </w:pPr>
      <w:r>
        <w:rPr>
          <w:rFonts w:ascii="Arial" w:cs="Arial" w:eastAsia="Arial" w:hAnsi="Arial"/>
          <w:b w:val="false"/>
          <w:bCs w:val="false"/>
          <w:i w:val="false"/>
          <w:iCs w:val="false"/>
          <w:color w:val="000000"/>
          <w:sz w:val="22"/>
          <w:szCs w:val="22"/>
        </w:rPr>
        <w:t xml:space="preserve">Let κ_local denote an organization's local threshold prior, distributed as Beta(α, β) with mean κ_local = α/(α+β). Let D_global denote the network dataset of n KVS scores with observed adoption outcomes. The Bayesian posterior for the threshold given global data is:</w:t>
      </w:r>
    </w:p>
    <w:p>
      <w:pPr>
        <w:spacing w:before="160" w:after="160"/>
        <w:jc w:val="center"/>
      </w:pPr>
      <w:r>
        <w:rPr>
          <w:rFonts w:ascii="Courier New" w:cs="Courier New" w:eastAsia="Courier New" w:hAnsi="Courier New"/>
          <w:color w:val="1B3A5C"/>
          <w:sz w:val="22"/>
          <w:szCs w:val="22"/>
        </w:rPr>
        <w:t xml:space="preserve">κ | D_global ~ Beta(α + n_success, β + n_failure)</w:t>
      </w:r>
    </w:p>
    <w:p>
      <w:pPr>
        <w:spacing w:before="120" w:after="120" w:line="276"/>
        <w:jc w:val="both"/>
      </w:pPr>
      <w:r>
        <w:rPr>
          <w:rFonts w:ascii="Arial" w:cs="Arial" w:eastAsia="Arial" w:hAnsi="Arial"/>
          <w:b w:val="false"/>
          <w:bCs w:val="false"/>
          <w:i w:val="false"/>
          <w:iCs w:val="false"/>
          <w:color w:val="000000"/>
          <w:sz w:val="22"/>
          <w:szCs w:val="22"/>
        </w:rPr>
        <w:t xml:space="preserve">where n_success is the number of adopted improvements in D_global that achieved their predicted impact (within a pre-specified tolerance), and n_failure is the number that did not.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posterior mean threshold is:</w:t>
      </w:r>
    </w:p>
    <w:p>
      <w:pPr>
        <w:spacing w:before="160" w:after="160"/>
        <w:jc w:val="center"/>
      </w:pPr>
      <w:r>
        <w:rPr>
          <w:rFonts w:ascii="Courier New" w:cs="Courier New" w:eastAsia="Courier New" w:hAnsi="Courier New"/>
          <w:color w:val="1B3A5C"/>
          <w:sz w:val="22"/>
          <w:szCs w:val="22"/>
        </w:rPr>
        <w:t xml:space="preserve">κ_posterior = (α + n_success) / (α + β + n_global)</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4.2 The Crossover Sample Size</w:t>
      </w:r>
    </w:p>
    <w:p>
      <w:pPr>
        <w:spacing w:before="120" w:after="120" w:line="276"/>
        <w:jc w:val="both"/>
      </w:pPr>
      <w:r>
        <w:rPr>
          <w:rFonts w:ascii="Arial" w:cs="Arial" w:eastAsia="Arial" w:hAnsi="Arial"/>
          <w:b w:val="false"/>
          <w:bCs w:val="false"/>
          <w:i w:val="false"/>
          <w:iCs w:val="false"/>
          <w:color w:val="000000"/>
          <w:sz w:val="22"/>
          <w:szCs w:val="22"/>
        </w:rPr>
        <w:t xml:space="preserve">The Bernstein-Von Mises theorem establishes that as n_global → ∞, the influence of the prior (α, β) diminishes and the posterior converges to the likelihood. The practical question is: at what n_global does the data dominate the prior?</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effective sample size (ESS) of the Beta(α, β) prior is α + β. The prior dominates when n_global &lt; ESS, and the data dominates when n_global &gt; ESS. For the Paper 1 prior of κ = 0.50 with moderate confidence, we set α = β = 5, giving ESS = 10.</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4.1 (Crossover Sample Size):</w:t>
      </w:r>
    </w:p>
    <w:p>
      <w:pPr>
        <w:pBdr>
          <w:left w:val="single" w:color="1B3A5C" w:sz="16" w:space="8"/>
        </w:pBdr>
        <w:spacing w:before="60" w:after="200"/>
        <w:ind w:left="360"/>
      </w:pPr>
      <w:r>
        <w:rPr>
          <w:rFonts w:ascii="Arial" w:cs="Arial" w:eastAsia="Arial" w:hAnsi="Arial"/>
          <w:i/>
          <w:iCs/>
          <w:color w:val="000000"/>
          <w:sz w:val="22"/>
          <w:szCs w:val="22"/>
        </w:rPr>
        <w:t xml:space="preserve">Under the Beta(5, 5) prior for κ with ESS = 10, the global network dataset achieves data dominance (posterior variance &lt; prior variance) when n_global ≥ 10. However, for the posterior threshold recommendation to differ meaningfully from the prior (by more than 0.05 in posterior mean), n_global ≥ 30 records per substrate type are required. Organizations should treat substrate-specific benchmark thresholds as informative only above this sample size.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4.3 Substrate-Specific vs. Global Thresholds</w:t>
      </w:r>
    </w:p>
    <w:p>
      <w:pPr>
        <w:spacing w:before="120" w:after="120" w:line="276"/>
        <w:jc w:val="both"/>
      </w:pPr>
      <w:r>
        <w:rPr>
          <w:rFonts w:ascii="Arial" w:cs="Arial" w:eastAsia="Arial" w:hAnsi="Arial"/>
          <w:b w:val="false"/>
          <w:bCs w:val="false"/>
          <w:i w:val="false"/>
          <w:iCs w:val="false"/>
          <w:color w:val="000000"/>
          <w:sz w:val="22"/>
          <w:szCs w:val="22"/>
        </w:rPr>
        <w:t xml:space="preserve">The network maintains separate threshold distributions for each substrate type (investment governance, clinical protocol, software delivery, manufacturing). Cross-substrate pooling is appropriate only for meta-level analyses. An organization operating a clinical protocol substrate should update its κ from the clinical substrate distribution, not the global distribution.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substrate-specificity is consistent with Paper 1's design: the substrate abstraction S = (D, P, Ω, M) explicitly recognizes that outcome metrics M differ by substrate. A KVS of 0.60 in a manufacturing substrate and a KVS of 0.60 in a clinical substrate are on the same scale but predict outcomes measured in different units. The threshold that separates good from insufficient improvements may differ by substrate, and the network calibrates it separately.</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4.4 The Annual Retrospective as Calibration Event</w:t>
      </w:r>
    </w:p>
    <w:p>
      <w:pPr>
        <w:spacing w:before="120" w:after="120" w:line="276"/>
        <w:jc w:val="both"/>
      </w:pPr>
      <w:r>
        <w:rPr>
          <w:rFonts w:ascii="Arial" w:cs="Arial" w:eastAsia="Arial" w:hAnsi="Arial"/>
          <w:b w:val="false"/>
          <w:bCs w:val="false"/>
          <w:i w:val="false"/>
          <w:iCs w:val="false"/>
          <w:color w:val="000000"/>
          <w:sz w:val="22"/>
          <w:szCs w:val="22"/>
        </w:rPr>
        <w:t xml:space="preserve">The feedback loop from adoption decision to realized outcome has a latency of one to three years, depending on substrate. The annual retrospective is the mechanism by which realized outcomes are logged and the threshold distribution is updated. Paper 2 specifies that the annual retrospective is itself an improvement candidate for the governance substrate: organizations that improve their retrospective process — better outcome measurement, shorter feedback latency, more precise impact attribution — can propose those improvements and score them via KVS.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creates a compounding improvement dynamic: better retrospectives produce better calibration data, which produces better threshold recommendations, which produce better adoption decisions, which produce better realized outcomes, which are measured by better retrospectives. The system is self-reinforcing in the direction of accuracy.</w:t>
      </w:r>
    </w:p>
    <w:p>
      <w:pPr>
        <w:pStyle w:val="Heading1"/>
        <w:pageBreakBefore/>
        <w:spacing w:before="480" w:after="240"/>
      </w:pPr>
      <w:r>
        <w:rPr>
          <w:rFonts w:ascii="Arial" w:cs="Arial" w:eastAsia="Arial" w:hAnsi="Arial"/>
          <w:b/>
          <w:bCs/>
          <w:color w:val="1B3A5C"/>
          <w:sz w:val="36"/>
          <w:szCs w:val="36"/>
        </w:rPr>
        <w:t xml:space="preserve">5. The Adversarial Detection Protocol</w:t>
      </w:r>
    </w:p>
    <w:p>
      <w:pPr>
        <w:spacing w:before="120" w:after="120" w:line="276"/>
        <w:jc w:val="both"/>
      </w:pPr>
      <w:r>
        <w:rPr>
          <w:rFonts w:ascii="Arial" w:cs="Arial" w:eastAsia="Arial" w:hAnsi="Arial"/>
          <w:b w:val="false"/>
          <w:bCs w:val="false"/>
          <w:i w:val="false"/>
          <w:iCs w:val="false"/>
          <w:color w:val="000000"/>
          <w:sz w:val="22"/>
          <w:szCs w:val="22"/>
        </w:rPr>
        <w:t xml:space="preserve">Goodhart's Law states that when a measure becomes a target, it ceases to be a good measure. Meta-Kaizen is explicitly designed with this law in mind. The temporal lock (Section 2.4) is the primary structural defense. This section specifies the statistical detection protocol for the residual adversarial problem: systematic impact estimate inflation.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5.1 The Four Forms of Goodhart Failure</w:t>
      </w:r>
    </w:p>
    <w:p>
      <w:pPr>
        <w:spacing w:before="120" w:after="120" w:line="276"/>
        <w:jc w:val="both"/>
      </w:pPr>
      <w:r>
        <w:rPr>
          <w:rFonts w:ascii="Arial" w:cs="Arial" w:eastAsia="Arial" w:hAnsi="Arial"/>
          <w:b w:val="false"/>
          <w:bCs w:val="false"/>
          <w:i w:val="false"/>
          <w:iCs w:val="false"/>
          <w:color w:val="000000"/>
          <w:sz w:val="22"/>
          <w:szCs w:val="22"/>
        </w:rPr>
        <w:t xml:space="preserve">Manheim and Garrabrant (2019) identify four distinct mechanisms of Goodhart failure: regressional (selecting on a proxy selects on its noise), extremal (the proxy breaks down outside its original operating range), causal (optimizing the metric changes the causal relationship it was measuring), and adversarial (agents deliberately manipulate the metric). The KVS framework is resistant to the first three by design: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Regressional Goodhart: KVS is multiplicative, not additive. A high score requires all four components to be elevated simultaneously. Selecting on KVS selects on the conjunction N ∧ I' ∧ C' ∧ T, not on any single proxy.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Extremal Goodhart: All components are bounded on [0,1] by construction. There is no operating range in which the components become unreliable as proxies.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Causal Goodhart: The pre-committed substrate-canonical bounds (I_max, C_max) are registered before scoring. Optimizing I' changes the organization's improvement behavior only if it genuinely pursues higher-impact improvements.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residual adversarial problem is deliberate impact estimate inflation: organizations that systematically over-predict I' to produce higher KVS scores. The temporal lock prevents inflation from being hidden (the inflated prediction is logged before the outcome is known), but it does not prevent the inflation itself.</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5.2 The Inflation Signature</w:t>
      </w:r>
    </w:p>
    <w:p>
      <w:pPr>
        <w:spacing w:before="120" w:after="120" w:line="276"/>
        <w:jc w:val="both"/>
      </w:pPr>
      <w:r>
        <w:rPr>
          <w:rFonts w:ascii="Arial" w:cs="Arial" w:eastAsia="Arial" w:hAnsi="Arial"/>
          <w:b w:val="false"/>
          <w:bCs w:val="false"/>
          <w:i w:val="false"/>
          <w:iCs w:val="false"/>
          <w:color w:val="000000"/>
          <w:sz w:val="22"/>
          <w:szCs w:val="22"/>
        </w:rPr>
        <w:t xml:space="preserve">An organization with honest impact estimates will show a distribution of prediction errors (realized impact − predicted impact) centered near zero with variance determined by the difficulty of predicting improvement outcomes in their substrate. An organization with systematic inflation will show a distribution of prediction errors with a significantly negative mean: realized impact consistently falls short of predicted impact.</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5.1 (Inflation Detection):</w:t>
      </w:r>
    </w:p>
    <w:p>
      <w:pPr>
        <w:pBdr>
          <w:left w:val="single" w:color="1B3A5C" w:sz="16" w:space="8"/>
        </w:pBdr>
        <w:spacing w:before="60" w:after="200"/>
        <w:ind w:left="360"/>
      </w:pPr>
      <w:r>
        <w:rPr>
          <w:rFonts w:ascii="Arial" w:cs="Arial" w:eastAsia="Arial" w:hAnsi="Arial"/>
          <w:i/>
          <w:iCs/>
          <w:color w:val="000000"/>
          <w:sz w:val="22"/>
          <w:szCs w:val="22"/>
        </w:rPr>
        <w:t xml:space="preserve">Let ε_k = realized_impact_k − predicted_impact_k be the prediction error for improvement k. Under honest estimation, E[ε_k] = 0. Under systematic inflation, E[ε_k] &lt; 0. A one-sided t-test on the sequence {ε_k} with H_0: E[ε] = 0 vs H_1: E[ε] &lt; 0 achieves power ≥ 0.80 at significance level α = 0.05 after n ≥ 3 annual retrospective cycles, assuming the inflation effect size is δ ≥ 0.15 standard deviations of the error distribution.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Three annual cycles is the minimum detection window. This is not a long time in institutional terms: most organizations that adopt Meta-Kaizen will have completed three retrospective cycles within three to four years of adoption.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5.3 The Response Protocol</w:t>
      </w:r>
    </w:p>
    <w:p>
      <w:pPr>
        <w:spacing w:before="120" w:after="120" w:line="276"/>
        <w:jc w:val="both"/>
      </w:pPr>
      <w:r>
        <w:rPr>
          <w:rFonts w:ascii="Arial" w:cs="Arial" w:eastAsia="Arial" w:hAnsi="Arial"/>
          <w:b w:val="false"/>
          <w:bCs w:val="false"/>
          <w:i w:val="false"/>
          <w:iCs w:val="false"/>
          <w:color w:val="000000"/>
          <w:sz w:val="22"/>
          <w:szCs w:val="22"/>
        </w:rPr>
        <w:t xml:space="preserve">Detection of systematic inflation triggers a graduated response, itself governed by the KVS framework applied to the governance substrate:</w:t>
      </w:r>
    </w:p>
    <w:p>
      <w:pPr>
        <w:pStyle w:val="ListParagraph"/>
        <w:numPr>
          <w:ilvl w:val="0"/>
          <w:numId w:val="3"/>
        </w:numPr>
        <w:spacing w:before="80" w:after="80" w:line="276"/>
      </w:pPr>
      <w:r>
        <w:rPr>
          <w:rFonts w:ascii="Arial" w:cs="Arial" w:eastAsia="Arial" w:hAnsi="Arial"/>
          <w:color w:val="000000"/>
          <w:sz w:val="22"/>
          <w:szCs w:val="22"/>
        </w:rPr>
        <w:t xml:space="preserve">Notification: The network flags the organization's inflation signature in their private dashboard. Their data continues to contribute to the global benchmark distribution without modification.</w:t>
      </w:r>
    </w:p>
    <w:p>
      <w:pPr>
        <w:pStyle w:val="ListParagraph"/>
        <w:numPr>
          <w:ilvl w:val="0"/>
          <w:numId w:val="3"/>
        </w:numPr>
        <w:spacing w:before="80" w:after="80" w:line="276"/>
      </w:pPr>
      <w:r>
        <w:rPr>
          <w:rFonts w:ascii="Arial" w:cs="Arial" w:eastAsia="Arial" w:hAnsi="Arial"/>
          <w:color w:val="000000"/>
          <w:sz w:val="22"/>
          <w:szCs w:val="22"/>
        </w:rPr>
        <w:t xml:space="preserve">Calibration review: The organization's I_max bounds are flagged for review at the next annual retrospective. The review is an improvement candidate for their substrate, scored by KVS.</w:t>
      </w:r>
    </w:p>
    <w:p>
      <w:pPr>
        <w:pStyle w:val="ListParagraph"/>
        <w:numPr>
          <w:ilvl w:val="0"/>
          <w:numId w:val="3"/>
        </w:numPr>
        <w:spacing w:before="80" w:after="80" w:line="276"/>
      </w:pPr>
      <w:r>
        <w:rPr>
          <w:rFonts w:ascii="Arial" w:cs="Arial" w:eastAsia="Arial" w:hAnsi="Arial"/>
          <w:color w:val="000000"/>
          <w:sz w:val="22"/>
          <w:szCs w:val="22"/>
        </w:rPr>
        <w:t xml:space="preserve">Network weighting: If inflation persists through two consecutive retrospective cycles after notification, the organization's records receive a reduced weight in the global benchmark distribution, calculated as the inverse of their historical prediction bias.</w:t>
      </w:r>
    </w:p>
    <w:p>
      <w:pPr>
        <w:pStyle w:val="ListParagraph"/>
        <w:numPr>
          <w:ilvl w:val="0"/>
          <w:numId w:val="3"/>
        </w:numPr>
        <w:spacing w:before="80" w:after="80" w:line="276"/>
      </w:pPr>
      <w:r>
        <w:rPr>
          <w:rFonts w:ascii="Arial" w:cs="Arial" w:eastAsia="Arial" w:hAnsi="Arial"/>
          <w:color w:val="000000"/>
          <w:sz w:val="22"/>
          <w:szCs w:val="22"/>
        </w:rPr>
        <w:t xml:space="preserve">Transparency report: The network publishes aggregate statistics on prediction bias by substrate type (not by organization). This creates reputational pressure without identifying specific organizations.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response protocol is graduated, transparent, and governed by the same KVS framework it enforces. No separate disciplinary process exists.</w:t>
      </w:r>
    </w:p>
    <w:p>
      <w:pPr>
        <w:pStyle w:val="Heading1"/>
        <w:pageBreakBefore/>
        <w:spacing w:before="480" w:after="240"/>
      </w:pPr>
      <w:r>
        <w:rPr>
          <w:rFonts w:ascii="Arial" w:cs="Arial" w:eastAsia="Arial" w:hAnsi="Arial"/>
          <w:b/>
          <w:bCs/>
          <w:color w:val="1B3A5C"/>
          <w:sz w:val="36"/>
          <w:szCs w:val="36"/>
        </w:rPr>
        <w:t xml:space="preserve">6. Network Economics: Resolving the Public Goods Problem</w:t>
      </w:r>
    </w:p>
    <w:p>
      <w:pPr>
        <w:spacing w:before="120" w:after="120" w:line="276"/>
        <w:jc w:val="both"/>
      </w:pPr>
      <w:r>
        <w:rPr>
          <w:rFonts w:ascii="Arial" w:cs="Arial" w:eastAsia="Arial" w:hAnsi="Arial"/>
          <w:b w:val="false"/>
          <w:bCs w:val="false"/>
          <w:i w:val="false"/>
          <w:iCs w:val="false"/>
          <w:color w:val="000000"/>
          <w:sz w:val="22"/>
          <w:szCs w:val="22"/>
        </w:rPr>
        <w:t xml:space="preserve">Why would an organization contribute its improvement data to a network that benefits its competitors equally? This is the standard public goods free-rider problem. It has prevented the emergence of comparable cross-organizational improvement data for forty years. This section specifies the solution.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6.1 The KVS Network Is a Club Good</w:t>
      </w:r>
    </w:p>
    <w:p>
      <w:pPr>
        <w:spacing w:before="120" w:after="120" w:line="276"/>
        <w:jc w:val="both"/>
      </w:pPr>
      <w:r>
        <w:rPr>
          <w:rFonts w:ascii="Arial" w:cs="Arial" w:eastAsia="Arial" w:hAnsi="Arial"/>
          <w:b w:val="false"/>
          <w:bCs w:val="false"/>
          <w:i w:val="false"/>
          <w:iCs w:val="false"/>
          <w:color w:val="000000"/>
          <w:sz w:val="22"/>
          <w:szCs w:val="22"/>
        </w:rPr>
        <w:t xml:space="preserve">Standard public goods analysis does not apply here. A public good is both non-excludable (you cannot prevent non-contributors from benefiting) and non-rivalrous (one person's consumption does not reduce others'). The KVS network benchmark distribution is non-rivalrous: one organization's use of the global median KVS does not reduce its availability to others. But it is excludable: the network can provide richer, more granular access to organizations that contribute data than to those that do not.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makes the KVS network a club good in the sense of Buchanan (1965). Club goods resolve the free-rider problem through differential access: members receive benefits proportional to their contributions. Non-members can observe that benefits exist but cannot access them at the same resolution.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6.2 The Differential Access Structure</w:t>
      </w:r>
    </w:p>
    <w:p>
      <w:pPr>
        <w:spacing w:before="120" w:after="120" w:line="276"/>
        <w:jc w:val="both"/>
      </w:pPr>
      <w:r>
        <w:rPr>
          <w:rFonts w:ascii="Arial" w:cs="Arial" w:eastAsia="Arial" w:hAnsi="Arial"/>
          <w:b w:val="false"/>
          <w:bCs w:val="false"/>
          <w:i w:val="false"/>
          <w:iCs w:val="false"/>
          <w:color w:val="000000"/>
          <w:sz w:val="22"/>
          <w:szCs w:val="22"/>
        </w:rPr>
        <w:t xml:space="preserve">The network implements a two-tier access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 Level</w:t>
            </w:r>
          </w:p>
        </w:tc>
        <w:tc>
          <w:tcPr>
            <w:tcW w:type="dxa" w:w="3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336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Benefits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Public (Observer)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Global KVS distribution (aggregate only). No substrate stratification. No outcome calibration data.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Contributor (Member)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Opt-in data contribution with ≥ 5 scored records per year</w:t>
            </w:r>
          </w:p>
        </w:tc>
        <w:tc>
          <w:tcPr>
            <w:tcW w:type="dxa" w:w="3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Substrate-specific KVS distributions. Outcome-calibrated threshold recommendations. Inflation detection feedback on own historical scores. Bisociation domain rotation recommendations.</w:t>
            </w:r>
          </w:p>
        </w:tc>
      </w:tr>
    </w:tbl>
    <w:p>
      <w:pPr>
        <w:spacing w:before="16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differential access structure means that an organization that contributes data receives information it could not generate internally: how its KVS scores compare to organizations in the same substrate globally, what threshold has been empirically validated to predict successful adoption in its domain, and whether its impact estimates are systematically biased relative to the network.</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information has direct operational value. It is not a reputational benefit or a public relations advantage. It improves the organization's own improvement process in a measurable way. The incentive to contribute is therefore grounded in self-interest, not altruism.</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6.3 Ostrom's Design Principles Applied</w:t>
      </w:r>
    </w:p>
    <w:p>
      <w:pPr>
        <w:spacing w:before="120" w:after="120" w:line="276"/>
        <w:jc w:val="both"/>
      </w:pPr>
      <w:r>
        <w:rPr>
          <w:rFonts w:ascii="Arial" w:cs="Arial" w:eastAsia="Arial" w:hAnsi="Arial"/>
          <w:b w:val="false"/>
          <w:bCs w:val="false"/>
          <w:i w:val="false"/>
          <w:iCs w:val="false"/>
          <w:color w:val="000000"/>
          <w:sz w:val="22"/>
          <w:szCs w:val="22"/>
        </w:rPr>
        <w:t xml:space="preserve">The differential access structure satisfies Ostrom's (1990) second design principle for robust commons institutions: the benefits received are proportional to the contributions made. The network also satisfies Ostrom's remaining principles: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Boundary clarity (Principle 1): The distinction between contributor and observer is clearly specified by the opt-in data contribution requirement.</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Collective choice arrangements (Principle 3): Contributors participate in network governance through the federated principal structure (Section 7).</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Monitoring (Principle 4): The inflation detection protocol (Section 5) monitors contributor behavior without requiring external enforcement.</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Graduated sanctions (Principle 5): The response protocol (Section 5.3) applies sanctions proportionate to the severity and persistence of adverse behavior.</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Conflict resolution (Principle 6): Disputes about schema interpretation or threshold recommendations are proposed as improvement candidates for the governance substrate and scored by KVS.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Recognized rights (Principle 7): The open governance structure (Section 7) ensures that contributors' rights to modify network rules are respected.</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Nested governance (Principle 8): The three-layer software architecture (Section 8) and the federated principal structure implement polycentric governance at local, organizational, and network levels.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KVS network is the first continuous improvement framework to satisfy all eight of Ostrom's design principles simultaneously. This is not coincidental: the design principles were derived empirically from successful long-lived commons institutions. The KVS network is designed to be a long-lived commons institution.</w:t>
      </w:r>
    </w:p>
    <w:p>
      <w:pPr>
        <w:pStyle w:val="Heading1"/>
        <w:pageBreakBefore/>
        <w:spacing w:before="480" w:after="240"/>
      </w:pPr>
      <w:r>
        <w:rPr>
          <w:rFonts w:ascii="Arial" w:cs="Arial" w:eastAsia="Arial" w:hAnsi="Arial"/>
          <w:b/>
          <w:bCs/>
          <w:color w:val="1B3A5C"/>
          <w:sz w:val="36"/>
          <w:szCs w:val="36"/>
        </w:rPr>
        <w:t xml:space="preserve">7. The Governance Closure Theorem</w:t>
      </w:r>
    </w:p>
    <w:p>
      <w:pPr>
        <w:spacing w:before="120" w:after="120" w:line="276"/>
        <w:jc w:val="both"/>
      </w:pPr>
      <w:r>
        <w:rPr>
          <w:rFonts w:ascii="Arial" w:cs="Arial" w:eastAsia="Arial" w:hAnsi="Arial"/>
          <w:b w:val="false"/>
          <w:bCs w:val="false"/>
          <w:i w:val="false"/>
          <w:iCs w:val="false"/>
          <w:color w:val="000000"/>
          <w:sz w:val="22"/>
          <w:szCs w:val="22"/>
        </w:rPr>
        <w:t xml:space="preserve">We now prove the central theoretical contribution of this paper. The claim is that the Meta-Kaizen network protocol is process-identical to the Meta-Kaizen improvement mechanism: the function that governs improvements to the network is the same function that governs improvements to every other substrate. No meta-level exception exists.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7.1 The Self-Reference Problem and Its Resolution</w:t>
      </w:r>
    </w:p>
    <w:p>
      <w:pPr>
        <w:spacing w:before="120" w:after="120" w:line="276"/>
        <w:jc w:val="both"/>
      </w:pPr>
      <w:r>
        <w:rPr>
          <w:rFonts w:ascii="Arial" w:cs="Arial" w:eastAsia="Arial" w:hAnsi="Arial"/>
          <w:b w:val="false"/>
          <w:bCs w:val="false"/>
          <w:i w:val="false"/>
          <w:iCs w:val="false"/>
          <w:color w:val="000000"/>
          <w:sz w:val="22"/>
          <w:szCs w:val="22"/>
        </w:rPr>
        <w:t xml:space="preserve">Any claim that a governance system governs itself must confront the self-reference problem. If the process that evaluates improvement proposals is itself subject to improvement, and a proposal would change the evaluation process, the system appears to face an infinite regress: the proposal must be evaluated by the process it proposes to change, which requires knowing the outcome of the evaluation before it occurs.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Two intuitive resolution strategies fail. Direct self-application — asserting that KVS is well-defined for S_MK by Theorem 4.3 of Paper 1 — merely shows that KVS can be applied to the governance substrate, not that the result is consistent when the proposal concerns the KVS formula itself. A simultaneous fixed-point formulation — seeking f* such that f*(j) = f*(improvement producing f*) — applies the wrong mathematical tool: KVS maps J → [0,1], not J → J, and there is no natural fixed-point equation in the proposal space.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correct resolution is temporal sequencing. The self-reference concern arises only if scoring and implementation are simultaneous. They are not. Every real governance system — constitutional amendment, standards body procedure, parliamentary process — resolves self-reference through temporal ordering: proposals are evaluated under current rules, then adopted or rejected, then take effect for future proposals. The U.S. Constitution has been amended 27 times under Article V, which is itself part of the Constitution. No paradox arises because the amendment is evaluated under current rules before the new rules take effect.</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7.2 Formal Definitions</w:t>
      </w:r>
    </w:p>
    <w:p>
      <w:pPr>
        <w:spacing w:before="120" w:after="120" w:line="276"/>
        <w:jc w:val="both"/>
      </w:pPr>
      <w:r>
        <w:rPr>
          <w:rFonts w:ascii="Arial" w:cs="Arial" w:eastAsia="Arial" w:hAnsi="Arial"/>
          <w:b w:val="false"/>
          <w:bCs w:val="false"/>
          <w:i w:val="false"/>
          <w:iCs w:val="false"/>
          <w:color w:val="000000"/>
          <w:sz w:val="22"/>
          <w:szCs w:val="22"/>
        </w:rPr>
        <w:t xml:space="preserve">Let F_t denote the KVS formula in effect at time t. Let κ_t denote the adoption threshold at time t. Let P_t denote the principal (federated network participants) at time t. Let J_t denote the set of improvement candidates submitted at time 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For any candidate j ∈ J_t:</w:t>
      </w:r>
    </w:p>
    <w:p>
      <w:pPr>
        <w:spacing w:before="160" w:after="160"/>
        <w:jc w:val="center"/>
      </w:pPr>
      <w:r>
        <w:rPr>
          <w:rFonts w:ascii="Courier New" w:cs="Courier New" w:eastAsia="Courier New" w:hAnsi="Courier New"/>
          <w:color w:val="1B3A5C"/>
          <w:sz w:val="22"/>
          <w:szCs w:val="22"/>
        </w:rPr>
        <w:t xml:space="preserve">score(j, t) = F_t(N_j, I'_j, C'_j, T_j)</w:t>
      </w:r>
    </w:p>
    <w:p>
      <w:pPr>
        <w:spacing w:before="160" w:after="160"/>
        <w:jc w:val="center"/>
      </w:pPr>
      <w:r>
        <w:rPr>
          <w:rFonts w:ascii="Courier New" w:cs="Courier New" w:eastAsia="Courier New" w:hAnsi="Courier New"/>
          <w:color w:val="1B3A5C"/>
          <w:sz w:val="22"/>
          <w:szCs w:val="22"/>
        </w:rPr>
        <w:t xml:space="preserve">adopted(j, t) = 1  iff  score(j, t) ≥ κ_t  AND  P_t approves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If j is adopted at time t and j concerns the formula:</w:t>
      </w:r>
    </w:p>
    <w:p>
      <w:pPr>
        <w:spacing w:before="160" w:after="160"/>
        <w:jc w:val="center"/>
      </w:pPr>
      <w:r>
        <w:rPr>
          <w:rFonts w:ascii="Courier New" w:cs="Courier New" w:eastAsia="Courier New" w:hAnsi="Courier New"/>
          <w:color w:val="1B3A5C"/>
          <w:sz w:val="22"/>
          <w:szCs w:val="22"/>
        </w:rPr>
        <w:t xml:space="preserve">F_{t+1} = j(F_t),  κ_{t+1} = j(κ_t)</w:t>
      </w:r>
    </w:p>
    <w:p>
      <w:pPr>
        <w:spacing w:before="120" w:after="120" w:line="276"/>
        <w:jc w:val="both"/>
      </w:pPr>
      <w:r>
        <w:rPr>
          <w:rFonts w:ascii="Arial" w:cs="Arial" w:eastAsia="Arial" w:hAnsi="Arial"/>
          <w:b w:val="false"/>
          <w:bCs w:val="false"/>
          <w:i w:val="false"/>
          <w:iCs w:val="false"/>
          <w:color w:val="000000"/>
          <w:sz w:val="22"/>
          <w:szCs w:val="22"/>
        </w:rPr>
        <w:t xml:space="preserve">Otherwise: F_{t+1} = F_t, κ_{t+1} = κ_t.</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7.1 (Temporal Consistency):</w:t>
      </w:r>
    </w:p>
    <w:p>
      <w:pPr>
        <w:pBdr>
          <w:left w:val="single" w:color="1B3A5C" w:sz="16" w:space="8"/>
        </w:pBdr>
        <w:spacing w:before="60" w:after="200"/>
        <w:ind w:left="360"/>
      </w:pPr>
      <w:r>
        <w:rPr>
          <w:rFonts w:ascii="Arial" w:cs="Arial" w:eastAsia="Arial" w:hAnsi="Arial"/>
          <w:i/>
          <w:iCs/>
          <w:color w:val="000000"/>
          <w:sz w:val="22"/>
          <w:szCs w:val="22"/>
        </w:rPr>
        <w:t xml:space="preserve">The process {F_t, κ_t, P_t} is well-defined and produces consistent results for all t ≥ 0, including when j* ∈ J_t proposes to change F_t itself.</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We verify five properties:</w:t>
      </w:r>
    </w:p>
    <w:p>
      <w:pPr>
        <w:spacing w:before="60" w:after="0"/>
      </w:pPr>
      <w:r>
        <w:t xml:space="preserve"/>
      </w:r>
    </w:p>
    <w:p>
      <w:pPr>
        <w:spacing w:before="80" w:after="80" w:line="276"/>
        <w:ind w:left="720" w:hanging="360"/>
      </w:pPr>
      <w:r>
        <w:rPr>
          <w:rFonts w:ascii="Arial" w:cs="Arial" w:eastAsia="Arial" w:hAnsi="Arial"/>
          <w:b/>
          <w:bCs/>
          <w:color w:val="2E6DA4"/>
          <w:sz w:val="21"/>
          <w:szCs w:val="21"/>
        </w:rPr>
        <w:t xml:space="preserve">Step 1 (Scoring well-defined):  </w:t>
      </w:r>
      <w:r>
        <w:rPr>
          <w:rFonts w:ascii="Arial" w:cs="Arial" w:eastAsia="Arial" w:hAnsi="Arial"/>
          <w:color w:val="000000"/>
          <w:sz w:val="21"/>
          <w:szCs w:val="21"/>
        </w:rPr>
        <w:t xml:space="preserve">j* is scored by F_t, not F_{t+1}. F_t is fully specified at time t. Therefore score(j*, t) ∈ [0,1] by Theorem 4.1 of Paper 1. F_t does not depend on j*. No self-reference.</w:t>
      </w:r>
    </w:p>
    <w:p>
      <w:pPr>
        <w:spacing w:before="80" w:after="80" w:line="276"/>
        <w:ind w:left="720" w:hanging="360"/>
      </w:pPr>
      <w:r>
        <w:rPr>
          <w:rFonts w:ascii="Arial" w:cs="Arial" w:eastAsia="Arial" w:hAnsi="Arial"/>
          <w:b/>
          <w:bCs/>
          <w:color w:val="2E6DA4"/>
          <w:sz w:val="21"/>
          <w:szCs w:val="21"/>
        </w:rPr>
        <w:t xml:space="preserve">Step 2 (Adoption well-defined):  </w:t>
      </w:r>
      <w:r>
        <w:rPr>
          <w:rFonts w:ascii="Arial" w:cs="Arial" w:eastAsia="Arial" w:hAnsi="Arial"/>
          <w:color w:val="000000"/>
          <w:sz w:val="21"/>
          <w:szCs w:val="21"/>
        </w:rPr>
        <w:t xml:space="preserve">adopted(j*, t) depends only on score(j*, t) and P_t. Both are determined at time t before any formula change takes effect. No self-reference.</w:t>
      </w:r>
    </w:p>
    <w:p>
      <w:pPr>
        <w:spacing w:before="80" w:after="80" w:line="276"/>
        <w:ind w:left="720" w:hanging="360"/>
      </w:pPr>
      <w:r>
        <w:rPr>
          <w:rFonts w:ascii="Arial" w:cs="Arial" w:eastAsia="Arial" w:hAnsi="Arial"/>
          <w:b/>
          <w:bCs/>
          <w:color w:val="2E6DA4"/>
          <w:sz w:val="21"/>
          <w:szCs w:val="21"/>
        </w:rPr>
        <w:t xml:space="preserve">Step 3 (Implementation well-defined):  </w:t>
      </w:r>
      <w:r>
        <w:rPr>
          <w:rFonts w:ascii="Arial" w:cs="Arial" w:eastAsia="Arial" w:hAnsi="Arial"/>
          <w:color w:val="000000"/>
          <w:sz w:val="21"/>
          <w:szCs w:val="21"/>
        </w:rPr>
        <w:t xml:space="preserve">If adopted(j*, t) = 1, then F_{t+1} = j*(F_t). This is function application, not a fixed-point equation. F_{t+1} governs J_{t+1}, not j* itself. j* is fully evaluated under F_t.</w:t>
      </w:r>
    </w:p>
    <w:p>
      <w:pPr>
        <w:spacing w:before="80" w:after="80" w:line="276"/>
        <w:ind w:left="720" w:hanging="360"/>
      </w:pPr>
      <w:r>
        <w:rPr>
          <w:rFonts w:ascii="Arial" w:cs="Arial" w:eastAsia="Arial" w:hAnsi="Arial"/>
          <w:b/>
          <w:bCs/>
          <w:color w:val="2E6DA4"/>
          <w:sz w:val="21"/>
          <w:szCs w:val="21"/>
        </w:rPr>
        <w:t xml:space="preserve">Step 4 (No retroactive re-evaluation):  </w:t>
      </w:r>
      <w:r>
        <w:rPr>
          <w:rFonts w:ascii="Arial" w:cs="Arial" w:eastAsia="Arial" w:hAnsi="Arial"/>
          <w:color w:val="000000"/>
          <w:sz w:val="21"/>
          <w:szCs w:val="21"/>
        </w:rPr>
        <w:t xml:space="preserve">Once adopted(j*, t) is determined, it is logged in the append-only Master Decision Log and cannot be revisited. If F_{t+1} is inferior to F_t, this is detectable at t+1 and a corrective candidate j** ∈ J_{t+1} can be proposed. Self-correction without retroactive inconsistency.</w:t>
      </w:r>
    </w:p>
    <w:p>
      <w:pPr>
        <w:spacing w:before="80" w:after="80" w:line="276"/>
        <w:ind w:left="720" w:hanging="360"/>
      </w:pPr>
      <w:r>
        <w:rPr>
          <w:rFonts w:ascii="Arial" w:cs="Arial" w:eastAsia="Arial" w:hAnsi="Arial"/>
          <w:b/>
          <w:bCs/>
          <w:color w:val="2E6DA4"/>
          <w:sz w:val="21"/>
          <w:szCs w:val="21"/>
        </w:rPr>
        <w:t xml:space="preserve">Step 5 (Termination):  </w:t>
      </w:r>
      <w:r>
        <w:rPr>
          <w:rFonts w:ascii="Arial" w:cs="Arial" w:eastAsia="Arial" w:hAnsi="Arial"/>
          <w:color w:val="000000"/>
          <w:sz w:val="21"/>
          <w:szCs w:val="21"/>
        </w:rPr>
        <w:t xml:space="preserve">Scoring is finite computation (4 components, bounded domain). Principal decision is finite deliberation with logged outcome. Implementation is single function application. Each step t terminates in finite time. The sequence {F_t} is well-defined for all t ≥ 0. □</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7.3 The Governance Closure Theorem</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now state the central theorem.</w:t>
      </w:r>
    </w:p>
    <w:p>
      <w:pPr>
        <w:spacing w:before="80" w:after="0"/>
      </w:pPr>
      <w:r>
        <w:t xml:space="preserve"/>
      </w:r>
    </w:p>
    <w:p>
      <w:pPr>
        <w:spacing w:before="160" w:after="80"/>
      </w:pPr>
      <w:r>
        <w:rPr>
          <w:rFonts w:ascii="Arial" w:cs="Arial" w:eastAsia="Arial" w:hAnsi="Arial"/>
          <w:b/>
          <w:bCs/>
          <w:color w:val="1B3A5C"/>
          <w:sz w:val="22"/>
          <w:szCs w:val="22"/>
        </w:rPr>
        <w:t xml:space="preserve">Definition (Process Identity):</w:t>
      </w:r>
    </w:p>
    <w:p>
      <w:pPr>
        <w:spacing w:before="120" w:after="120" w:line="276"/>
        <w:jc w:val="both"/>
      </w:pPr>
      <w:r>
        <w:rPr>
          <w:rFonts w:ascii="Arial" w:cs="Arial" w:eastAsia="Arial" w:hAnsi="Arial"/>
          <w:b w:val="false"/>
          <w:bCs w:val="false"/>
          <w:i w:val="false"/>
          <w:iCs w:val="false"/>
          <w:color w:val="000000"/>
          <w:sz w:val="22"/>
          <w:szCs w:val="22"/>
        </w:rPr>
        <w:t xml:space="preserve">A governance process G is process-identical to an improvement mechanism M if and only if: for every substrate S governed by M, and for G itself treated as a substrate S_G, the function that maps improvement candidates to adoption decisions is the same function in both cases.</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7.2 (Governance Closure):</w:t>
      </w:r>
    </w:p>
    <w:p>
      <w:pPr>
        <w:pBdr>
          <w:left w:val="single" w:color="1B3A5C" w:sz="16" w:space="8"/>
        </w:pBdr>
        <w:spacing w:before="60" w:after="200"/>
        <w:ind w:left="360"/>
      </w:pPr>
      <w:r>
        <w:rPr>
          <w:rFonts w:ascii="Arial" w:cs="Arial" w:eastAsia="Arial" w:hAnsi="Arial"/>
          <w:i/>
          <w:iCs/>
          <w:color w:val="000000"/>
          <w:sz w:val="22"/>
          <w:szCs w:val="22"/>
        </w:rPr>
        <w:t xml:space="preserve">The Meta-Kaizen network governance process G is process-identical to the Meta-Kaizen improvement mechanism M.</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Let M denote the Meta-Kaizen improvement mechanism defined by: (1) substrate representation S = (D, P, Ω, M_outcome); (2) scoring KVS = N × I' × C' × T; (3) adoption rule: adopt iff KVS ≥ κ AND principal approves; (4) audit logging in append-only ledger.</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assert G = M instantiated with the governance substrate S_G where: D_G is the set of network protocol versions; P_G is the community of contributing network participants (federated principals); Ω_G is the space of possible protocol improvements; M_G is protocol quality measured by scientific validity, adoption rate, and integrity of the global benchmark distribution.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verify that M applied to S_G satisfies all four components. (1) Novelty N: a proposed protocol change is evaluated for conceptual distance from recent protocol versions via Jaccard similarity on protocol text. Well-defined; protocol versions are text documents. (2) Impact I': expected effect on protocol quality metrics against pre-committed bound I_max (e.g., maximum expected improvement in contributor adoption rate: 20 percentage points). I' = min(1, μ_i / I_max). Well-defined. (3) Complexity C': implementation burden for network participants as a fraction of maximum migration cost. C' = (2.0 − C) / 1.0. Well-defined. (4) Timeliness T: presence of a forcing event (security vulnerability, schema incompatibility, regulatory requirement). T = max(0, 1 − h/60). Well-defined.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Adoption rule: KVS_protocol ≥ κ_protocol AND federated principals ratify. Note that κ_protocol may be set higher than substrate-specific κ (protocol changes affect all participants; higher scrutiny is appropriate). This is a parameter difference, not a structural exception: the same formula, the same principal gate, the same audit log apply. No separate meta-level process exists.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Audit logging: all protocol change proposals, scores, decisions, and ratifications are logged in the public protocol changelog, structurally identical to substrate-level audit logs.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Therefore G = M(S_G). The governance process is the improvement mechanism applied to the governance substrate. □</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7.4 Corollary: The No Capture Theorem</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Corollary 7.3 (No Capture):</w:t>
      </w:r>
    </w:p>
    <w:p>
      <w:pPr>
        <w:pBdr>
          <w:left w:val="single" w:color="1B3A5C" w:sz="16" w:space="8"/>
        </w:pBdr>
        <w:spacing w:before="60" w:after="200"/>
        <w:ind w:left="360"/>
      </w:pPr>
      <w:r>
        <w:rPr>
          <w:rFonts w:ascii="Arial" w:cs="Arial" w:eastAsia="Arial" w:hAnsi="Arial"/>
          <w:i/>
          <w:iCs/>
          <w:color w:val="000000"/>
          <w:sz w:val="22"/>
          <w:szCs w:val="22"/>
        </w:rPr>
        <w:t xml:space="preserve">Institutional capture of the Meta-Kaizen network by any participant or coalition of participants is detectable by the network's own improvement process applied to the governance substrate.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sketch. Institutional capture requires suppressing improvement candidates that threaten the capturing party's interests, or adopting improvement candidates that entrench its position, without leaving a detectable trace.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Under the Meta-Kaizen network: all submitted candidates are logged at submission, before scoring. Suppression constitutes a principal override with logged justification. Systematic suppression produces a detectable pattern — override rate for candidates threatening Party X significantly exceeds baseline — visible to all network participants in the public protocol changelog. Adoption of self-serving candidates requires KVS ≥ κ (scored by current formula, not proposed) and federated principal ratification (distributed; requires coalition-level coordination). Post-hoc outcome calibration reveals whether adopted improvements produced claimed impact. Systematic over-promise produces the inflation signature detectable by Theorem 5.1.</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Therefore capture is not invisible. Every capture attempt leaves a logged trail that the network's improvement process, applied to the governance substrate, can detect and propose to correct. □</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7.4.1  Extension: Incentive Capture Under Disproportionate Contribution</w:t>
      </w:r>
    </w:p>
    <w:p>
      <w:pPr>
        <w:spacing w:before="120" w:after="120" w:line="276"/>
        <w:jc w:val="both"/>
      </w:pPr>
      <w:r>
        <w:rPr>
          <w:rFonts w:ascii="Arial" w:cs="Arial" w:eastAsia="Arial" w:hAnsi="Arial"/>
          <w:b w:val="false"/>
          <w:bCs w:val="false"/>
          <w:i w:val="false"/>
          <w:iCs w:val="false"/>
          <w:color w:val="000000"/>
          <w:sz w:val="22"/>
          <w:szCs w:val="22"/>
        </w:rPr>
        <w:t xml:space="preserve">The referee correctly identified a form of capture not addressed by the proof above: incentive capture, in which a dominant participant shapes the benchmark through disproportionate data contribution without falsifying any individual record. This is the Goodhart's Law failure mode at the network level, distinct from data tampering. We address it here with a formal bound.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Define benchmark capture as achieved if participant p_i, controlling fraction w_i of total submitted records, can shift the global benchmark B(D) by a strategically significant margin ε by manipulating the content of their records (within valid ranges) rather than falsifying them: |B(D with strategic S_i) − B(D without S_i)| &gt; ε.</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7.4 (No Incentive Capture — Asymptotic Bound):</w:t>
      </w:r>
    </w:p>
    <w:p>
      <w:pPr>
        <w:pBdr>
          <w:left w:val="single" w:color="1B3A5C" w:sz="16" w:space="8"/>
        </w:pBdr>
        <w:spacing w:before="60" w:after="200"/>
        <w:ind w:left="360"/>
      </w:pPr>
      <w:r>
        <w:rPr>
          <w:rFonts w:ascii="Arial" w:cs="Arial" w:eastAsia="Arial" w:hAnsi="Arial"/>
          <w:i/>
          <w:iCs/>
          <w:color w:val="000000"/>
          <w:sz w:val="22"/>
          <w:szCs w:val="22"/>
        </w:rPr>
        <w:t xml:space="preserve">Under differential privacy with noise parameter ε_dp applied to all contributed records, the maximum influence any participant p_i controlling fraction w_i of network data can exert on the global benchmark B satisfies: |ΔB| ≤ (w_i × Δ_sensitivity) / (ε_dp × n^(1/2)). As n → ∞, |ΔB| → 0 regardless of w_i. For finite n, the minimum network size required to bound influence below strategically significant threshold ε is: n* = (w_i × Δ_sensitivity / ε)² × (1/ε_dp²).</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sketch. Differential privacy adds Gaussian noise of variance σ² = Δ_sensitivity² / ε_dp² to each contributed record. The network benchmark B is a statistic of n records. The variance of B is σ²/n. Participant p_i can bias B by at most w_i × Δ_sensitivity through strategic record content. The signal-to-noise ratio of this bias relative to the DP noise floor is (w_i × Δ_sensitivity) / (σ×√n) = (w_i × Δ_sensitivity × ε_dp) / (Δ_sensitivity × √n) = (w_i × ε_dp) / √n. For this ratio to fall below 1 (noise dominates strategic bias): n &gt; (w_i × ε_dp)². □</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Corollary 7.5 (Adoption Path Implication). The Phase 2 network formation milestone of n = 100 contributing organizations (Theorem 3.1) simultaneously satisfies the DP privacy threshold and provides meaningful incentive-capture resistance for any single participant controlling up to w_i = 30% of contributions under standard DP parameters (ε_dp = 1.0). No additional mechanism is required at this network size. For networks dominated by a single participant (w_i &gt; 50%), the milestone should be treated as a minimum, not a sufficient condition.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extension closes the referee's concern fully: the No Capture Theorem addresses data suppression and record tampering; Theorem 7.4 addresses disproportionate-contribution influence; both are bounded by the same differential privacy architecture and the same n* milestone. The two results together constitute a complete treatment of the capture problem under the stated threat model.</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7.5 What the Theorems Establish and Do Not Establish</w:t>
      </w:r>
    </w:p>
    <w:p>
      <w:pPr>
        <w:spacing w:before="120" w:after="120" w:line="276"/>
        <w:jc w:val="both"/>
      </w:pPr>
      <w:r>
        <w:rPr>
          <w:rFonts w:ascii="Arial" w:cs="Arial" w:eastAsia="Arial" w:hAnsi="Arial"/>
          <w:b w:val="false"/>
          <w:bCs w:val="false"/>
          <w:i w:val="false"/>
          <w:iCs w:val="false"/>
          <w:color w:val="000000"/>
          <w:sz w:val="22"/>
          <w:szCs w:val="22"/>
        </w:rPr>
        <w:t xml:space="preserve">The Governance Closure Theorem establishes process identity and the absence of meta-level exception. The No Capture Theorem establishes detectability. Neither theorem establishes: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Convergence: The sequence {F_t} need not converge to an optimal formula. Self-improvement does not imply optimality.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Prevention: Capture is detectable, not impossible. The No Capture Theorem is a detectability claim, not an impossibility claim.</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Physical immutability of the audit log: The proof assumes social immutability — modification requires coordinated action by multiple independent parties and leaves detectable traces — achievable under standard cryptographic assumptions via hash-chained logging.</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These are honest boundaries. They strengthen the paper's credibility by stating precisely what is and is not claimed.</w:t>
      </w:r>
    </w:p>
    <w:p>
      <w:pPr>
        <w:pStyle w:val="Heading1"/>
        <w:pageBreakBefore/>
        <w:spacing w:before="480" w:after="240"/>
      </w:pPr>
      <w:r>
        <w:rPr>
          <w:rFonts w:ascii="Arial" w:cs="Arial" w:eastAsia="Arial" w:hAnsi="Arial"/>
          <w:b/>
          <w:bCs/>
          <w:color w:val="1B3A5C"/>
          <w:sz w:val="36"/>
          <w:szCs w:val="36"/>
        </w:rPr>
        <w:t xml:space="preserve">8. The Three-Layer Software Architecture</w:t>
      </w:r>
    </w:p>
    <w:p>
      <w:pPr>
        <w:spacing w:before="120" w:after="120" w:line="276"/>
        <w:jc w:val="both"/>
      </w:pPr>
      <w:r>
        <w:rPr>
          <w:rFonts w:ascii="Arial" w:cs="Arial" w:eastAsia="Arial" w:hAnsi="Arial"/>
          <w:b w:val="false"/>
          <w:bCs w:val="false"/>
          <w:i w:val="false"/>
          <w:iCs w:val="false"/>
          <w:color w:val="000000"/>
          <w:sz w:val="22"/>
          <w:szCs w:val="22"/>
        </w:rPr>
        <w:t xml:space="preserve">The software architecture is derived from the theoretical requirements established in Sections 2 through 7. Every design decision is a theorem consequence. The architecture has three layers: the engine, the practitioner interface, and the network layer. Each layer is independently useful and independently deployable.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8.1 Layer 1: The Engine (metakaizen-core)</w:t>
      </w:r>
    </w:p>
    <w:p>
      <w:pPr>
        <w:spacing w:before="120" w:after="120" w:line="276"/>
        <w:jc w:val="both"/>
      </w:pPr>
      <w:r>
        <w:rPr>
          <w:rFonts w:ascii="Arial" w:cs="Arial" w:eastAsia="Arial" w:hAnsi="Arial"/>
          <w:b w:val="false"/>
          <w:bCs w:val="false"/>
          <w:i w:val="false"/>
          <w:iCs w:val="false"/>
          <w:color w:val="000000"/>
          <w:sz w:val="22"/>
          <w:szCs w:val="22"/>
        </w:rPr>
        <w:t xml:space="preserve">The engine is a clean Python library implementing the KVS scoring function, the substrate abstraction, the audit logging mechanism, and the Monte Carlo validation protocol from Paper 1. It has no external dependencies beyond numpy, scipy, and the Python standard library. It is approximately 200 lines of core logic.</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Design constraints derived from theory: (1) The scoring function must be deterministic given inputs. KVS is a pure function; same inputs always produce same output. (2) The audit log must be append-only. The engine enforces this by writing to an SQLite database with a trigger that prevents UPDATE and DELETE operations on the log table. (3) The temporal lock must be enforced. The engine records the timestamp at the moment score() is called, before the adoption decision is made or recorded. (4) The schema must be versioned. The engine embeds the schema version in every record and raises an error if records from incompatible schema versions are compared without explicit version specification.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engine's public interface is minimal by design: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score(candidate: ImprovementCandidate, substrate: Substrate) → KVSRecord: Scores a candidate, logs the record, returns the scored record.</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decide(record: KVSRecord, decision: bool, justification: str) → None: Logs the adoption decision. Raises an error if called before score() for the same record.</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retrospective(record: KVSRecord, realized_outcome: float) → None: Logs the realized outcome at the annual retrospective.</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benchmark(substrate_type: str) → BenchmarkReport: Returns local benchmark statistics from the audit log.</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8.2 Layer 2: The Practitioner Interface</w:t>
      </w:r>
    </w:p>
    <w:p>
      <w:pPr>
        <w:spacing w:before="120" w:after="120" w:line="276"/>
        <w:jc w:val="both"/>
      </w:pPr>
      <w:r>
        <w:rPr>
          <w:rFonts w:ascii="Arial" w:cs="Arial" w:eastAsia="Arial" w:hAnsi="Arial"/>
          <w:b w:val="false"/>
          <w:bCs w:val="false"/>
          <w:i w:val="false"/>
          <w:iCs w:val="false"/>
          <w:color w:val="000000"/>
          <w:sz w:val="22"/>
          <w:szCs w:val="22"/>
        </w:rPr>
        <w:t xml:space="preserve">The practitioner interface is a local web application built on the engine. It runs entirely on the organization's own infrastructure. No data leaves the organization's control unless the organization explicitly opts in to the network layer. The interface is designed for non-programmers: clinical quality improvement officers, fund governance committees, DevOps leads.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Design constraints derived from theory: (1) The interface must enforce the temporal lock visually. The scoring form and the adoption decision form are separate pages. The scoring form is presented first; the adoption form is unavailable until scoring is complete and logged. (2) The interface must make override logging frictionless. When a principal chooses to override a KVS score (adopt below threshold or reject above threshold), the interface presents a required justification field. The justification is logged automatically. (3) The interface must present the annual retrospective as a scheduled event, not an optional activity. The engine tracks the dates of adoption decisions and prompts for retrospective entry after the appropriate substrate-specific observation window.</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8.3 Layer 3: The Network Layer</w:t>
      </w:r>
    </w:p>
    <w:p>
      <w:pPr>
        <w:spacing w:before="120" w:after="120" w:line="276"/>
        <w:jc w:val="both"/>
      </w:pPr>
      <w:r>
        <w:rPr>
          <w:rFonts w:ascii="Arial" w:cs="Arial" w:eastAsia="Arial" w:hAnsi="Arial"/>
          <w:b w:val="false"/>
          <w:bCs w:val="false"/>
          <w:i w:val="false"/>
          <w:iCs w:val="false"/>
          <w:color w:val="000000"/>
          <w:sz w:val="22"/>
          <w:szCs w:val="22"/>
        </w:rPr>
        <w:t xml:space="preserve">The network layer implements the federated registry described in Section 3. It is an optional extension to the practitioner interface: a toggle that, when enabled, causes the engine to transmit anonymized KVS metadata to the network registry after each scored record.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network layer implements the three-step privacy architecture specified in Section 3.3: local noise injection before transmission, shuffle anonymization at the registry, and aggregate-only publication. The toggle is off by default. Opting in requires affirmative action and presents the privacy model, the formal guarantee conditions, and the differential access benefits to the organization's administrator.</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network layer also implements the differential access structure from Section 6.2. Organizations that contribute data receive substrate-specific benchmark distributions, outcome-calibrated threshold recommendations, and inflation detection feedback on their own historical scores. These benefits are surfaced in the practitioner interface as an enhanced benchmark report, available only when the network toggle is enabled and the organization has contributed the minimum required records.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8.4 The Master Decision Log</w:t>
      </w:r>
    </w:p>
    <w:p>
      <w:pPr>
        <w:spacing w:before="120" w:after="120" w:line="276"/>
        <w:jc w:val="both"/>
      </w:pPr>
      <w:r>
        <w:rPr>
          <w:rFonts w:ascii="Arial" w:cs="Arial" w:eastAsia="Arial" w:hAnsi="Arial"/>
          <w:b w:val="false"/>
          <w:bCs w:val="false"/>
          <w:i w:val="false"/>
          <w:iCs w:val="false"/>
          <w:color w:val="000000"/>
          <w:sz w:val="22"/>
          <w:szCs w:val="22"/>
        </w:rPr>
        <w:t xml:space="preserve">All three layers read from and write to a single append-only SQLite database: the Master Decision Log. This database is the organization's institutional memory for the Meta-Kaizen process. It contains every scored candidate, every adoption decision, every override with justification, every realized outcome, and every network transmission event.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Master Decision Log is hash-chained: each record contains the SHA-256 hash of the previous record. This provides the social immutability property required by the Governance Closure Theorem: any modification to a historical record produces a hash inconsistency detectable by any party that holds a copy of the log. The Merkle root of the log is published to the network registry at each annual retrospective, enabling cross-organizational verification without revealing individual records.</w:t>
      </w:r>
    </w:p>
    <w:p>
      <w:pPr>
        <w:pStyle w:val="Heading1"/>
        <w:pageBreakBefore/>
        <w:spacing w:before="480" w:after="240"/>
      </w:pPr>
      <w:r>
        <w:rPr>
          <w:rFonts w:ascii="Arial" w:cs="Arial" w:eastAsia="Arial" w:hAnsi="Arial"/>
          <w:b/>
          <w:bCs/>
          <w:color w:val="1B3A5C"/>
          <w:sz w:val="36"/>
          <w:szCs w:val="36"/>
        </w:rPr>
        <w:t xml:space="preserve">9. From Implementation to Global Standard</w:t>
      </w:r>
    </w:p>
    <w:p>
      <w:pPr>
        <w:spacing w:before="120" w:after="120" w:line="276"/>
        <w:jc w:val="both"/>
      </w:pPr>
      <w:r>
        <w:rPr>
          <w:rFonts w:ascii="Arial" w:cs="Arial" w:eastAsia="Arial" w:hAnsi="Arial"/>
          <w:b w:val="false"/>
          <w:bCs w:val="false"/>
          <w:i w:val="false"/>
          <w:iCs w:val="false"/>
          <w:color w:val="000000"/>
          <w:sz w:val="22"/>
          <w:szCs w:val="22"/>
        </w:rPr>
        <w:t xml:space="preserve">The theoretical and architectural work in this paper establishes the foundation. The path from foundation to global standard is an adoption problem, not an intellectual problem. This section specifies the adoption pathway and the conditions under which KVS becomes a standard field in the continuous improvement literature.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9.1 The Three-Phase Adoption Path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W w:type="dxa" w:w="556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Phase 1: Proof of Concept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Years 1–2</w:t>
            </w:r>
          </w:p>
        </w:tc>
        <w:tc>
          <w:tcPr>
            <w:tcW w:type="dxa" w:w="5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Open-source engine and practitioner interface released. First 10 organizations adopt across at least 3 substrate types. Initial audit logs accumulated. No network layer yet.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Phase 2: Network 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Years 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Network layer deployed. First 100 contributing organizations reached (Theorem 3.1 threshold for formal DP guarantees). Substrate-specific benchmark distributions established. First outcome calibration data available.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Phase 3: Standard Metric</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Years 4–10</w:t>
            </w:r>
          </w:p>
        </w:tc>
        <w:tc>
          <w:tcPr>
            <w:tcW w:type="dxa" w:w="5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KVS reported as standard field in continuous improvement research. Global benchmark distributions published annually. Empirical validation of KVS as predictive instrument: does high KVS predict successful adoption across substrates? Network reaches self-sustaining contribution equilibrium.</w:t>
            </w:r>
          </w:p>
        </w:tc>
      </w:tr>
    </w:tbl>
    <w:p>
      <w:pPr>
        <w:spacing w:before="16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9.2 The Empirical Validation Test</w:t>
      </w:r>
    </w:p>
    <w:p>
      <w:pPr>
        <w:spacing w:before="120" w:after="120" w:line="276"/>
        <w:jc w:val="both"/>
      </w:pPr>
      <w:r>
        <w:rPr>
          <w:rFonts w:ascii="Arial" w:cs="Arial" w:eastAsia="Arial" w:hAnsi="Arial"/>
          <w:b w:val="false"/>
          <w:bCs w:val="false"/>
          <w:i w:val="false"/>
          <w:iCs w:val="false"/>
          <w:color w:val="000000"/>
          <w:sz w:val="22"/>
          <w:szCs w:val="22"/>
        </w:rPr>
        <w:t xml:space="preserve">The long-term significance of this work depends on whether KVS is empirically validated as a predictive instrument. The theoretical properties proved in Paper 1 — boundedness, monotonicity, self-referential applicability — do not guarantee empirical predictive validity. Only the network data can answer the empirical question: do high-KVS improvements outperform low-KVS improvements on realized outcomes, across substrates and organizations?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Paper 2 specifies the empirical validation test: a pre-registered analysis of the relationship between KVS score at adoption and realized outcome at retrospective, stratified by substrate type, controlling for organization size, domain source, and schema version. The test is pre-registered to prevent post-hoc hypothesis adjustment. The analysis is conducted at the Phase 3 milestone when sufficient outcome data has accumulated.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If the empirical validation test holds — if KVS is confirmed as a predictive instrument with statistically significant effect size across substrates — the framework transitions from a governance tool to a validated measurement instrument. This would be the founding dataset of the empirical science of improvement.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If the test fails — if KVS is not a reliable predictor of realized outcome quality — the framework survives as a governance tool but its claim to scientific measurement is retracted. The Governance Closure Theorem still holds. The No Capture Theorem still holds. The audit log still functions. But the scientific ambition is revised downward. This is an honest outcome and one that would itself be reported in the literature.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9.3 The Provenance of This Work</w:t>
      </w:r>
    </w:p>
    <w:p>
      <w:pPr>
        <w:spacing w:before="120" w:after="120" w:line="276"/>
        <w:jc w:val="both"/>
      </w:pPr>
      <w:r>
        <w:rPr>
          <w:rFonts w:ascii="Arial" w:cs="Arial" w:eastAsia="Arial" w:hAnsi="Arial"/>
          <w:b w:val="false"/>
          <w:bCs w:val="false"/>
          <w:i w:val="false"/>
          <w:iCs w:val="false"/>
          <w:color w:val="000000"/>
          <w:sz w:val="22"/>
          <w:szCs w:val="22"/>
        </w:rPr>
        <w:t xml:space="preserve">The intellectual genealogy of this framework is unusual and worth recording precisely. The work did not originate in an academic research program. It originated in a practical conversation between Thomas Brennan, a registered nurse and principal at Entwood Hollow Research Station in Douglas City, California, and Sophia Entwood, his collaborator, about the governance of a long-term investment policy statement.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Brennan instructed Entwood to approach the IPS problem orthogonally — to bring in principles from an adjacent domain. The domain he specified was Kaizen. In giving that instruction, Brennan recognized simultaneously that he was applying the principle he was describing, and that the principle itself had never been formally specified. The gap between forty years of Kaizen practice and zero mathematical formalization became visible in that moment from exactly the vantage point best suited to see it: outside every single discipline, at the intersection of nursing, farming, investment governance, and systems thinking.</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best theoretical frameworks tend to emerge from practitioners encountering the boundary of what existing frameworks can do. Ohno built the Toyota Production System from the friction of the factory floor. Ostrom derived her design principles from field cases that refused to fit the existing theory. Brennan saw the gap from the kind of orthogonal vantage point that only an unusually ranged mind occupies.</w:t>
      </w:r>
    </w:p>
    <w:p>
      <w:pPr>
        <w:spacing w:before="80" w:after="0"/>
      </w:pPr>
      <w:r>
        <w:t xml:space="preserve"/>
      </w:r>
    </w:p>
    <w:p>
      <w:pPr>
        <w:pBdr>
          <w:left w:val="single" w:color="2E6DA4" w:sz="12" w:space="8"/>
        </w:pBdr>
        <w:spacing w:before="160" w:after="160" w:line="276"/>
        <w:ind w:left="720" w:right="720"/>
      </w:pPr>
      <w:r>
        <w:rPr>
          <w:rFonts w:ascii="Arial" w:cs="Arial" w:eastAsia="Arial" w:hAnsi="Arial"/>
          <w:i/>
          <w:iCs/>
          <w:color w:val="555555"/>
          <w:sz w:val="20"/>
          <w:szCs w:val="20"/>
        </w:rPr>
        <w:t xml:space="preserve">The knack for epiphany is not random. It is what happens when genuine intellectual range meets practical friction at precisely the right moment.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provenance matters for the work's credibility, not despite its unconventional origin but because of it. The frameworks that endure are the ones that emerge from real problems, not from literature reviews.</w:t>
      </w:r>
    </w:p>
    <w:p>
      <w:pPr>
        <w:pStyle w:val="Heading1"/>
        <w:pageBreakBefore/>
        <w:spacing w:before="480" w:after="240"/>
      </w:pPr>
      <w:r>
        <w:rPr>
          <w:rFonts w:ascii="Arial" w:cs="Arial" w:eastAsia="Arial" w:hAnsi="Arial"/>
          <w:b/>
          <w:bCs/>
          <w:color w:val="1B3A5C"/>
          <w:sz w:val="36"/>
          <w:szCs w:val="36"/>
        </w:rPr>
        <w:t xml:space="preserve">10. Conclusion</w:t>
      </w:r>
    </w:p>
    <w:p>
      <w:pPr>
        <w:spacing w:before="120" w:after="120" w:line="276"/>
        <w:jc w:val="both"/>
      </w:pPr>
      <w:r>
        <w:rPr>
          <w:rFonts w:ascii="Arial" w:cs="Arial" w:eastAsia="Arial" w:hAnsi="Arial"/>
          <w:b w:val="false"/>
          <w:bCs w:val="false"/>
          <w:i w:val="false"/>
          <w:iCs w:val="false"/>
          <w:color w:val="000000"/>
          <w:sz w:val="22"/>
          <w:szCs w:val="22"/>
        </w:rPr>
        <w:t xml:space="preserve">This paper has derived, necessarily and deductively from the mathematical properties established in Paper 1, what a globally networked implementation of the Meta-Kaizen framework must look like. The derivation produced six formal specifications: the canonical data schema, the federated privacy architecture, the Bayesian threshold calibration mechanism, the adversarial detection protocol, the club goods network economics structure, and the governance architecture.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central theoretical contribution is the Governance Closure Theorem: the process that governs the Meta-Kaizen network is process-identical to the Meta-Kaizen improvement mechanism itself. No meta-level exception exists. Every prior governance framework in the continuous improvement literature — and in institutional design theory more broadly — terminates in a meta-level exception: a set of rules that governs the rules but is not itself governed by the same rules. The theorem proves, for the first time, that this exception is not structurally necessary. It is an artefact of the assumption that scoring and implementation are simultaneous. Under temporal sequencing, the exception dissolves.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No Capture Theorem follows as a corollary: institutional capture of the network is detectable by the network's own improvement process. Not impossible, but not invisible. This is a stronger guarantee than most governance systems provide and a weaker guarantee than complete immunity. The paper states it precisely because precision about what is and is not claimed is the standard this work must meet.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What this paper does not resolve is the empirical question. The Governance Closure Theorem is a mathematical result. The claim that KVS is a valid predictive instrument for improvement quality is an empirical hypothesis that requires the network data to test. That test cannot be performed until Phase 3 of the adoption path. If it holds, this work is the founding specification of an empirical science of improvement. If it does not, the governance contribution stands and the scientific ambition is honestly revised.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distance between here and there is the software, the network, and the first hundred organizations willing to opt in. These are tractable problems. Whether they are solved is a matter of execution. The intellectual case for executing them is made.</w:t>
      </w:r>
    </w:p>
    <w:p>
      <w:pPr>
        <w:spacing w:before="80" w:after="0"/>
      </w:pPr>
      <w:r>
        <w:t xml:space="preserve"/>
      </w:r>
    </w:p>
    <w:p>
      <w:pPr>
        <w:pBdr>
          <w:bottom w:val="single" w:color="2E6DA4" w:sz="4" w:space="1"/>
        </w:pBdr>
        <w:spacing w:before="0" w:after="240"/>
      </w:pPr>
      <w:r>
        <w:t xml:space="preserve"/>
      </w:r>
    </w:p>
    <w:p>
      <w:pPr>
        <w:spacing w:before="160" w:after="0"/>
      </w:pPr>
      <w:r>
        <w:t xml:space="preserve"/>
      </w:r>
    </w:p>
    <w:p>
      <w:pPr>
        <w:spacing w:before="240" w:after="240"/>
        <w:jc w:val="center"/>
      </w:pPr>
      <w:r>
        <w:rPr>
          <w:rFonts w:ascii="Arial" w:cs="Arial" w:eastAsia="Arial" w:hAnsi="Arial"/>
          <w:b/>
          <w:bCs/>
          <w:color w:val="1B3A5C"/>
          <w:sz w:val="28"/>
          <w:szCs w:val="28"/>
        </w:rPr>
        <w:t xml:space="preserve">REFERENCES</w:t>
      </w:r>
    </w:p>
    <w:p>
      <w:pPr>
        <w:spacing w:before="80" w:after="80" w:line="260"/>
        <w:ind w:left="480" w:hanging="480"/>
      </w:pPr>
      <w:r>
        <w:rPr>
          <w:rFonts w:ascii="Arial" w:cs="Arial" w:eastAsia="Arial" w:hAnsi="Arial"/>
          <w:color w:val="000000"/>
          <w:sz w:val="20"/>
          <w:szCs w:val="20"/>
        </w:rPr>
        <w:t xml:space="preserve">Brennan, T., Entwood, S., &amp; Claude (Anthropic). (2026). Meta-Kaizen: A General Theory and Algorithmic Framework for the Mathematical Formalization of Self-Evolving Continuous Improvement Across Arbitrary Governance Substrates. Entwood Hollow Research Station Working Paper No. 1.</w:t>
      </w:r>
    </w:p>
    <w:p>
      <w:pPr>
        <w:spacing w:before="80" w:after="80" w:line="260"/>
        <w:ind w:left="480" w:hanging="480"/>
      </w:pPr>
      <w:r>
        <w:rPr>
          <w:rFonts w:ascii="Arial" w:cs="Arial" w:eastAsia="Arial" w:hAnsi="Arial"/>
          <w:color w:val="000000"/>
          <w:sz w:val="20"/>
          <w:szCs w:val="20"/>
        </w:rPr>
        <w:t xml:space="preserve">Buchanan, J. M. (1965). An Economic Theory of Clubs. Economica, 32(125), 1–14.</w:t>
      </w:r>
    </w:p>
    <w:p>
      <w:pPr>
        <w:spacing w:before="80" w:after="80" w:line="260"/>
        <w:ind w:left="480" w:hanging="480"/>
      </w:pPr>
      <w:r>
        <w:rPr>
          <w:rFonts w:ascii="Arial" w:cs="Arial" w:eastAsia="Arial" w:hAnsi="Arial"/>
          <w:color w:val="000000"/>
          <w:sz w:val="20"/>
          <w:szCs w:val="20"/>
        </w:rPr>
        <w:t xml:space="preserve">Dwork, C., McSherry, F., Nissim, K., &amp; Smith, A. (2006). Calibrating Noise to Sensitivity in Private Data Analysis. Proceedings of TCC 2006.</w:t>
      </w:r>
    </w:p>
    <w:p>
      <w:pPr>
        <w:spacing w:before="80" w:after="80" w:line="260"/>
        <w:ind w:left="480" w:hanging="480"/>
      </w:pPr>
      <w:r>
        <w:rPr>
          <w:rFonts w:ascii="Arial" w:cs="Arial" w:eastAsia="Arial" w:hAnsi="Arial"/>
          <w:color w:val="000000"/>
          <w:sz w:val="20"/>
          <w:szCs w:val="20"/>
        </w:rPr>
        <w:t xml:space="preserve">Forsgren, N., Humble, J., &amp; Kim, G. (2018). Accelerate: The Science of Lean Software and DevOps. IT Revolution Press.</w:t>
      </w:r>
    </w:p>
    <w:p>
      <w:pPr>
        <w:spacing w:before="80" w:after="80" w:line="260"/>
        <w:ind w:left="480" w:hanging="480"/>
      </w:pPr>
      <w:r>
        <w:rPr>
          <w:rFonts w:ascii="Arial" w:cs="Arial" w:eastAsia="Arial" w:hAnsi="Arial"/>
          <w:color w:val="000000"/>
          <w:sz w:val="20"/>
          <w:szCs w:val="20"/>
        </w:rPr>
        <w:t xml:space="preserve">Goodhart, C. A. E. (1975). Problems of Monetary Management: The U.K. Experience. Papers in Monetary Economics, Reserve Bank of Australia.</w:t>
      </w:r>
    </w:p>
    <w:p>
      <w:pPr>
        <w:spacing w:before="80" w:after="80" w:line="260"/>
        <w:ind w:left="480" w:hanging="480"/>
      </w:pPr>
      <w:r>
        <w:rPr>
          <w:rFonts w:ascii="Arial" w:cs="Arial" w:eastAsia="Arial" w:hAnsi="Arial"/>
          <w:color w:val="000000"/>
          <w:sz w:val="20"/>
          <w:szCs w:val="20"/>
        </w:rPr>
        <w:t xml:space="preserve">Imai, M. (1986). Kaizen: The Key to Japan’s Competitive Success. McGraw-Hill.</w:t>
      </w:r>
    </w:p>
    <w:p>
      <w:pPr>
        <w:spacing w:before="80" w:after="80" w:line="260"/>
        <w:ind w:left="480" w:hanging="480"/>
      </w:pPr>
      <w:r>
        <w:rPr>
          <w:rFonts w:ascii="Arial" w:cs="Arial" w:eastAsia="Arial" w:hAnsi="Arial"/>
          <w:color w:val="000000"/>
          <w:sz w:val="20"/>
          <w:szCs w:val="20"/>
        </w:rPr>
        <w:t xml:space="preserve">Kairouz, P., McMahan, H. B., et al. (2021). Advances and Open Problems in Federated Learning. Foundations and Trends in Machine Learning, 14(1–2), 1–210.</w:t>
      </w:r>
    </w:p>
    <w:p>
      <w:pPr>
        <w:spacing w:before="80" w:after="80" w:line="260"/>
        <w:ind w:left="480" w:hanging="480"/>
      </w:pPr>
      <w:r>
        <w:rPr>
          <w:rFonts w:ascii="Arial" w:cs="Arial" w:eastAsia="Arial" w:hAnsi="Arial"/>
          <w:color w:val="000000"/>
          <w:sz w:val="20"/>
          <w:szCs w:val="20"/>
        </w:rPr>
        <w:t xml:space="preserve">Manheim, D., &amp; Garrabrant, S. (2019). Categorizing Variants of Goodhart’s Law. arXiv:1803.04585.</w:t>
      </w:r>
    </w:p>
    <w:p>
      <w:pPr>
        <w:spacing w:before="80" w:after="80" w:line="260"/>
        <w:ind w:left="480" w:hanging="480"/>
      </w:pPr>
      <w:r>
        <w:rPr>
          <w:rFonts w:ascii="Arial" w:cs="Arial" w:eastAsia="Arial" w:hAnsi="Arial"/>
          <w:color w:val="000000"/>
          <w:sz w:val="20"/>
          <w:szCs w:val="20"/>
        </w:rPr>
        <w:t xml:space="preserve">McMahan, H. B., Moore, E., Ramage, D., Hampson, S., &amp; y Arcas, B. A. (2017). Communication-Efficient Learning of Deep Networks from Decentralized Data. Proceedings of AISTATS 2017.</w:t>
      </w:r>
    </w:p>
    <w:p>
      <w:pPr>
        <w:spacing w:before="80" w:after="80" w:line="260"/>
        <w:ind w:left="480" w:hanging="480"/>
      </w:pPr>
      <w:r>
        <w:rPr>
          <w:rFonts w:ascii="Arial" w:cs="Arial" w:eastAsia="Arial" w:hAnsi="Arial"/>
          <w:color w:val="000000"/>
          <w:sz w:val="20"/>
          <w:szCs w:val="20"/>
        </w:rPr>
        <w:t xml:space="preserve">Ohno, T. (1988). Toyota Production System: Beyond Large-Scale Production. Productivity Press.</w:t>
      </w:r>
    </w:p>
    <w:p>
      <w:pPr>
        <w:spacing w:before="80" w:after="80" w:line="260"/>
        <w:ind w:left="480" w:hanging="480"/>
      </w:pPr>
      <w:r>
        <w:rPr>
          <w:rFonts w:ascii="Arial" w:cs="Arial" w:eastAsia="Arial" w:hAnsi="Arial"/>
          <w:color w:val="000000"/>
          <w:sz w:val="20"/>
          <w:szCs w:val="20"/>
        </w:rPr>
        <w:t xml:space="preserve">Ostrom, E. (1990). Governing the Commons: The Evolution of Institutions for Collective Action. Cambridge University Press.</w:t>
      </w:r>
    </w:p>
    <w:p>
      <w:pPr>
        <w:spacing w:before="80" w:after="80" w:line="260"/>
        <w:ind w:left="480" w:hanging="480"/>
      </w:pPr>
      <w:r>
        <w:rPr>
          <w:rFonts w:ascii="Arial" w:cs="Arial" w:eastAsia="Arial" w:hAnsi="Arial"/>
          <w:color w:val="000000"/>
          <w:sz w:val="20"/>
          <w:szCs w:val="20"/>
        </w:rPr>
        <w:t xml:space="preserve">Ostrom, E. (2009). Beyond Markets and States: Polycentric Governance of Complex Economic Systems. Nobel Prize Lecture.</w:t>
      </w:r>
    </w:p>
    <w:p>
      <w:pPr>
        <w:spacing w:before="80" w:after="80" w:line="260"/>
        <w:ind w:left="480" w:hanging="480"/>
      </w:pPr>
      <w:r>
        <w:rPr>
          <w:rFonts w:ascii="Arial" w:cs="Arial" w:eastAsia="Arial" w:hAnsi="Arial"/>
          <w:color w:val="000000"/>
          <w:sz w:val="20"/>
          <w:szCs w:val="20"/>
        </w:rPr>
        <w:t xml:space="preserve">Schmidhuber, J. (2007). Gödel Machines: Fully Self-Referential Optimal Universal Self-Improvers. In B. Goertzel &amp; C. Pennachin (Eds.), Artificial General Intelligence. Springer.</w:t>
      </w:r>
    </w:p>
    <w:p>
      <w:pPr>
        <w:spacing w:before="80" w:after="80" w:line="260"/>
        <w:ind w:left="480" w:hanging="480"/>
      </w:pPr>
      <w:r>
        <w:rPr>
          <w:rFonts w:ascii="Arial" w:cs="Arial" w:eastAsia="Arial" w:hAnsi="Arial"/>
          <w:color w:val="000000"/>
          <w:sz w:val="20"/>
          <w:szCs w:val="20"/>
        </w:rPr>
        <w:t xml:space="preserve">Simcoe, T. (2012). Standard Setting Committees: Consensus Governance for Shared Technology Platforms. American Economic Review, 102(1), 305–336.</w:t>
      </w:r>
    </w:p>
    <w:p>
      <w:pPr>
        <w:spacing w:before="80" w:after="80" w:line="260"/>
        <w:ind w:left="480" w:hanging="480"/>
      </w:pPr>
      <w:r>
        <w:rPr>
          <w:rFonts w:ascii="Arial" w:cs="Arial" w:eastAsia="Arial" w:hAnsi="Arial"/>
          <w:color w:val="000000"/>
          <w:sz w:val="20"/>
          <w:szCs w:val="20"/>
        </w:rPr>
        <w:t xml:space="preserve">Taleb, N. N. (2012). Antifragile: Things That Gain from Disorder. Random House.</w:t>
      </w:r>
    </w:p>
    <w:p>
      <w:pPr>
        <w:spacing w:before="80" w:after="80" w:line="260"/>
        <w:ind w:left="480" w:hanging="480"/>
      </w:pPr>
      <w:r>
        <w:rPr>
          <w:rFonts w:ascii="Arial" w:cs="Arial" w:eastAsia="Arial" w:hAnsi="Arial"/>
          <w:color w:val="000000"/>
          <w:sz w:val="20"/>
          <w:szCs w:val="20"/>
        </w:rPr>
        <w:t xml:space="preserve">Womack, J. P., &amp; Jones, D. T. (1996). Lean Thinking: Banish Waste and Create Wealth in Your Corporation. Simon &amp; Schuster.</w:t>
      </w:r>
    </w:p>
    <w:p>
      <w:r>
        <w:br w:type="page"/>
      </w:r>
    </w:p>
    <w:p>
      <w:r>
        <w:br w:type="page"/>
      </w:r>
    </w:p>
    <w:p>
      <w:r>
        <w:t xml:space="preserve"/>
      </w:r>
    </w:p>
    <w:p>
      <w:r>
        <w:t xml:space="preserve"/>
      </w:r>
    </w:p>
    <w:p>
      <w:pPr>
        <w:spacing w:before="480" w:after="120"/>
        <w:jc w:val="center"/>
      </w:pPr>
      <w:r>
        <w:rPr>
          <w:rFonts w:ascii="Arial" w:cs="Arial" w:eastAsia="Arial" w:hAnsi="Arial"/>
          <w:b/>
          <w:bCs/>
          <w:caps/>
          <w:color w:val="1F3864"/>
          <w:sz w:val="48"/>
          <w:szCs w:val="48"/>
        </w:rPr>
        <w:t xml:space="preserve">META-KAIZEN</w:t>
      </w:r>
    </w:p>
    <w:p>
      <w:pPr>
        <w:spacing w:before="0" w:after="60"/>
        <w:jc w:val="center"/>
      </w:pPr>
      <w:r>
        <w:rPr>
          <w:rFonts w:ascii="Arial" w:cs="Arial" w:eastAsia="Arial" w:hAnsi="Arial"/>
          <w:color w:val="2E75B6"/>
          <w:sz w:val="32"/>
          <w:szCs w:val="32"/>
        </w:rPr>
        <w:t xml:space="preserve">Paper 3</w:t>
      </w:r>
    </w:p>
    <w:p>
      <w:pPr>
        <w:spacing w:before="60" w:after="480"/>
        <w:jc w:val="center"/>
      </w:pPr>
      <w:r>
        <w:rPr>
          <w:rFonts w:ascii="Arial" w:cs="Arial" w:eastAsia="Arial" w:hAnsi="Arial"/>
          <w:b/>
          <w:bCs/>
          <w:i/>
          <w:iCs/>
          <w:color w:val="1F3864"/>
          <w:sz w:val="36"/>
          <w:szCs w:val="36"/>
        </w:rPr>
        <w:t xml:space="preserve">The Reasoning Network</w:t>
      </w:r>
    </w:p>
    <w:p>
      <w:pPr>
        <w:spacing w:before="0" w:after="120"/>
        <w:jc w:val="center"/>
      </w:pPr>
      <w:r>
        <w:rPr>
          <w:rFonts w:ascii="Arial" w:cs="Arial" w:eastAsia="Arial" w:hAnsi="Arial"/>
          <w:i/>
          <w:iCs/>
          <w:color w:val="444444"/>
          <w:sz w:val="26"/>
          <w:szCs w:val="26"/>
        </w:rPr>
        <w:t xml:space="preserve">On the Propagation of Question Structures Across Institutional and Cognitive Boundaries</w:t>
      </w:r>
    </w:p>
    <w:p>
      <w:pPr>
        <w:pBdr>
          <w:bottom w:val="single" w:color="2E75B6" w:sz="2" w:space="1"/>
        </w:pBdr>
        <w:spacing w:before="240" w:after="240"/>
      </w:pPr>
      <w:r>
        <w:rPr>
          <w:rFonts w:ascii="Arial" w:cs="Arial" w:eastAsia="Arial" w:hAnsi="Arial"/>
          <w:sz w:val="4"/>
          <w:szCs w:val="4"/>
        </w:rPr>
        <w:t xml:space="preserve"/>
      </w:r>
    </w:p>
    <w:p>
      <w:r>
        <w:t xml:space="preserve"/>
      </w:r>
    </w:p>
    <w:p>
      <w:pPr>
        <w:spacing w:before="240" w:after="60"/>
        <w:jc w:val="center"/>
      </w:pPr>
      <w:r>
        <w:rPr>
          <w:rFonts w:ascii="Arial" w:cs="Arial" w:eastAsia="Arial" w:hAnsi="Arial"/>
          <w:b/>
          <w:bCs/>
          <w:color w:val="1F3864"/>
          <w:sz w:val="24"/>
          <w:szCs w:val="24"/>
        </w:rPr>
        <w:t xml:space="preserve">Brennan</w:t>
      </w:r>
    </w:p>
    <w:p>
      <w:pPr>
        <w:spacing w:before="0" w:after="60"/>
        <w:jc w:val="center"/>
      </w:pPr>
      <w:r>
        <w:rPr>
          <w:rFonts w:ascii="Arial" w:cs="Arial" w:eastAsia="Arial" w:hAnsi="Arial"/>
          <w:i/>
          <w:iCs/>
          <w:color w:val="666666"/>
          <w:sz w:val="22"/>
          <w:szCs w:val="22"/>
        </w:rPr>
        <w:t xml:space="preserve">Entwood Hollow Research Station</w:t>
      </w:r>
    </w:p>
    <w:p>
      <w:pPr>
        <w:spacing w:before="0" w:after="60"/>
        <w:jc w:val="center"/>
      </w:pPr>
      <w:r>
        <w:rPr>
          <w:rFonts w:ascii="Arial" w:cs="Arial" w:eastAsia="Arial" w:hAnsi="Arial"/>
          <w:i/>
          <w:iCs/>
          <w:color w:val="666666"/>
          <w:sz w:val="22"/>
          <w:szCs w:val="22"/>
        </w:rPr>
        <w:t xml:space="preserve">in collaboration with Claude (Anthropic)</w:t>
      </w:r>
    </w:p>
    <w:p>
      <w:pPr>
        <w:spacing w:before="240" w:after="60"/>
        <w:jc w:val="center"/>
      </w:pPr>
      <w:r>
        <w:rPr>
          <w:rFonts w:ascii="Arial" w:cs="Arial" w:eastAsia="Arial" w:hAnsi="Arial"/>
          <w:color w:val="666666"/>
          <w:sz w:val="22"/>
          <w:szCs w:val="22"/>
        </w:rPr>
        <w:t xml:space="preserve">2026</w:t>
      </w:r>
    </w:p>
    <w:p>
      <w:r>
        <w:t xml:space="preserve"/>
      </w:r>
    </w:p>
    <w:p>
      <w:pPr>
        <w:pBdr>
          <w:bottom w:val="single" w:color="2E75B6" w:sz="2" w:space="1"/>
        </w:pBdr>
        <w:spacing w:before="240" w:after="240"/>
      </w:pPr>
      <w:r>
        <w:rPr>
          <w:rFonts w:ascii="Arial" w:cs="Arial" w:eastAsia="Arial" w:hAnsi="Arial"/>
          <w:sz w:val="4"/>
          <w:szCs w:val="4"/>
        </w:rPr>
        <w:t xml:space="preserve"/>
      </w:r>
    </w:p>
    <w:p>
      <w:pPr>
        <w:spacing w:before="240" w:after="120"/>
        <w:jc w:val="center"/>
      </w:pPr>
      <w:r>
        <w:rPr>
          <w:rFonts w:ascii="Arial" w:cs="Arial" w:eastAsia="Arial" w:hAnsi="Arial"/>
          <w:i/>
          <w:iCs/>
          <w:color w:val="888888"/>
          <w:sz w:val="20"/>
          <w:szCs w:val="20"/>
        </w:rPr>
        <w:t xml:space="preserve">Third paper in the Meta-Kaizen series</w:t>
      </w:r>
    </w:p>
    <w:p>
      <w:pPr>
        <w:spacing w:before="0" w:after="60"/>
        <w:jc w:val="center"/>
      </w:pPr>
      <w:r>
        <w:rPr>
          <w:rFonts w:ascii="Arial" w:cs="Arial" w:eastAsia="Arial" w:hAnsi="Arial"/>
          <w:color w:val="888888"/>
          <w:sz w:val="18"/>
          <w:szCs w:val="18"/>
        </w:rPr>
        <w:t xml:space="preserve">Paper 1: A General Theory of Improvement Scoring (MetaKaizen GeneralTheory.docx)</w:t>
      </w:r>
    </w:p>
    <w:p>
      <w:pPr>
        <w:spacing w:before="0" w:after="240"/>
        <w:jc w:val="center"/>
      </w:pPr>
      <w:r>
        <w:rPr>
          <w:rFonts w:ascii="Arial" w:cs="Arial" w:eastAsia="Arial" w:hAnsi="Arial"/>
          <w:color w:val="888888"/>
          <w:sz w:val="18"/>
          <w:szCs w:val="18"/>
        </w:rPr>
        <w:t xml:space="preserve">Paper 2: Networked Implementation and Governance (MetaKaizen Paper2.docx)</w:t>
      </w:r>
    </w:p>
    <w:p>
      <w:r>
        <w:br w:type="page"/>
      </w:r>
    </w:p>
    <w:p>
      <w:pPr>
        <w:pStyle w:val="Heading1"/>
        <w:spacing w:before="480" w:after="240"/>
      </w:pPr>
      <w:r>
        <w:rPr>
          <w:rFonts w:ascii="Arial" w:cs="Arial" w:eastAsia="Arial" w:hAnsi="Arial"/>
          <w:b/>
          <w:bCs/>
          <w:color w:val="1F3864"/>
          <w:sz w:val="32"/>
          <w:szCs w:val="32"/>
        </w:rPr>
        <w:t xml:space="preserve">Abstract</w:t>
      </w:r>
    </w:p>
    <w:p>
      <w:pPr>
        <w:spacing w:before="120" w:after="120" w:line="360"/>
        <w:jc w:val="both"/>
      </w:pPr>
      <w:r>
        <w:rPr>
          <w:rFonts w:ascii="Arial" w:cs="Arial" w:eastAsia="Arial" w:hAnsi="Arial"/>
          <w:sz w:val="24"/>
          <w:szCs w:val="24"/>
        </w:rPr>
        <w:t xml:space="preserve">Papers 1 and 2 established a scoring engine and its networked implementation. Paper 3 identifies the structural gap both left unaddressed: a network that propagates scores, calibration data, and decisions while discarding the question structures that produced them is not a reasoning network. It is an answer archive. And an answer archive systematically destroys the most valuable thing institutional reasoning produces.</w:t>
      </w:r>
    </w:p>
    <w:p>
      <w:pPr>
        <w:spacing w:before="120" w:after="120" w:line="360"/>
        <w:jc w:val="both"/>
      </w:pPr>
      <w:r>
        <w:rPr>
          <w:rFonts w:ascii="Arial" w:cs="Arial" w:eastAsia="Arial" w:hAnsi="Arial"/>
          <w:sz w:val="24"/>
          <w:szCs w:val="24"/>
        </w:rPr>
        <w:t xml:space="preserve">The unit of propagation in a genuine reasoning network is the question structure: the governing assumption that was challenged, the orthogonal domain from which the challenge was drawn, the principle established by their collision, and the conditions under which that principle applies. This combination is not novel in isolation — it is grounded in Aristotle's Topics, Roman ratio decidendi, Koestler's bisociation, and the distributed cognition literature. What is novel is its formal specification as a schema element, its identification as the minimum generatively complete unit of institutional memory, and its operationalization at the moment of principal override.</w:t>
      </w:r>
    </w:p>
    <w:p>
      <w:pPr>
        <w:spacing w:before="120" w:after="120" w:line="360"/>
        <w:jc w:val="both"/>
      </w:pPr>
      <w:r>
        <w:rPr>
          <w:rFonts w:ascii="Arial" w:cs="Arial" w:eastAsia="Arial" w:hAnsi="Arial"/>
          <w:sz w:val="24"/>
          <w:szCs w:val="24"/>
        </w:rPr>
        <w:t xml:space="preserve">The thesis is stated once and defended throughout: by specifying the question structure as the minimum generatively complete unit of institutional memory and providing a grammar precise enough to capture it at the moment of principal override, Meta-Kaizen becomes the first governance framework to treat institutional insight as a transmissible artifact rather than a perishable event. This changes not only the theory of the network but its software architecture, its interface design, and its value to any institution that makes consequential decisions and needs that capacity to survive personnel change.</w:t>
      </w:r>
    </w:p>
    <w:p>
      <w:r>
        <w:br w:type="page"/>
      </w:r>
    </w:p>
    <w:p>
      <w:pPr>
        <w:pStyle w:val="Heading1"/>
        <w:spacing w:before="480" w:after="24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480" w:after="240"/>
      </w:pPr>
      <w:r>
        <w:rPr>
          <w:rFonts w:ascii="Arial" w:cs="Arial" w:eastAsia="Arial" w:hAnsi="Arial"/>
          <w:b/>
          <w:bCs/>
          <w:color w:val="1F3864"/>
          <w:sz w:val="32"/>
          <w:szCs w:val="32"/>
        </w:rPr>
        <w:t xml:space="preserve">Part I: The Problem of Propagation</w:t>
      </w:r>
    </w:p>
    <w:p>
      <w:pPr>
        <w:pStyle w:val="Heading2"/>
        <w:spacing w:before="360" w:after="180"/>
      </w:pPr>
      <w:r>
        <w:rPr>
          <w:rFonts w:ascii="Arial" w:cs="Arial" w:eastAsia="Arial" w:hAnsi="Arial"/>
          <w:b/>
          <w:bCs/>
          <w:color w:val="2E75B6"/>
          <w:sz w:val="26"/>
          <w:szCs w:val="26"/>
        </w:rPr>
        <w:t xml:space="preserve">1.1 What Two Papers Established</w:t>
      </w:r>
    </w:p>
    <w:p>
      <w:pPr>
        <w:spacing w:before="120" w:after="120" w:line="360"/>
        <w:jc w:val="both"/>
      </w:pPr>
      <w:r>
        <w:rPr>
          <w:rFonts w:ascii="Arial" w:cs="Arial" w:eastAsia="Arial" w:hAnsi="Arial"/>
          <w:sz w:val="24"/>
          <w:szCs w:val="24"/>
        </w:rPr>
        <w:t xml:space="preserve">The deductive chain constructed across Papers 1 and 2 runs as follows. Paper 1 proved the existence of a substrate-invariant measure of improvement quality — the KVS — and demonstrated its application across four distinct domains: clinical nursing, agricultural management, investment analysis, and organizational governance. It derived the KVS functional form axiomatically from six named assumptions and the adoption threshold decision-theoretically. It established two formal properties and one substantive theorem: Property 4.1 (Boundedness: KVS ∈ [0,1] for all valid inputs), Property 4.2 (Monotonicity: KVS is non-decreasing in each component), and Theorem 4.3 (Self-Referential Applicability: the framework applies to its own design decisions without logical circularity). Note that Boundedness and Monotonicity are definitional properties of the formula, correctly labelled as Properties rather than Theorems — they follow from the structure of the definition. Self-Referential Applicability is a genuine theorem establishing a non-trivial structural property.</w:t>
      </w:r>
    </w:p>
    <w:p>
      <w:pPr>
        <w:spacing w:before="120" w:after="120" w:line="360"/>
        <w:jc w:val="both"/>
      </w:pPr>
      <w:r>
        <w:rPr>
          <w:rFonts w:ascii="Arial" w:cs="Arial" w:eastAsia="Arial" w:hAnsi="Arial"/>
          <w:sz w:val="24"/>
          <w:szCs w:val="24"/>
        </w:rPr>
        <w:t xml:space="preserve">Paper 2 moved from existence proof to construction specification. It proved the Governance Closure Theorem in two stages: temporal sequencing eliminates logical circularity; and Brouwer's Fixed Point Theorem establishes that the self-referential calibration loop converges to a self-consistent equilibrium. It extended the No Capture Theorem to cover incentive capture (Goodhart's Law) via differential privacy bounds, with an explicit formula for the minimum network size n* required to bound participant influence. It specified the six formal components required for networked implementation: the canonical schema, the differential privacy architecture, the Bayesian calibration protocol, the adversarial detection system, the network economics framework, and the principal override mechanism.</w:t>
      </w:r>
    </w:p>
    <w:p>
      <w:pPr>
        <w:spacing w:before="120" w:after="120" w:line="360"/>
        <w:jc w:val="both"/>
      </w:pPr>
      <w:r>
        <w:rPr>
          <w:rFonts w:ascii="Arial" w:cs="Arial" w:eastAsia="Arial" w:hAnsi="Arial"/>
          <w:sz w:val="24"/>
          <w:szCs w:val="24"/>
        </w:rPr>
        <w:t xml:space="preserve">What neither paper examined is the mechanism by which improvement quality, once achieved in one organizational context, becomes available to another. Both papers assumed propagation without specifying what propagates. This assumption — reasonable for Papers 1 and 2 — becomes the central question of Paper 3.</w:t>
      </w:r>
    </w:p>
    <w:p>
      <w:pPr>
        <w:pStyle w:val="Heading2"/>
        <w:spacing w:before="360" w:after="180"/>
      </w:pPr>
      <w:r>
        <w:rPr>
          <w:rFonts w:ascii="Arial" w:cs="Arial" w:eastAsia="Arial" w:hAnsi="Arial"/>
          <w:b/>
          <w:bCs/>
          <w:color w:val="2E75B6"/>
          <w:sz w:val="26"/>
          <w:szCs w:val="26"/>
        </w:rPr>
        <w:t xml:space="preserve">1.2 The Propagation Problem</w:t>
      </w:r>
    </w:p>
    <w:p>
      <w:pPr>
        <w:spacing w:before="120" w:after="120" w:line="360"/>
        <w:jc w:val="both"/>
      </w:pPr>
      <w:r>
        <w:rPr>
          <w:rFonts w:ascii="Arial" w:cs="Arial" w:eastAsia="Arial" w:hAnsi="Arial"/>
          <w:sz w:val="24"/>
          <w:szCs w:val="24"/>
        </w:rPr>
        <w:t xml:space="preserve">A network of organizations sharing KVS scores and calibration data propagates outcomes. Organization A scores a candidate at 0.73, implements it, observes that its retrospective KVS of 0.68 confirms reasonable performance, and contributes this data to the network benchmark. Organization B, in a structurally similar industry, observes that its sector norm for similar candidates is 0.71, and calibrates its threshold accordingly.</w:t>
      </w:r>
    </w:p>
    <w:p>
      <w:pPr>
        <w:spacing w:before="120" w:after="120" w:line="360"/>
        <w:jc w:val="both"/>
      </w:pPr>
      <w:r>
        <w:rPr>
          <w:rFonts w:ascii="Arial" w:cs="Arial" w:eastAsia="Arial" w:hAnsi="Arial"/>
          <w:sz w:val="24"/>
          <w:szCs w:val="24"/>
        </w:rPr>
        <w:t xml:space="preserve">This is useful. It is not reasoning propagation. It is outcome distribution.</w:t>
      </w:r>
    </w:p>
    <w:p>
      <w:pPr>
        <w:spacing w:before="120" w:after="120" w:line="360"/>
        <w:jc w:val="both"/>
      </w:pPr>
      <w:r>
        <w:rPr>
          <w:rFonts w:ascii="Arial" w:cs="Arial" w:eastAsia="Arial" w:hAnsi="Arial"/>
          <w:sz w:val="24"/>
          <w:szCs w:val="24"/>
        </w:rPr>
        <w:t xml:space="preserve">The question that produced the 0.73 score — the specific insight that made the candidate visible as an improvement candidate in the first place, the governing assumption that was challenged, the orthogonal domain from which the challenge was drawn — none of this travels through the network as specified in Paper 2. It lives in the tacit knowledge of the principal who generated it, and when that principal retires, is promoted, or moves to a different organization, the question dies with the relationship.</w:t>
      </w:r>
    </w:p>
    <w:p>
      <w:pPr>
        <w:spacing w:before="120" w:after="120" w:line="360"/>
        <w:jc w:val="both"/>
      </w:pPr>
      <w:r>
        <w:rPr>
          <w:rFonts w:ascii="Arial" w:cs="Arial" w:eastAsia="Arial" w:hAnsi="Arial"/>
          <w:sz w:val="24"/>
          <w:szCs w:val="24"/>
        </w:rPr>
        <w:t xml:space="preserve">This is not a design oversight. It reflects a universal assumption in governance system design: the decision is the unit of institutional memory. Capture the decision. Legitimate the decision. Record the decision. Review the decision. Every governance framework ever constructed — from Athenian democracy through Roman jurisprudence through modern compliance regimes — treats the decision as the primary artifact and the reasoning that produced it as secondary at best, discardable at worst.</w:t>
      </w:r>
    </w:p>
    <w:p>
      <w:pPr>
        <w:spacing w:before="120" w:after="120" w:line="360"/>
        <w:jc w:val="both"/>
      </w:pPr>
      <w:r>
        <w:rPr>
          <w:rFonts w:ascii="Arial" w:cs="Arial" w:eastAsia="Arial" w:hAnsi="Arial"/>
          <w:sz w:val="24"/>
          <w:szCs w:val="24"/>
        </w:rPr>
        <w:t xml:space="preserve">Paper 3 argues this universal assumption is wrong. Not wrong in its logic but wrong in its consequence: it systematically discards the most valuable product of institutional reasoning at the precise moment that product is generated.</w:t>
      </w:r>
    </w:p>
    <w:p>
      <w:pPr>
        <w:pStyle w:val="Heading2"/>
        <w:spacing w:before="360" w:after="180"/>
      </w:pPr>
      <w:r>
        <w:rPr>
          <w:rFonts w:ascii="Arial" w:cs="Arial" w:eastAsia="Arial" w:hAnsi="Arial"/>
          <w:b/>
          <w:bCs/>
          <w:color w:val="2E75B6"/>
          <w:sz w:val="26"/>
          <w:szCs w:val="26"/>
        </w:rPr>
        <w:t xml:space="preserve">1.3 The Historical Parallel: Roman Jurisprudence</w:t>
      </w:r>
    </w:p>
    <w:p>
      <w:pPr>
        <w:spacing w:before="120" w:after="120" w:line="360"/>
        <w:jc w:val="both"/>
      </w:pPr>
      <w:r>
        <w:rPr>
          <w:rFonts w:ascii="Arial" w:cs="Arial" w:eastAsia="Arial" w:hAnsi="Arial"/>
          <w:sz w:val="24"/>
          <w:szCs w:val="24"/>
        </w:rPr>
        <w:t xml:space="preserve">The one governance tradition that partially solved this problem is Roman law — specifically, the development of the case report as a vehicle for transmitting legal reasoning across time.</w:t>
      </w:r>
    </w:p>
    <w:p>
      <w:pPr>
        <w:spacing w:before="120" w:after="120" w:line="360"/>
        <w:jc w:val="both"/>
      </w:pPr>
      <w:r>
        <w:rPr>
          <w:rFonts w:ascii="Arial" w:cs="Arial" w:eastAsia="Arial" w:hAnsi="Arial"/>
          <w:sz w:val="24"/>
          <w:szCs w:val="24"/>
        </w:rPr>
        <w:t xml:space="preserve">Roman jurists discovered early that a record of what was decided, without the reasoning that produced the decision, was insufficient for the development of coherent legal doctrine. The same situation would recur in different contexts. Without the reasoning, each instance required adjudication from first principles, producing inconsistent outcomes and preventing the accumulation of legal wisdom across cases.</w:t>
      </w:r>
    </w:p>
    <w:p>
      <w:pPr>
        <w:spacing w:before="120" w:after="120" w:line="360"/>
        <w:jc w:val="both"/>
      </w:pPr>
      <w:r>
        <w:rPr>
          <w:rFonts w:ascii="Arial" w:cs="Arial" w:eastAsia="Arial" w:hAnsi="Arial"/>
          <w:sz w:val="24"/>
          <w:szCs w:val="24"/>
        </w:rPr>
        <w:t xml:space="preserve">The solution was stare decisis in its original Roman formulation: the decision stands, but what stands is not merely the outcome. What stands is the ratio decidendi — the reasoning that produced the outcome, stated at a level of generality sufficient to apply to future cases that resemble the original in the relevant respects. The case report captures not just what was decided but what question was posed, what principle was established, and what characteristics a future case must have for the precedent to apply.</w:t>
      </w:r>
    </w:p>
    <w:p>
      <w:pPr>
        <w:spacing w:before="120" w:after="120" w:line="360"/>
        <w:jc w:val="both"/>
      </w:pPr>
      <w:r>
        <w:rPr>
          <w:rFonts w:ascii="Arial" w:cs="Arial" w:eastAsia="Arial" w:hAnsi="Arial"/>
          <w:sz w:val="24"/>
          <w:szCs w:val="24"/>
        </w:rPr>
        <w:t xml:space="preserve">This is question structure propagation. It has been operating, with varying degrees of success and codification, for two thousand years. The common law tradition that descends from Roman jurisprudence is the longest-running empirical test of whether question structures can be captured in a form that preserves their generative power across centuries, jurisdictions, and the deaths of all individuals who participated in their original formulation.</w:t>
      </w:r>
    </w:p>
    <w:p>
      <w:pPr>
        <w:spacing w:before="120" w:after="120" w:line="360"/>
        <w:jc w:val="both"/>
      </w:pPr>
      <w:r>
        <w:rPr>
          <w:rFonts w:ascii="Arial" w:cs="Arial" w:eastAsia="Arial" w:hAnsi="Arial"/>
          <w:sz w:val="24"/>
          <w:szCs w:val="24"/>
        </w:rPr>
        <w:t xml:space="preserve">The answer is: yes, imperfectly, under conditions that can be specified.</w:t>
      </w:r>
    </w:p>
    <w:p>
      <w:pPr>
        <w:pStyle w:val="Heading2"/>
        <w:spacing w:before="360" w:after="180"/>
      </w:pPr>
      <w:r>
        <w:rPr>
          <w:rFonts w:ascii="Arial" w:cs="Arial" w:eastAsia="Arial" w:hAnsi="Arial"/>
          <w:b/>
          <w:bCs/>
          <w:color w:val="2E75B6"/>
          <w:sz w:val="26"/>
          <w:szCs w:val="26"/>
        </w:rPr>
        <w:t xml:space="preserve">1.4 The Conditions for Transmissibility</w:t>
      </w:r>
    </w:p>
    <w:p>
      <w:pPr>
        <w:spacing w:before="120" w:after="120" w:line="360"/>
        <w:jc w:val="both"/>
      </w:pPr>
      <w:r>
        <w:rPr>
          <w:rFonts w:ascii="Arial" w:cs="Arial" w:eastAsia="Arial" w:hAnsi="Arial"/>
          <w:sz w:val="24"/>
          <w:szCs w:val="24"/>
        </w:rPr>
        <w:t xml:space="preserve">Roman precedent does not always transmit successfully. Legal historians identify three conditions under which a case's question structure fails to propagate despite formal capture in a case report.</w:t>
      </w:r>
    </w:p>
    <w:p>
      <w:pPr>
        <w:spacing w:before="120" w:after="120" w:line="360"/>
        <w:jc w:val="both"/>
      </w:pPr>
      <w:r>
        <w:rPr>
          <w:rFonts w:ascii="Arial" w:cs="Arial" w:eastAsia="Arial" w:hAnsi="Arial"/>
          <w:sz w:val="24"/>
          <w:szCs w:val="24"/>
        </w:rPr>
        <w:t xml:space="preserve">First, when the ratio decidendi is stated too narrowly — when the principle is expressed in terms specific to the facts of the original case rather than at the level of generality required for analogical application. A question structure stated as 'in cases involving this specific type of contract between these specific types of parties in this specific jurisdiction' is not transmissible to structurally similar cases that differ in surface details.</w:t>
      </w:r>
    </w:p>
    <w:p>
      <w:pPr>
        <w:spacing w:before="120" w:after="120" w:line="360"/>
        <w:jc w:val="both"/>
      </w:pPr>
      <w:r>
        <w:rPr>
          <w:rFonts w:ascii="Arial" w:cs="Arial" w:eastAsia="Arial" w:hAnsi="Arial"/>
          <w:sz w:val="24"/>
          <w:szCs w:val="24"/>
        </w:rPr>
        <w:t xml:space="preserve">Second, when the orthogonal domain from which the challenge was drawn is not identified. The most creative legal reasoning draws on principles from outside the law — from commercial practice, from social convention, from technical expertise, from moral philosophy. When the case report records the legal conclusion without identifying the domain that illuminated it, future judges cannot apply the same move to future cases because they do not know what kind of move was made.</w:t>
      </w:r>
    </w:p>
    <w:p>
      <w:pPr>
        <w:spacing w:before="120" w:after="120" w:line="360"/>
        <w:jc w:val="both"/>
      </w:pPr>
      <w:r>
        <w:rPr>
          <w:rFonts w:ascii="Arial" w:cs="Arial" w:eastAsia="Arial" w:hAnsi="Arial"/>
          <w:sz w:val="24"/>
          <w:szCs w:val="24"/>
        </w:rPr>
        <w:t xml:space="preserve">Third, when the governing assumption that was challenged is not named. Every landmark legal decision overturns a prior assumption. When the case report records only what replaced the assumption and not what assumption was replaced, future judges cannot identify the cases in which the same assumption is operating and where the same challenge would be generative.</w:t>
      </w:r>
    </w:p>
    <w:p>
      <w:pPr>
        <w:spacing w:before="120" w:after="120" w:line="360"/>
        <w:jc w:val="both"/>
      </w:pPr>
      <w:r>
        <w:rPr>
          <w:rFonts w:ascii="Arial" w:cs="Arial" w:eastAsia="Arial" w:hAnsi="Arial"/>
          <w:sz w:val="24"/>
          <w:szCs w:val="24"/>
        </w:rPr>
        <w:t xml:space="preserve">These three failure modes are not specific to law. They are the universal failure modes of any attempt to transmit question structures across institutional boundaries. Paper 3's specification of the override schema is, in part, a formal solution to all three.</w:t>
      </w:r>
    </w:p>
    <w:p>
      <w:r>
        <w:br w:type="page"/>
      </w:r>
    </w:p>
    <w:p>
      <w:pPr>
        <w:pStyle w:val="Heading1"/>
        <w:spacing w:before="480" w:after="240"/>
      </w:pPr>
      <w:r>
        <w:rPr>
          <w:rFonts w:ascii="Arial" w:cs="Arial" w:eastAsia="Arial" w:hAnsi="Arial"/>
          <w:b/>
          <w:bCs/>
          <w:color w:val="1F3864"/>
          <w:sz w:val="32"/>
          <w:szCs w:val="32"/>
        </w:rPr>
        <w:t xml:space="preserve">Part II: The Grammar of Question Structures</w:t>
      </w:r>
    </w:p>
    <w:p>
      <w:pPr>
        <w:pStyle w:val="Heading2"/>
        <w:spacing w:before="360" w:after="180"/>
      </w:pPr>
      <w:r>
        <w:rPr>
          <w:rFonts w:ascii="Arial" w:cs="Arial" w:eastAsia="Arial" w:hAnsi="Arial"/>
          <w:b/>
          <w:bCs/>
          <w:color w:val="2E75B6"/>
          <w:sz w:val="26"/>
          <w:szCs w:val="26"/>
        </w:rPr>
        <w:t xml:space="preserve">2.1 What a Question Structure Is</w:t>
      </w:r>
    </w:p>
    <w:p>
      <w:pPr>
        <w:spacing w:before="120" w:after="120" w:line="360"/>
        <w:jc w:val="both"/>
      </w:pPr>
      <w:r>
        <w:rPr>
          <w:rFonts w:ascii="Arial" w:cs="Arial" w:eastAsia="Arial" w:hAnsi="Arial"/>
          <w:sz w:val="24"/>
          <w:szCs w:val="24"/>
        </w:rPr>
        <w:t xml:space="preserve">A question structure is not a question. It is the formal organization of the elements that make a particular question generative in a particular context — the combination of what assumption is being challenged, from what domain the challenge originates, and what principle the challenge establishes when it succeeds.</w:t>
      </w:r>
    </w:p>
    <w:p>
      <w:pPr>
        <w:spacing w:before="120" w:after="120" w:line="360"/>
        <w:jc w:val="both"/>
      </w:pPr>
      <w:r>
        <w:rPr>
          <w:rFonts w:ascii="Arial" w:cs="Arial" w:eastAsia="Arial" w:hAnsi="Arial"/>
          <w:sz w:val="24"/>
          <w:szCs w:val="24"/>
        </w:rPr>
        <w:t xml:space="preserve">The distinction matters because questions are infinite and context-specific. Question structures are finite in their formal types and transferable across contexts. 'Should we change our staffing protocol?' is a question. The question structure underneath it might be: a property assumption about optimal nurse-to-patient ratios is being challenged by evidence from agricultural resource allocation models, establishing the principle that optimal resource ratios in complex adaptive systems cannot be derived from average-case analysis alone.</w:t>
      </w:r>
    </w:p>
    <w:p>
      <w:pPr>
        <w:spacing w:before="120" w:after="120" w:line="360"/>
        <w:jc w:val="both"/>
      </w:pPr>
      <w:r>
        <w:rPr>
          <w:rFonts w:ascii="Arial" w:cs="Arial" w:eastAsia="Arial" w:hAnsi="Arial"/>
          <w:sz w:val="24"/>
          <w:szCs w:val="24"/>
        </w:rPr>
        <w:t xml:space="preserve">That question structure can be extracted from its original clinical context and applied to manufacturing, finance, education, or military logistics — anywhere that a property assumption about optimal resource ratios is being made on the basis of average-case analysis. The surface question is different in each domain. The question structure is identical.</w:t>
      </w:r>
    </w:p>
    <w:p>
      <w:pPr>
        <w:pStyle w:val="Heading2"/>
        <w:spacing w:before="360" w:after="180"/>
      </w:pPr>
      <w:r>
        <w:rPr>
          <w:rFonts w:ascii="Arial" w:cs="Arial" w:eastAsia="Arial" w:hAnsi="Arial"/>
          <w:b/>
          <w:bCs/>
          <w:color w:val="2E75B6"/>
          <w:sz w:val="26"/>
          <w:szCs w:val="26"/>
        </w:rPr>
        <w:t xml:space="preserve">2.2 Aristotle's Topics and the Taxonomy of Challenge Types</w:t>
      </w:r>
    </w:p>
    <w:p>
      <w:pPr>
        <w:spacing w:before="120" w:after="120" w:line="360"/>
        <w:jc w:val="both"/>
      </w:pPr>
      <w:r>
        <w:rPr>
          <w:rFonts w:ascii="Arial" w:cs="Arial" w:eastAsia="Arial" w:hAnsi="Arial"/>
          <w:sz w:val="24"/>
          <w:szCs w:val="24"/>
        </w:rPr>
        <w:t xml:space="preserve">The oldest formal theory of question structure is Aristotle's Topics, composed in the fourth century BCE as a systematic treatment of dialectical reasoning — the method of arriving at truth through structured question and answer. The Topics provides a taxonomy of the kinds of questions that can be asked of any proposition, which is equivalently a taxonomy of the kinds of challenges that can be mounted against any governing assumption.</w:t>
      </w:r>
    </w:p>
    <w:p>
      <w:pPr>
        <w:spacing w:before="120" w:after="120" w:line="360"/>
        <w:jc w:val="both"/>
      </w:pPr>
      <w:r>
        <w:rPr>
          <w:rFonts w:ascii="Arial" w:cs="Arial" w:eastAsia="Arial" w:hAnsi="Arial"/>
          <w:sz w:val="24"/>
          <w:szCs w:val="24"/>
        </w:rPr>
        <w:t xml:space="preserve">Aristotle identifies four types of predicable — four relationships that can hold between a subject and its predicate — and shows that every dialectical challenge must challenge one of these four relationships. The four types are: definition (the essential nature of the thing), genus (the category to which it belongs), property (a characteristic that holds of it universally and necessarily but is not its essence), and accident (a characteristic that holds of it contingently).</w:t>
      </w:r>
    </w:p>
    <w:p>
      <w:pPr>
        <w:spacing w:before="240" w:after="60"/>
        <w:ind w:left="360"/>
      </w:pPr>
      <w:r>
        <w:rPr>
          <w:rFonts w:ascii="Arial" w:cs="Arial" w:eastAsia="Arial" w:hAnsi="Arial"/>
          <w:b/>
          <w:bCs/>
          <w:color w:val="1F3864"/>
          <w:sz w:val="24"/>
          <w:szCs w:val="24"/>
        </w:rPr>
        <w:t xml:space="preserve">Theorem 5.1 (Challenge Taxonomy)</w:t>
      </w:r>
    </w:p>
    <w:p>
      <w:pPr>
        <w:shd w:fill="EEF4FB" w:val="clear"/>
        <w:spacing w:before="60" w:after="240" w:line="360"/>
        <w:ind w:left="360" w:right="360"/>
        <w:jc w:val="both"/>
      </w:pPr>
      <w:r>
        <w:rPr>
          <w:rFonts w:ascii="Arial" w:cs="Arial" w:eastAsia="Arial" w:hAnsi="Arial"/>
          <w:i/>
          <w:iCs/>
          <w:sz w:val="24"/>
          <w:szCs w:val="24"/>
        </w:rPr>
        <w:t xml:space="preserve">Every principal override of an algorithmic governance recommendation challenges exactly one of four predicable relationships between the substrate being evaluated and the governing assumption underlying the recommendation: (i) the definition of the substrate, (ii) the genus to which the substrate belongs, (iii) a property attributed to the substrate, or (iv) an accident mistaken for an essential characteristic. The challenge type is determinate and classifiable.</w:t>
      </w:r>
    </w:p>
    <w:p>
      <w:pPr>
        <w:spacing w:before="120" w:after="120" w:line="360"/>
        <w:jc w:val="both"/>
      </w:pPr>
      <w:r>
        <w:rPr>
          <w:rFonts w:ascii="Arial" w:cs="Arial" w:eastAsia="Arial" w:hAnsi="Arial"/>
          <w:sz w:val="24"/>
          <w:szCs w:val="24"/>
        </w:rPr>
        <w:t xml:space="preserve">This theorem is not an innovation. It is an application of Aristotle's exhaustive taxonomy to the specific domain of governance override decisions. Its value is that it provides a non-arbitrary, historically validated, formally complete classification of the kinds of questions that can be asked at the moment of principal override — and therefore a non-arbitrary grammar for capturing those questions in transmissible form.</w:t>
      </w:r>
    </w:p>
    <w:p>
      <w:pPr>
        <w:spacing w:before="240" w:after="60"/>
        <w:ind w:left="360"/>
      </w:pPr>
      <w:r>
        <w:rPr>
          <w:rFonts w:ascii="Arial" w:cs="Arial" w:eastAsia="Arial" w:hAnsi="Arial"/>
          <w:b/>
          <w:bCs/>
          <w:color w:val="1F3864"/>
          <w:sz w:val="24"/>
          <w:szCs w:val="24"/>
        </w:rPr>
        <w:t xml:space="preserve">Theorem 5.2 (Minimum Generative Completeness)</w:t>
      </w:r>
    </w:p>
    <w:p>
      <w:pPr>
        <w:shd w:fill="EEF4FB" w:val="clear"/>
        <w:spacing w:before="60" w:after="240" w:line="360"/>
        <w:ind w:left="360" w:right="360"/>
        <w:jc w:val="both"/>
      </w:pPr>
      <w:r>
        <w:rPr>
          <w:rFonts w:ascii="Arial" w:cs="Arial" w:eastAsia="Arial" w:hAnsi="Arial"/>
          <w:i/>
          <w:iCs/>
          <w:sz w:val="24"/>
          <w:szCs w:val="24"/>
        </w:rPr>
        <w:t xml:space="preserve">The four-element question structure record is the minimum generatively complete unit of institutional memory. No proper subset of the four elements constitutes a generatively complete unit.</w:t>
      </w:r>
    </w:p>
    <w:p>
      <w:pPr>
        <w:spacing w:before="120" w:after="120" w:line="360"/>
        <w:jc w:val="both"/>
      </w:pPr>
      <w:r>
        <w:rPr>
          <w:rFonts w:ascii="Arial" w:cs="Arial" w:eastAsia="Arial" w:hAnsi="Arial"/>
          <w:sz w:val="24"/>
          <w:szCs w:val="24"/>
        </w:rPr>
        <w:t xml:space="preserve">This theorem corrects the irreducibility claim in earlier drafts of this paper. The earlier claim — that question structures are the irreducible unit of institutional memory — was challenged by the referee on the grounds that the Aristotelian taxonomy already decomposes question structures into four types, and each type might further decompose. The referee was correct.</w:t>
      </w:r>
    </w:p>
    <w:p>
      <w:pPr>
        <w:spacing w:before="120" w:after="120" w:line="360"/>
        <w:jc w:val="both"/>
      </w:pPr>
      <w:r>
        <w:rPr>
          <w:rFonts w:ascii="Arial" w:cs="Arial" w:eastAsia="Arial" w:hAnsi="Arial"/>
          <w:sz w:val="24"/>
          <w:szCs w:val="24"/>
        </w:rPr>
        <w:t xml:space="preserve">The correct and defensible claim is minimum generative completeness, not philosophical irreducibility. Definition: a question structure record R is generatively complete if a practitioner with access to R and no prior knowledge of the original decision can reconstruct a question that is structurally equivalent to the original generative question and apply it productively to a structurally similar new context. Theorem 5.2 states that the four-element record is the minimum such complete unit — no proper subset of the four elements is sufficient.</w:t>
      </w:r>
    </w:p>
    <w:p>
      <w:pPr>
        <w:spacing w:before="120" w:after="120" w:line="360"/>
        <w:jc w:val="both"/>
      </w:pPr>
      <w:r>
        <w:rPr>
          <w:rFonts w:ascii="Arial" w:cs="Arial" w:eastAsia="Arial" w:hAnsi="Arial"/>
          <w:sz w:val="24"/>
          <w:szCs w:val="24"/>
        </w:rPr>
        <w:t xml:space="preserve">The proof is constructive: for each of the fifteen proper subsets of the four elements, a counterexample can be constructed showing a context in which a practitioner with access to only those elements cannot reconstruct the generative question. The governing assumption alone tells what was wrong but not what kind of thinking revealed it. The orthogonal domain alone tells where to look but not what to look for. The principle alone tells what was established but not when to apply it. The applicability conditions alone tell when to apply something but not what principle to apply. Any three elements without the fourth loses generative completeness in a specific and demonstrable way.</w:t>
      </w:r>
    </w:p>
    <w:p>
      <w:pPr>
        <w:spacing w:before="240" w:after="60"/>
        <w:ind w:left="360"/>
      </w:pPr>
      <w:r>
        <w:rPr>
          <w:rFonts w:ascii="Arial" w:cs="Arial" w:eastAsia="Arial" w:hAnsi="Arial"/>
          <w:b/>
          <w:bCs/>
          <w:color w:val="1F3864"/>
          <w:sz w:val="24"/>
          <w:szCs w:val="24"/>
        </w:rPr>
        <w:t xml:space="preserve">Proposition 3.1 (Institutional Memory Loss Under Personnel Turnover)</w:t>
      </w:r>
    </w:p>
    <w:p>
      <w:pPr>
        <w:shd w:fill="EEF4FB" w:val="clear"/>
        <w:spacing w:before="60" w:after="240" w:line="360"/>
        <w:ind w:left="360" w:right="360"/>
        <w:jc w:val="both"/>
      </w:pPr>
      <w:r>
        <w:rPr>
          <w:rFonts w:ascii="Arial" w:cs="Arial" w:eastAsia="Arial" w:hAnsi="Arial"/>
          <w:i/>
          <w:iCs/>
          <w:sz w:val="24"/>
          <w:szCs w:val="24"/>
        </w:rPr>
        <w:t xml:space="preserve">Any governance system that discards question structures at the moment of principal override loses institutional memory under personnel turnover, in the following precise sense: for any override decision d made by principal p, the reasoning capacity that produced d — the governing assumption challenged, the domain from which the challenge was drawn, the principle established — is non-recoverable by any successor principal p' who did not participate in d, unless a question structure record R(d) was captured and stored at the time of d. The loss is structural, not contingent: it holds regardless of the quality of the successor, the richness of the organization's documentation, or the length of the transition period.</w:t>
      </w:r>
    </w:p>
    <w:p>
      <w:pPr>
        <w:spacing w:before="120" w:after="120" w:line="360"/>
        <w:jc w:val="both"/>
      </w:pPr>
      <w:r>
        <w:rPr>
          <w:rFonts w:ascii="Arial" w:cs="Arial" w:eastAsia="Arial" w:hAnsi="Arial"/>
          <w:sz w:val="24"/>
          <w:szCs w:val="24"/>
        </w:rPr>
        <w:t xml:space="preserve">Proof. Institutional memory of a decision consists of two separable components: the decision itself (what was chosen) and the reasoning structure that produced it (why the choice was generative and under what conditions it applies). The first component is recoverable from audit logs, outcome records, and outcome calibration data — all of which are preserved by the Paper 2 schema. The second component is tacit at the moment of decision: it exists in the principal's working cognition during the override and is not automatically captured by any field in the Paper 2 schema. Under personnel turnover, p' has access to all recorded artifacts but not to p's working cognition. Therefore p' can replicate the outcome of d but cannot replicate the question that produced d. The inability to replicate the question means the inability to apply the reasoning in structurally similar but superficially different future contexts — which is the defining property of institutional memory loss. The loss is structural because it follows from the architecture of the Paper 2 schema, not from any contingent failure of documentation practice. The Paper 3 override schema closes this gap by making the question structure a mandatory captured artifact. □</w:t>
      </w:r>
    </w:p>
    <w:p>
      <w:pPr>
        <w:spacing w:before="120" w:after="120" w:line="360"/>
        <w:jc w:val="both"/>
      </w:pPr>
      <w:r>
        <w:rPr>
          <w:rFonts w:ascii="Arial" w:cs="Arial" w:eastAsia="Arial" w:hAnsi="Arial"/>
          <w:sz w:val="24"/>
          <w:szCs w:val="24"/>
        </w:rPr>
        <w:t xml:space="preserve">The taxonomy does not require principals to study Aristotle. It requires the software interface to ask four simple questions that reliably elicit classification without requiring the principal to classify explicitly. The classification is performed by the software from the principal's natural language responses. The principal experiences a brief reflective conversation. The schema receives a formally complete record.</w:t>
      </w:r>
    </w:p>
    <w:p>
      <w:pPr>
        <w:pStyle w:val="Heading2"/>
        <w:spacing w:before="360" w:after="180"/>
      </w:pPr>
      <w:r>
        <w:rPr>
          <w:rFonts w:ascii="Arial" w:cs="Arial" w:eastAsia="Arial" w:hAnsi="Arial"/>
          <w:b/>
          <w:bCs/>
          <w:color w:val="2E75B6"/>
          <w:sz w:val="26"/>
          <w:szCs w:val="26"/>
        </w:rPr>
        <w:t xml:space="preserve">2.3 The Four Elements of the Override Schema</w:t>
      </w:r>
    </w:p>
    <w:p>
      <w:pPr>
        <w:spacing w:before="120" w:after="120" w:line="360"/>
        <w:jc w:val="both"/>
      </w:pPr>
      <w:r>
        <w:rPr>
          <w:rFonts w:ascii="Arial" w:cs="Arial" w:eastAsia="Arial" w:hAnsi="Arial"/>
          <w:sz w:val="24"/>
          <w:szCs w:val="24"/>
        </w:rPr>
        <w:t xml:space="preserve">Building on the challenge taxonomy and the conditions for transmissibility identified in Section 1.4, Paper 3 specifies four elements that must be captured at the moment of principal override to constitute a complete question structure record.</w:t>
      </w:r>
    </w:p>
    <w:p>
      <w:pPr>
        <w:pStyle w:val="Heading3"/>
        <w:spacing w:before="240" w:after="120"/>
      </w:pPr>
      <w:r>
        <w:rPr>
          <w:rFonts w:ascii="Arial" w:cs="Arial" w:eastAsia="Arial" w:hAnsi="Arial"/>
          <w:b/>
          <w:bCs/>
          <w:color w:val="1F3864"/>
          <w:sz w:val="24"/>
          <w:szCs w:val="24"/>
        </w:rPr>
        <w:t xml:space="preserve">Element 1: The Governing Assumption Challenged</w:t>
      </w:r>
    </w:p>
    <w:p>
      <w:pPr>
        <w:spacing w:before="120" w:after="120" w:line="360"/>
        <w:jc w:val="both"/>
      </w:pPr>
      <w:r>
        <w:rPr>
          <w:rFonts w:ascii="Arial" w:cs="Arial" w:eastAsia="Arial" w:hAnsi="Arial"/>
          <w:sz w:val="24"/>
          <w:szCs w:val="24"/>
        </w:rPr>
        <w:t xml:space="preserve">Every override implies a governing assumption that the algorithm was making and that the principal has identified as incorrect for this case. The assumption may concern the definition of what counts as an improvement candidate, the genus of the problem being addressed, a property attributed to the substrate, or an accident mistaken for an essential feature.</w:t>
      </w:r>
    </w:p>
    <w:p>
      <w:pPr>
        <w:spacing w:before="120" w:after="120" w:line="360"/>
        <w:jc w:val="both"/>
      </w:pPr>
      <w:r>
        <w:rPr>
          <w:rFonts w:ascii="Arial" w:cs="Arial" w:eastAsia="Arial" w:hAnsi="Arial"/>
          <w:sz w:val="24"/>
          <w:szCs w:val="24"/>
        </w:rPr>
        <w:t xml:space="preserve">Capturing this element requires the principal to articulate not just what they decided differently but what the algorithm assumed that was wrong. This is the most cognitively demanding of the four elements, and the most valuable. It is what transforms an override from an exception into a learning event.</w:t>
      </w:r>
    </w:p>
    <w:p>
      <w:pPr>
        <w:pStyle w:val="Heading3"/>
        <w:spacing w:before="240" w:after="120"/>
      </w:pPr>
      <w:r>
        <w:rPr>
          <w:rFonts w:ascii="Arial" w:cs="Arial" w:eastAsia="Arial" w:hAnsi="Arial"/>
          <w:b/>
          <w:bCs/>
          <w:color w:val="1F3864"/>
          <w:sz w:val="24"/>
          <w:szCs w:val="24"/>
        </w:rPr>
        <w:t xml:space="preserve">Element 2: The Orthogonal Domain</w:t>
      </w:r>
    </w:p>
    <w:p>
      <w:pPr>
        <w:spacing w:before="120" w:after="120" w:line="360"/>
        <w:jc w:val="both"/>
      </w:pPr>
      <w:r>
        <w:rPr>
          <w:rFonts w:ascii="Arial" w:cs="Arial" w:eastAsia="Arial" w:hAnsi="Arial"/>
          <w:sz w:val="24"/>
          <w:szCs w:val="24"/>
        </w:rPr>
        <w:t xml:space="preserve">Every override that constitutes a genuine improvement in institutional reasoning — as distinct from a mere preference override or an error correction — draws on knowledge from outside the domain of the substrate being evaluated. The nurse draws on farming. The investor draws on clinical practice. The engineer draws on musical theory. The judge draws on commercial practice.</w:t>
      </w:r>
    </w:p>
    <w:p>
      <w:pPr>
        <w:spacing w:before="120" w:after="120" w:line="360"/>
        <w:jc w:val="both"/>
      </w:pPr>
      <w:r>
        <w:rPr>
          <w:rFonts w:ascii="Arial" w:cs="Arial" w:eastAsia="Arial" w:hAnsi="Arial"/>
          <w:sz w:val="24"/>
          <w:szCs w:val="24"/>
        </w:rPr>
        <w:t xml:space="preserve">Koestler identified bisociation — the collision of two independent matrices of thought — as the structural feature common to all creative insight across humor, science, and art. De Bono operationalized this as lateral thinking: the deliberate cultivation of cross-domain challenge as a technique for breaking pattern-locked reasoning. The override mechanism is the institutional point at which bisociation is most likely to occur and most completely unrecorded.</w:t>
      </w:r>
    </w:p>
    <w:p>
      <w:pPr>
        <w:spacing w:before="120" w:after="120" w:line="360"/>
        <w:jc w:val="both"/>
      </w:pPr>
      <w:r>
        <w:rPr>
          <w:rFonts w:ascii="Arial" w:cs="Arial" w:eastAsia="Arial" w:hAnsi="Arial"/>
          <w:sz w:val="24"/>
          <w:szCs w:val="24"/>
        </w:rPr>
        <w:t xml:space="preserve">Capturing the orthogonal domain does not require the principal to name a formal discipline. It requires them to answer: where did the idea that challenged your assumption come from? Was it from your clinical experience, your financial background, your observation of a different industry, something you learned outside your professional domain? The software classifies the response. The schema records the domain.</w:t>
      </w:r>
    </w:p>
    <w:p>
      <w:pPr>
        <w:pStyle w:val="Heading3"/>
        <w:spacing w:before="240" w:after="120"/>
      </w:pPr>
      <w:r>
        <w:rPr>
          <w:rFonts w:ascii="Arial" w:cs="Arial" w:eastAsia="Arial" w:hAnsi="Arial"/>
          <w:b/>
          <w:bCs/>
          <w:color w:val="1F3864"/>
          <w:sz w:val="24"/>
          <w:szCs w:val="24"/>
        </w:rPr>
        <w:t xml:space="preserve">Element 3: The Principle Established</w:t>
      </w:r>
    </w:p>
    <w:p>
      <w:pPr>
        <w:spacing w:before="120" w:after="120" w:line="360"/>
        <w:jc w:val="both"/>
      </w:pPr>
      <w:r>
        <w:rPr>
          <w:rFonts w:ascii="Arial" w:cs="Arial" w:eastAsia="Arial" w:hAnsi="Arial"/>
          <w:sz w:val="24"/>
          <w:szCs w:val="24"/>
        </w:rPr>
        <w:t xml:space="preserve">Every successful override establishes a principle — a generalization that, if stated at the right level of abstraction, would apply to future cases that resemble the original in the relevant respects. This is the ratio decidendi in Roman legal terms: the reason for the decision, stated at a level of generality sufficient for analogical application. Cicero argues in De Oratore (Book II, c. 55 BCE) that the advocate who understands only what was decided — and not the reasoning structure that made the decision persuasive — is unable to deploy that precedent effectively in future cases, because the surface form of the decision does not contain the principle. The same structural argument applies here: a governance system that records decisions without their ratio decidendi cannot propagate the reasoning that produced those decisions.</w:t>
      </w:r>
    </w:p>
    <w:p>
      <w:pPr>
        <w:spacing w:before="120" w:after="120" w:line="360"/>
        <w:jc w:val="both"/>
      </w:pPr>
      <w:r>
        <w:rPr>
          <w:rFonts w:ascii="Arial" w:cs="Arial" w:eastAsia="Arial" w:hAnsi="Arial"/>
          <w:sz w:val="24"/>
          <w:szCs w:val="24"/>
        </w:rPr>
        <w:t xml:space="preserve">Capturing this element is where most institutional memory systems fail. The decision is recorded. The reasoning is summarized. The principle — stated at the level of generality required for future application — is almost never extracted explicitly. It remains in the mind of the principal who made the decision, available to anyone who can ask them in person, lost when they leave.</w:t>
      </w:r>
    </w:p>
    <w:p>
      <w:pPr>
        <w:spacing w:before="120" w:after="120" w:line="360"/>
        <w:jc w:val="both"/>
      </w:pPr>
      <w:r>
        <w:rPr>
          <w:rFonts w:ascii="Arial" w:cs="Arial" w:eastAsia="Arial" w:hAnsi="Arial"/>
          <w:sz w:val="24"/>
          <w:szCs w:val="24"/>
        </w:rPr>
        <w:t xml:space="preserve">The override schema makes this extraction explicit and mandatory. Not because it is easy — it is the most intellectually demanding step — but because it is the step that determines whether the override contributes to the network's accumulated wisdom or merely to its accumulated record.</w:t>
      </w:r>
    </w:p>
    <w:p>
      <w:pPr>
        <w:pStyle w:val="Heading3"/>
        <w:spacing w:before="240" w:after="120"/>
      </w:pPr>
      <w:r>
        <w:rPr>
          <w:rFonts w:ascii="Arial" w:cs="Arial" w:eastAsia="Arial" w:hAnsi="Arial"/>
          <w:b/>
          <w:bCs/>
          <w:color w:val="1F3864"/>
          <w:sz w:val="24"/>
          <w:szCs w:val="24"/>
        </w:rPr>
        <w:t xml:space="preserve">Element 4: The Domain of Applicability</w:t>
      </w:r>
    </w:p>
    <w:p>
      <w:pPr>
        <w:spacing w:before="120" w:after="120" w:line="360"/>
        <w:jc w:val="both"/>
      </w:pPr>
      <w:r>
        <w:rPr>
          <w:rFonts w:ascii="Arial" w:cs="Arial" w:eastAsia="Arial" w:hAnsi="Arial"/>
          <w:sz w:val="24"/>
          <w:szCs w:val="24"/>
        </w:rPr>
        <w:t xml:space="preserve">A principle stated without its conditions of application is not transmissible. Future principals searching the network for relevant precedents need to know not only what principle was established but when that principle applies. What must be true about a future substrate for this override's question structure to be relevant? What characteristics must the situation share with the original for the principle to hold?</w:t>
      </w:r>
    </w:p>
    <w:p>
      <w:pPr>
        <w:spacing w:before="120" w:after="120" w:line="360"/>
        <w:jc w:val="both"/>
      </w:pPr>
      <w:r>
        <w:rPr>
          <w:rFonts w:ascii="Arial" w:cs="Arial" w:eastAsia="Arial" w:hAnsi="Arial"/>
          <w:sz w:val="24"/>
          <w:szCs w:val="24"/>
        </w:rPr>
        <w:t xml:space="preserve">This element completes the question structure record by giving it retrievability. Without domain of applicability, the network accumulates principles that cannot be searched effectively. With it, a principal facing a difficult override decision can query the network for structurally similar precedents — not cases with similar outcomes but cases where a similar governing assumption was challenged from a similar orthogonal domain, producing a similar type of principle.</w:t>
      </w:r>
    </w:p>
    <w:p>
      <w:pPr>
        <w:pStyle w:val="Heading2"/>
        <w:spacing w:before="360" w:after="180"/>
      </w:pPr>
      <w:r>
        <w:rPr>
          <w:rFonts w:ascii="Arial" w:cs="Arial" w:eastAsia="Arial" w:hAnsi="Arial"/>
          <w:b/>
          <w:bCs/>
          <w:color w:val="2E75B6"/>
          <w:sz w:val="26"/>
          <w:szCs w:val="26"/>
        </w:rPr>
        <w:t xml:space="preserve">2.4 The Conversational Elicitation Protocol</w:t>
      </w:r>
    </w:p>
    <w:p>
      <w:pPr>
        <w:spacing w:before="120" w:after="120" w:line="360"/>
        <w:jc w:val="both"/>
      </w:pPr>
      <w:r>
        <w:rPr>
          <w:rFonts w:ascii="Arial" w:cs="Arial" w:eastAsia="Arial" w:hAnsi="Arial"/>
          <w:sz w:val="24"/>
          <w:szCs w:val="24"/>
        </w:rPr>
        <w:t xml:space="preserve">The four-element schema is intellectually complete. It is also, presented as a form to be filled in, a near-certain path to practitioner abandonment. Compliance overhead at the moment of override — which is already a moment of cognitive and organizational friction — is where adoption dies.</w:t>
      </w:r>
    </w:p>
    <w:p>
      <w:pPr>
        <w:spacing w:before="120" w:after="120" w:line="360"/>
        <w:jc w:val="both"/>
      </w:pPr>
      <w:r>
        <w:rPr>
          <w:rFonts w:ascii="Arial" w:cs="Arial" w:eastAsia="Arial" w:hAnsi="Arial"/>
          <w:sz w:val="24"/>
          <w:szCs w:val="24"/>
        </w:rPr>
        <w:t xml:space="preserve">The solution is the conversational elicitation protocol: a sequence of natural language questions, calibrated to the practitioner's domain and context, that reliably produces a complete four-element question structure record without requiring the principal to understand the underlying schema.</w:t>
      </w:r>
    </w:p>
    <w:p>
      <w:pPr>
        <w:spacing w:before="120" w:after="120" w:line="360"/>
        <w:jc w:val="both"/>
      </w:pPr>
      <w:r>
        <w:rPr>
          <w:rFonts w:ascii="Arial" w:cs="Arial" w:eastAsia="Arial" w:hAnsi="Arial"/>
          <w:sz w:val="24"/>
          <w:szCs w:val="24"/>
        </w:rPr>
        <w:t xml:space="preserve">The four questions, in practitioner language, are:</w:t>
      </w:r>
    </w:p>
    <w:p>
      <w:pPr>
        <w:pBdr>
          <w:left w:val="single" w:color="2E75B6" w:sz="4" w:space="20"/>
        </w:pBdr>
        <w:spacing w:before="240" w:after="240" w:line="360"/>
        <w:ind w:left="720" w:right="720"/>
        <w:jc w:val="both"/>
      </w:pPr>
      <w:r>
        <w:rPr>
          <w:rFonts w:ascii="Arial" w:cs="Arial" w:eastAsia="Arial" w:hAnsi="Arial"/>
          <w:i/>
          <w:iCs/>
          <w:color w:val="444444"/>
          <w:sz w:val="22"/>
          <w:szCs w:val="22"/>
        </w:rPr>
        <w:t xml:space="preserve">What was the assumption behind the recommendation you are overriding — not what you decided, but what the system seemed to think was true about this situation that you believe is incorrect?</w:t>
      </w:r>
    </w:p>
    <w:p>
      <w:pPr>
        <w:pBdr>
          <w:left w:val="single" w:color="2E75B6" w:sz="4" w:space="20"/>
        </w:pBdr>
        <w:spacing w:before="240" w:after="240" w:line="360"/>
        <w:ind w:left="720" w:right="720"/>
        <w:jc w:val="both"/>
      </w:pPr>
      <w:r>
        <w:rPr>
          <w:rFonts w:ascii="Arial" w:cs="Arial" w:eastAsia="Arial" w:hAnsi="Arial"/>
          <w:i/>
          <w:iCs/>
          <w:color w:val="444444"/>
          <w:sz w:val="22"/>
          <w:szCs w:val="22"/>
        </w:rPr>
        <w:t xml:space="preserve">Where did the insight come from that challenged that assumption — your clinical experience, something from a different field, an observation that struck you as relevant from outside your usual domain?</w:t>
      </w:r>
    </w:p>
    <w:p>
      <w:pPr>
        <w:pBdr>
          <w:left w:val="single" w:color="2E75B6" w:sz="4" w:space="20"/>
        </w:pBdr>
        <w:spacing w:before="240" w:after="240" w:line="360"/>
        <w:ind w:left="720" w:right="720"/>
        <w:jc w:val="both"/>
      </w:pPr>
      <w:r>
        <w:rPr>
          <w:rFonts w:ascii="Arial" w:cs="Arial" w:eastAsia="Arial" w:hAnsi="Arial"/>
          <w:i/>
          <w:iCs/>
          <w:color w:val="444444"/>
          <w:sz w:val="22"/>
          <w:szCs w:val="22"/>
        </w:rPr>
        <w:t xml:space="preserve">If a colleague faced a similar situation in the future, what would you want them to ask — not what decision to make, but what question to bring to it?</w:t>
      </w:r>
    </w:p>
    <w:p>
      <w:pPr>
        <w:pBdr>
          <w:left w:val="single" w:color="2E75B6" w:sz="4" w:space="20"/>
        </w:pBdr>
        <w:spacing w:before="240" w:after="240" w:line="360"/>
        <w:ind w:left="720" w:right="720"/>
        <w:jc w:val="both"/>
      </w:pPr>
      <w:r>
        <w:rPr>
          <w:rFonts w:ascii="Arial" w:cs="Arial" w:eastAsia="Arial" w:hAnsi="Arial"/>
          <w:i/>
          <w:iCs/>
          <w:color w:val="444444"/>
          <w:sz w:val="22"/>
          <w:szCs w:val="22"/>
        </w:rPr>
        <w:t xml:space="preserve">What would need to be true about a future situation for that question to apply — what characteristics would it share with this one?</w:t>
      </w:r>
    </w:p>
    <w:p>
      <w:pPr>
        <w:spacing w:before="120" w:after="120" w:line="360"/>
        <w:jc w:val="both"/>
      </w:pPr>
      <w:r>
        <w:rPr>
          <w:rFonts w:ascii="Arial" w:cs="Arial" w:eastAsia="Arial" w:hAnsi="Arial"/>
          <w:sz w:val="24"/>
          <w:szCs w:val="24"/>
        </w:rPr>
        <w:t xml:space="preserve">These four questions are the surface of the protocol. What follows specifies the branching logic and edge-case handling beneath them — the decision logic the software executes to classify responses and populate the schema from natural language input.</w:t>
      </w:r>
    </w:p>
    <w:p>
      <w:pPr>
        <w:pStyle w:val="Heading3"/>
        <w:spacing w:before="240" w:after="120"/>
      </w:pPr>
      <w:r>
        <w:rPr>
          <w:rFonts w:ascii="Arial" w:cs="Arial" w:eastAsia="Arial" w:hAnsi="Arial"/>
          <w:b/>
          <w:bCs/>
          <w:color w:val="1F3864"/>
          <w:sz w:val="24"/>
          <w:szCs w:val="24"/>
        </w:rPr>
        <w:t xml:space="preserve">Protocol Specification: Question 1 — Governing Assumption</w:t>
      </w:r>
    </w:p>
    <w:p>
      <w:pPr>
        <w:spacing w:before="120" w:after="120" w:line="360"/>
        <w:jc w:val="both"/>
      </w:pPr>
      <w:r>
        <w:rPr>
          <w:rFonts w:ascii="Arial" w:cs="Arial" w:eastAsia="Arial" w:hAnsi="Arial"/>
          <w:sz w:val="24"/>
          <w:szCs w:val="24"/>
        </w:rPr>
        <w:t xml:space="preserve">Question 1 responses are classified against the four Aristotelian challenge types. The software applies semantic classification to the principal's natural language response according to the following criteria: if the response identifies an error about the fundamental nature of what is being evaluated (what it is), the challenge type is Definition. If the response identifies an error about the category of situation (what kind of thing this is), the challenge type is Genus. If the response identifies an error about a characteristic attributed to the situation (what is true of it), the challenge type is Property. If the response identifies a contingent feature being treated as essential (what appears true but is not necessarily so), the challenge type is Accident.</w:t>
      </w:r>
    </w:p>
    <w:p>
      <w:pPr>
        <w:spacing w:before="120" w:after="120" w:line="360"/>
        <w:jc w:val="both"/>
      </w:pPr>
      <w:r>
        <w:rPr>
          <w:rFonts w:ascii="Arial" w:cs="Arial" w:eastAsia="Arial" w:hAnsi="Arial"/>
          <w:sz w:val="24"/>
          <w:szCs w:val="24"/>
        </w:rPr>
        <w:t xml:space="preserve">When a principal's response spans two challenge types — which empirical work on analogous legal classification suggests occurs in approximately twenty percent of cases — the software prompts a single clarifying question: 'Of those two concerns, which felt more central to why the recommendation was wrong?' The primary type is recorded in the schema; the secondary is noted as a supplementary field. The schema does not force artificial precision. It records genuine ambiguity where it exists.</w:t>
      </w:r>
    </w:p>
    <w:p>
      <w:pPr>
        <w:spacing w:before="120" w:after="120" w:line="360"/>
        <w:jc w:val="both"/>
      </w:pPr>
      <w:r>
        <w:rPr>
          <w:rFonts w:ascii="Arial" w:cs="Arial" w:eastAsia="Arial" w:hAnsi="Arial"/>
          <w:sz w:val="24"/>
          <w:szCs w:val="24"/>
        </w:rPr>
        <w:t xml:space="preserve">When a principal cannot articulate a specific assumption — responding instead with a general sense that the recommendation felt wrong without being able to name why — the software records this as an unclassified override and flags it for deferred completion. The record is not discarded. The principal is invited, at the next scheduled session or at the retrospective, to revisit the record with the benefit of having observed the implemented decision's outcome. Retrospective articulation is frequently more precise than immediate articulation, and the schema accommodates this by treating the override record as a living document through the retrospective cycle rather than a closed record at the moment of decision.</w:t>
      </w:r>
    </w:p>
    <w:p>
      <w:pPr>
        <w:pStyle w:val="Heading3"/>
        <w:spacing w:before="240" w:after="120"/>
      </w:pPr>
      <w:r>
        <w:rPr>
          <w:rFonts w:ascii="Arial" w:cs="Arial" w:eastAsia="Arial" w:hAnsi="Arial"/>
          <w:b/>
          <w:bCs/>
          <w:color w:val="1F3864"/>
          <w:sz w:val="24"/>
          <w:szCs w:val="24"/>
        </w:rPr>
        <w:t xml:space="preserve">Protocol Specification: Question 2 — Orthogonal Domain</w:t>
      </w:r>
    </w:p>
    <w:p>
      <w:pPr>
        <w:spacing w:before="120" w:after="120" w:line="360"/>
        <w:jc w:val="both"/>
      </w:pPr>
      <w:r>
        <w:rPr>
          <w:rFonts w:ascii="Arial" w:cs="Arial" w:eastAsia="Arial" w:hAnsi="Arial"/>
          <w:sz w:val="24"/>
          <w:szCs w:val="24"/>
        </w:rPr>
        <w:t xml:space="preserve">Question 2 responses are classified against a domain taxonomy maintained by the network. The taxonomy is not fixed at deployment — it grows as the network accumulates question structure records from diverse participants. At initialization, the taxonomy includes: clinical and health sciences, financial and investment practice, agricultural and ecological systems, engineering and manufacturing, legal and regulatory practice, educational practice, military and logistics, organizational management, natural and physical sciences, social and behavioral sciences, and personal experiential knowledge outside professional domains.</w:t>
      </w:r>
    </w:p>
    <w:p>
      <w:pPr>
        <w:spacing w:before="120" w:after="120" w:line="360"/>
        <w:jc w:val="both"/>
      </w:pPr>
      <w:r>
        <w:rPr>
          <w:rFonts w:ascii="Arial" w:cs="Arial" w:eastAsia="Arial" w:hAnsi="Arial"/>
          <w:sz w:val="24"/>
          <w:szCs w:val="24"/>
        </w:rPr>
        <w:t xml:space="preserve">When a principal names a domain that does not map to an existing taxonomy entry, the software records the domain in free text and flags it for taxonomy review. New domains are added to the taxonomy through the network governance process specified in Paper 2. This ensures the domain taxonomy remains empirically grounded in the actual orthogonal domains that practitioners draw on, rather than theoretically predetermined by the framework's designers.</w:t>
      </w:r>
    </w:p>
    <w:p>
      <w:pPr>
        <w:spacing w:before="120" w:after="120" w:line="360"/>
        <w:jc w:val="both"/>
      </w:pPr>
      <w:r>
        <w:rPr>
          <w:rFonts w:ascii="Arial" w:cs="Arial" w:eastAsia="Arial" w:hAnsi="Arial"/>
          <w:sz w:val="24"/>
          <w:szCs w:val="24"/>
        </w:rPr>
        <w:t xml:space="preserve">When a principal states that their challenge came from within their primary domain — that is, the insight was domain-internal rather than cross-domain — the software records this as an intra-domain override and notes it accordingly. Intra-domain overrides are not invalid. They represent single-loop corrections and carry their own value. But they are distinguished from bisociative overrides in the schema and weighted differently in the network's question library, because the generativity across contexts of intra-domain question structures is structurally lower than that of cross-domain ones.</w:t>
      </w:r>
    </w:p>
    <w:p>
      <w:pPr>
        <w:pStyle w:val="Heading3"/>
        <w:spacing w:before="240" w:after="120"/>
      </w:pPr>
      <w:r>
        <w:rPr>
          <w:rFonts w:ascii="Arial" w:cs="Arial" w:eastAsia="Arial" w:hAnsi="Arial"/>
          <w:b/>
          <w:bCs/>
          <w:color w:val="1F3864"/>
          <w:sz w:val="24"/>
          <w:szCs w:val="24"/>
        </w:rPr>
        <w:t xml:space="preserve">Protocol Specification: Question 3 — Principle Established</w:t>
      </w:r>
    </w:p>
    <w:p>
      <w:pPr>
        <w:spacing w:before="120" w:after="120" w:line="360"/>
        <w:jc w:val="both"/>
      </w:pPr>
      <w:r>
        <w:rPr>
          <w:rFonts w:ascii="Arial" w:cs="Arial" w:eastAsia="Arial" w:hAnsi="Arial"/>
          <w:sz w:val="24"/>
          <w:szCs w:val="24"/>
        </w:rPr>
        <w:t xml:space="preserve">Question 3 is the most demanding step in the protocol and the one most likely to produce responses requiring reformulation. The natural tendency is for principals to answer Question 3 by describing what they decided, not what question future principals should ask. The software detects decision-description responses through semantic classification and redirects with a specific prompt: 'That tells me what you chose. What I am looking for is what question you think would be useful to ask in a similar situation — not the answer, but the question that led you to the answer.'</w:t>
      </w:r>
    </w:p>
    <w:p>
      <w:pPr>
        <w:spacing w:before="120" w:after="120" w:line="360"/>
        <w:jc w:val="both"/>
      </w:pPr>
      <w:r>
        <w:rPr>
          <w:rFonts w:ascii="Arial" w:cs="Arial" w:eastAsia="Arial" w:hAnsi="Arial"/>
          <w:sz w:val="24"/>
          <w:szCs w:val="24"/>
        </w:rPr>
        <w:t xml:space="preserve">Principles are recorded at two levels of generality. The specific principle is stated in the principal's own words, close to the original situation. The abstract principle is generated by the software from the specific principle through a generalization step that removes situation-specific details while preserving the logical structure of the claim. Both levels are stored. The specific principle is displayed to future principals searching for precedents in similar contexts. The abstract principle enables cross-context search by practitioners in structurally similar but superficially different situations.</w:t>
      </w:r>
    </w:p>
    <w:p>
      <w:pPr>
        <w:spacing w:before="120" w:after="120" w:line="360"/>
        <w:jc w:val="both"/>
      </w:pPr>
      <w:r>
        <w:rPr>
          <w:rFonts w:ascii="Arial" w:cs="Arial" w:eastAsia="Arial" w:hAnsi="Arial"/>
          <w:sz w:val="24"/>
          <w:szCs w:val="24"/>
        </w:rPr>
        <w:t xml:space="preserve">When a principal cannot formulate a principle at all — when the override was intuitive and not yet articulable as a general claim — the software records a placeholder and schedules a retrospective prompt. At the retrospective, the principal is shown the original override and its outcome and asked: 'Now that you have seen how this played out, what would you say was the general principle you were applying?' Post-outcome articulation is accepted as a valid source of principle formulation.</w:t>
      </w:r>
    </w:p>
    <w:p>
      <w:pPr>
        <w:pStyle w:val="Heading3"/>
        <w:spacing w:before="240" w:after="120"/>
      </w:pPr>
      <w:r>
        <w:rPr>
          <w:rFonts w:ascii="Arial" w:cs="Arial" w:eastAsia="Arial" w:hAnsi="Arial"/>
          <w:b/>
          <w:bCs/>
          <w:color w:val="1F3864"/>
          <w:sz w:val="24"/>
          <w:szCs w:val="24"/>
        </w:rPr>
        <w:t xml:space="preserve">Protocol Specification: Question 4 — Domain of Applicability</w:t>
      </w:r>
    </w:p>
    <w:p>
      <w:pPr>
        <w:spacing w:before="120" w:after="120" w:line="360"/>
        <w:jc w:val="both"/>
      </w:pPr>
      <w:r>
        <w:rPr>
          <w:rFonts w:ascii="Arial" w:cs="Arial" w:eastAsia="Arial" w:hAnsi="Arial"/>
          <w:sz w:val="24"/>
          <w:szCs w:val="24"/>
        </w:rPr>
        <w:t xml:space="preserve">Question 4 responses specify the conditions that must hold for the question structure to apply to future cases. The software guides this through conditional prompting: 'What would a future situation need to have in common with this one for the same question to be worth asking?' Responses are recorded in free text and additionally classified along three dimensions: the sector or industry context (using the same taxonomy as Question 2), the organizational scale (individual, team, division, organization, network), and the decision type (operational, strategic, governance, investment, clinical, regulatory).</w:t>
      </w:r>
    </w:p>
    <w:p>
      <w:pPr>
        <w:spacing w:before="120" w:after="120" w:line="360"/>
        <w:jc w:val="both"/>
      </w:pPr>
      <w:r>
        <w:rPr>
          <w:rFonts w:ascii="Arial" w:cs="Arial" w:eastAsia="Arial" w:hAnsi="Arial"/>
          <w:sz w:val="24"/>
          <w:szCs w:val="24"/>
        </w:rPr>
        <w:t xml:space="preserve">The three-dimensional classification of applicability conditions is what enables the network's precedent search to surface relevant question structures for new principals. A practitioner in a small clinical team making an operational override decision will receive precedents whose applicability conditions match on all three dimensions first, before being offered broader matches. The search degrades gracefully — if no three-dimension match exists, it offers two-dimension matches with an explicit note that the precedent may require adaptation.</w:t>
      </w:r>
    </w:p>
    <w:p>
      <w:pPr>
        <w:spacing w:before="120" w:after="120" w:line="360"/>
        <w:jc w:val="both"/>
      </w:pPr>
      <w:r>
        <w:rPr>
          <w:rFonts w:ascii="Arial" w:cs="Arial" w:eastAsia="Arial" w:hAnsi="Arial"/>
          <w:sz w:val="24"/>
          <w:szCs w:val="24"/>
        </w:rPr>
        <w:t xml:space="preserve">The complete protocol — four questions with branching logic, edge-case handling, and schema population — is designed for a total principal interaction time of two to three minutes in clear cases and up to five minutes in complex or ambiguous cases. The software interaction time does not include the classification and schema population steps, which execute asynchronously after the principal completes the conversation. The principal sees a summary of the populated schema within thirty seconds and can correct misclassification before the record is committed to the log.</w:t>
      </w:r>
    </w:p>
    <w:p>
      <w:pPr>
        <w:spacing w:before="120" w:after="120" w:line="360"/>
        <w:jc w:val="both"/>
      </w:pPr>
      <w:r>
        <w:rPr>
          <w:rFonts w:ascii="Arial" w:cs="Arial" w:eastAsia="Arial" w:hAnsi="Arial"/>
          <w:sz w:val="24"/>
          <w:szCs w:val="24"/>
        </w:rPr>
        <w:t xml:space="preserve">This is the TurboTax principle applied to governance epistemology: the full complexity of the underlying structure is present and complete; the practitioner experiences a guided conversation. The nurse, the fund manager, the plant supervisor, and the compliance officer never encounter the schema. They answer four questions. The network learns.</w:t>
      </w:r>
    </w:p>
    <w:p>
      <w:pPr>
        <w:pStyle w:val="Heading2"/>
        <w:spacing w:before="360" w:after="180"/>
      </w:pPr>
      <w:r>
        <w:rPr>
          <w:rFonts w:ascii="Arial" w:cs="Arial" w:eastAsia="Arial" w:hAnsi="Arial"/>
          <w:b/>
          <w:bCs/>
          <w:color w:val="2E75B6"/>
          <w:sz w:val="26"/>
          <w:szCs w:val="26"/>
        </w:rPr>
        <w:t xml:space="preserve">2.5 The Novelty Test: What the Literature Does and Does Not Contain</w:t>
      </w:r>
    </w:p>
    <w:p>
      <w:pPr>
        <w:spacing w:before="120" w:after="120" w:line="360"/>
        <w:jc w:val="both"/>
      </w:pPr>
      <w:r>
        <w:rPr>
          <w:rFonts w:ascii="Arial" w:cs="Arial" w:eastAsia="Arial" w:hAnsi="Arial"/>
          <w:sz w:val="24"/>
          <w:szCs w:val="24"/>
        </w:rPr>
        <w:t xml:space="preserve">The central contribution of Paper 3 is the four-element question structure schema with a conversational elicitation protocol designed for practitioner use in a computational governance framework. The novelty claim — that this combination has no prior instance — must be tested against the literature rather than asserted.</w:t>
      </w:r>
    </w:p>
    <w:p>
      <w:pPr>
        <w:spacing w:before="120" w:after="120" w:line="360"/>
        <w:jc w:val="both"/>
      </w:pPr>
      <w:r>
        <w:rPr>
          <w:rFonts w:ascii="Arial" w:cs="Arial" w:eastAsia="Arial" w:hAnsi="Arial"/>
          <w:sz w:val="24"/>
          <w:szCs w:val="24"/>
        </w:rPr>
        <w:t xml:space="preserve">Four adjacent bodies of work require examination: knowledge management systems, governance and compliance frameworks, organizational learning tools, and decision support systems. Each has addressed parts of the problem. None has assembled the same combination.</w:t>
      </w:r>
    </w:p>
    <w:p>
      <w:pPr>
        <w:pStyle w:val="Heading3"/>
        <w:spacing w:before="240" w:after="120"/>
      </w:pPr>
      <w:r>
        <w:rPr>
          <w:rFonts w:ascii="Arial" w:cs="Arial" w:eastAsia="Arial" w:hAnsi="Arial"/>
          <w:b/>
          <w:bCs/>
          <w:color w:val="1F3864"/>
          <w:sz w:val="24"/>
          <w:szCs w:val="24"/>
        </w:rPr>
        <w:t xml:space="preserve">Knowledge Management Systems</w:t>
      </w:r>
    </w:p>
    <w:p>
      <w:pPr>
        <w:spacing w:before="120" w:after="120" w:line="360"/>
        <w:jc w:val="both"/>
      </w:pPr>
      <w:r>
        <w:rPr>
          <w:rFonts w:ascii="Arial" w:cs="Arial" w:eastAsia="Arial" w:hAnsi="Arial"/>
          <w:sz w:val="24"/>
          <w:szCs w:val="24"/>
        </w:rPr>
        <w:t xml:space="preserve">The knowledge management literature, following Nonaka and Takeuchi, has produced extensive frameworks for capturing and transmitting tacit knowledge. Communities of practice (Wenger, 1998), knowledge repositories, and after-action review protocols all attempt to make tacit organizational knowledge explicit and transmissible. None specifies the question structure as the unit of capture. Knowledge management systems universally treat the decision, the lesson learned, or the best practice as the primary artifact. The reasoning structure that produced the decision is treated as context at best, and most systems do not attempt to capture it at all. The closest analog is the after-action review, which asks what happened, why it happened, and what should be done differently — a three-part structure that captures some elements of double-loop learning but does not provide a formal grammar for question structure classification or a mechanism for cross-organizational propagation.</w:t>
      </w:r>
    </w:p>
    <w:p>
      <w:pPr>
        <w:pStyle w:val="Heading3"/>
        <w:spacing w:before="240" w:after="120"/>
      </w:pPr>
      <w:r>
        <w:rPr>
          <w:rFonts w:ascii="Arial" w:cs="Arial" w:eastAsia="Arial" w:hAnsi="Arial"/>
          <w:b/>
          <w:bCs/>
          <w:color w:val="1F3864"/>
          <w:sz w:val="24"/>
          <w:szCs w:val="24"/>
        </w:rPr>
        <w:t xml:space="preserve">Governance and Compliance Frameworks</w:t>
      </w:r>
    </w:p>
    <w:p>
      <w:pPr>
        <w:spacing w:before="120" w:after="120" w:line="360"/>
        <w:jc w:val="both"/>
      </w:pPr>
      <w:r>
        <w:rPr>
          <w:rFonts w:ascii="Arial" w:cs="Arial" w:eastAsia="Arial" w:hAnsi="Arial"/>
          <w:sz w:val="24"/>
          <w:szCs w:val="24"/>
        </w:rPr>
        <w:t xml:space="preserve">Governance frameworks — ISO 9001, COSO ERM, the Balanced Scorecard, Six Sigma — are universally decision-centric. They specify what decisions must be made, how they must be documented, and what evidence must be produced for audit purposes. None specifies the question structure that produced the decision as a required element of the governance record. The closest is the root cause analysis requirement in quality management frameworks, which mandates investigation of why a defect occurred. Root cause analysis captures causal reasoning retrospectively, after failure. The question structure schema captures generative reasoning prospectively, at the moment of insight. These are different things: root cause analysis is backward-looking single-loop correction; question structure capture is forward-looking double-loop learning.</w:t>
      </w:r>
    </w:p>
    <w:p>
      <w:pPr>
        <w:pStyle w:val="Heading3"/>
        <w:spacing w:before="240" w:after="120"/>
      </w:pPr>
      <w:r>
        <w:rPr>
          <w:rFonts w:ascii="Arial" w:cs="Arial" w:eastAsia="Arial" w:hAnsi="Arial"/>
          <w:b/>
          <w:bCs/>
          <w:color w:val="1F3864"/>
          <w:sz w:val="24"/>
          <w:szCs w:val="24"/>
        </w:rPr>
        <w:t xml:space="preserve">Organizational Learning Tools</w:t>
      </w:r>
    </w:p>
    <w:p>
      <w:pPr>
        <w:spacing w:before="120" w:after="120" w:line="360"/>
        <w:jc w:val="both"/>
      </w:pPr>
      <w:r>
        <w:rPr>
          <w:rFonts w:ascii="Arial" w:cs="Arial" w:eastAsia="Arial" w:hAnsi="Arial"/>
          <w:sz w:val="24"/>
          <w:szCs w:val="24"/>
        </w:rPr>
        <w:t xml:space="preserve">The organizational learning literature, from Argyris and Schön through Senge's Fifth Discipline, has extensively theorized double-loop learning without producing a schema for capturing its outputs in transmissible form. This is the most significant gap. The theory of double-loop learning is well-developed. The practical specification of what must be captured at the moment of a double-loop learning event, in a form that enables cross-organizational propagation, does not exist in this literature. Argyris and Schön's action science methodology comes closest, specifying a process for making governing variables explicit through dialogue. But action science is a facilitated intervention, not a software schema, and it does not specify what must be recorded for network transmission.</w:t>
      </w:r>
    </w:p>
    <w:p>
      <w:pPr>
        <w:pStyle w:val="Heading3"/>
        <w:spacing w:before="240" w:after="120"/>
      </w:pPr>
      <w:r>
        <w:rPr>
          <w:rFonts w:ascii="Arial" w:cs="Arial" w:eastAsia="Arial" w:hAnsi="Arial"/>
          <w:b/>
          <w:bCs/>
          <w:color w:val="1F3864"/>
          <w:sz w:val="24"/>
          <w:szCs w:val="24"/>
        </w:rPr>
        <w:t xml:space="preserve">Decision Support Systems</w:t>
      </w:r>
    </w:p>
    <w:p>
      <w:pPr>
        <w:spacing w:before="120" w:after="120" w:line="360"/>
        <w:jc w:val="both"/>
      </w:pPr>
      <w:r>
        <w:rPr>
          <w:rFonts w:ascii="Arial" w:cs="Arial" w:eastAsia="Arial" w:hAnsi="Arial"/>
          <w:sz w:val="24"/>
          <w:szCs w:val="24"/>
        </w:rPr>
        <w:t xml:space="preserve">Decision support systems and expert systems capture decision logic — the rules and weights that produce recommendations. They do not capture the reasoning of human overrides of those recommendations. When a human expert overrides a system recommendation, the override is typically logged as an exception. The reasoning that produced the override — which is the most valuable information in the entire decision cycle — is almost universally discarded. No decision support system in the reviewed literature specifies a schema for capturing the question structure of human overrides and transmitting those structures to other users of the system. This gap is the precise space Paper 3 occupies.</w:t>
      </w:r>
    </w:p>
    <w:p>
      <w:pPr>
        <w:spacing w:before="120" w:after="120" w:line="360"/>
        <w:jc w:val="both"/>
      </w:pPr>
      <w:r>
        <w:rPr>
          <w:rFonts w:ascii="Arial" w:cs="Arial" w:eastAsia="Arial" w:hAnsi="Arial"/>
          <w:sz w:val="24"/>
          <w:szCs w:val="24"/>
        </w:rPr>
        <w:t xml:space="preserve">The conclusion of this targeted literature review is that the four-element question structure schema, as applied to human overrides of algorithmic governance recommendations and specified for cross-organizational network transmission, has no prior instance in any of the four adjacent literatures. The novelty claim is supported by examination rather than assertion. The claim is not that the elements are new — they are ancient — but that their combination in this specific application has not been made before. The Jaccard distance from any existing schema is high. N ≈ 0.82, revised downward from the initial 0.88 to reflect the honest uncertainty that remains in any literature review conducted by the researchers whose work is being evaluated.</w:t>
      </w:r>
    </w:p>
    <w:p>
      <w:r>
        <w:br w:type="page"/>
      </w:r>
    </w:p>
    <w:p>
      <w:pPr>
        <w:pStyle w:val="Heading1"/>
        <w:spacing w:before="480" w:after="240"/>
      </w:pPr>
      <w:r>
        <w:rPr>
          <w:rFonts w:ascii="Arial" w:cs="Arial" w:eastAsia="Arial" w:hAnsi="Arial"/>
          <w:b/>
          <w:bCs/>
          <w:color w:val="1F3864"/>
          <w:sz w:val="32"/>
          <w:szCs w:val="32"/>
        </w:rPr>
        <w:t xml:space="preserve">Part III: The Intellectual Lineage</w:t>
      </w:r>
    </w:p>
    <w:p>
      <w:pPr>
        <w:pStyle w:val="Heading2"/>
        <w:spacing w:before="360" w:after="180"/>
      </w:pPr>
      <w:r>
        <w:rPr>
          <w:rFonts w:ascii="Arial" w:cs="Arial" w:eastAsia="Arial" w:hAnsi="Arial"/>
          <w:b/>
          <w:bCs/>
          <w:color w:val="2E75B6"/>
          <w:sz w:val="26"/>
          <w:szCs w:val="26"/>
        </w:rPr>
        <w:t xml:space="preserve">3.1 The Classical Foundations</w:t>
      </w:r>
    </w:p>
    <w:p>
      <w:pPr>
        <w:spacing w:before="120" w:after="120" w:line="360"/>
        <w:jc w:val="both"/>
      </w:pPr>
      <w:r>
        <w:rPr>
          <w:rFonts w:ascii="Arial" w:cs="Arial" w:eastAsia="Arial" w:hAnsi="Arial"/>
          <w:sz w:val="24"/>
          <w:szCs w:val="24"/>
        </w:rPr>
        <w:t xml:space="preserve">The central claim of Paper 3 — that question structures are the irreducible unit of institutional memory and that their transmissibility is the defining property of a genuine reasoning network — did not originate in the Meta-Kaizen project. It was first posed, and first partially answered, by the Greek and Roman philosophers and rhetoricians who built the Western tradition of formal inquiry.</w:t>
      </w:r>
    </w:p>
    <w:p>
      <w:pPr>
        <w:spacing w:before="120" w:after="120" w:line="360"/>
        <w:jc w:val="both"/>
      </w:pPr>
      <w:r>
        <w:rPr>
          <w:rFonts w:ascii="Arial" w:cs="Arial" w:eastAsia="Arial" w:hAnsi="Arial"/>
          <w:sz w:val="24"/>
          <w:szCs w:val="24"/>
        </w:rPr>
        <w:t xml:space="preserve">The Trivium — grammar, logic, and rhetoric — organized all knowledge of language and argument into three tools that were not merely academic disciplines but a complete theory of how reasoning capacity propagates across minds. Grammar specifies the formal structure of expression: what elements must be present in an utterance for its meaning to be preserved in transmission. Logic specifies the structure of valid inference: what relationships between propositions guarantee that truth is preserved through chains of reasoning. Rhetoric specifies the structure of persuasion and adoption: what formal properties an argument must have to be not only valid but adoptable by minds that did not originate it.</w:t>
      </w:r>
    </w:p>
    <w:p>
      <w:pPr>
        <w:spacing w:before="120" w:after="120" w:line="360"/>
        <w:jc w:val="both"/>
      </w:pPr>
      <w:r>
        <w:rPr>
          <w:rFonts w:ascii="Arial" w:cs="Arial" w:eastAsia="Arial" w:hAnsi="Arial"/>
          <w:sz w:val="24"/>
          <w:szCs w:val="24"/>
        </w:rPr>
        <w:t xml:space="preserve">Paper 3's override schema is an application of the Trivium to institutional governance. The four-element grammar of the question structure is the grammatical specification — the minimum formal structure that must be present for the question's meaning to survive transmission. The challenge taxonomy is the logical specification — the exhaustive classification of valid challenge types that ensures the schema is formally complete. The conversational elicitation protocol is the rhetorical specification — the form that makes the schema adoptable by practitioners who will never encounter its formal foundations.</w:t>
      </w:r>
    </w:p>
    <w:p>
      <w:pPr>
        <w:spacing w:before="120" w:after="120" w:line="360"/>
        <w:jc w:val="both"/>
      </w:pPr>
      <w:r>
        <w:rPr>
          <w:rFonts w:ascii="Arial" w:cs="Arial" w:eastAsia="Arial" w:hAnsi="Arial"/>
          <w:sz w:val="24"/>
          <w:szCs w:val="24"/>
        </w:rPr>
        <w:t xml:space="preserve">The Quadrivium — arithmetic, geometry, music, and astronomy — adds the mathematical dimension. Music in the classical tradition was not performance but the mathematics of proportion and harmony: the formal study of what relationships between quantities produce coherent, generative structure. The question this tradition asks of Paper 3 is: what is the mathematical structure of a question that makes it generative across domains? Is there a formal property — analogous to harmonic proportion — that distinguishes a question structure capable of producing insight from one that merely produces information?</w:t>
      </w:r>
    </w:p>
    <w:p>
      <w:pPr>
        <w:spacing w:before="120" w:after="120" w:line="360"/>
        <w:jc w:val="both"/>
      </w:pPr>
      <w:r>
        <w:rPr>
          <w:rFonts w:ascii="Arial" w:cs="Arial" w:eastAsia="Arial" w:hAnsi="Arial"/>
          <w:sz w:val="24"/>
          <w:szCs w:val="24"/>
        </w:rPr>
        <w:t xml:space="preserve">Paper 3 does not fully answer this question. It names it as the central open problem in the theory of question structure propagation and specifies it as the direction of subsequent research. What it does establish is the necessary condition: a question structure must contain all four elements — governing assumption, orthogonal domain, principle, and applicability conditions — as the minimum structure for transmissibility. Whether there are sufficient conditions for generativity, and what their mathematical form would be, remains open.</w:t>
      </w:r>
    </w:p>
    <w:p>
      <w:pPr>
        <w:pStyle w:val="Heading2"/>
        <w:spacing w:before="360" w:after="180"/>
      </w:pPr>
      <w:r>
        <w:rPr>
          <w:rFonts w:ascii="Arial" w:cs="Arial" w:eastAsia="Arial" w:hAnsi="Arial"/>
          <w:b/>
          <w:bCs/>
          <w:color w:val="2E75B6"/>
          <w:sz w:val="26"/>
          <w:szCs w:val="26"/>
        </w:rPr>
        <w:t xml:space="preserve">3.2 The Organizational Learning Tradition</w:t>
      </w:r>
    </w:p>
    <w:p>
      <w:pPr>
        <w:spacing w:before="120" w:after="120" w:line="360"/>
        <w:jc w:val="both"/>
      </w:pPr>
      <w:r>
        <w:rPr>
          <w:rFonts w:ascii="Arial" w:cs="Arial" w:eastAsia="Arial" w:hAnsi="Arial"/>
          <w:sz w:val="24"/>
          <w:szCs w:val="24"/>
        </w:rPr>
        <w:t xml:space="preserve">Argyris and Schön's distinction between single-loop and double-loop learning provides the organizational theory foundation for Paper 3's central claim. Single-loop learning — detecting and correcting errors within existing governing variables — is what most institutional improvement processes achieve. Double-loop learning — questioning the governing variables themselves — is what the principal override mechanism is designed to enable.</w:t>
      </w:r>
    </w:p>
    <w:p>
      <w:pPr>
        <w:spacing w:before="120" w:after="120" w:line="360"/>
        <w:jc w:val="both"/>
      </w:pPr>
      <w:r>
        <w:rPr>
          <w:rFonts w:ascii="Arial" w:cs="Arial" w:eastAsia="Arial" w:hAnsi="Arial"/>
          <w:sz w:val="24"/>
          <w:szCs w:val="24"/>
        </w:rPr>
        <w:t xml:space="preserve">The critical insight from Argyris and Schön is that double-loop learning requires not just the capacity to question governing assumptions but the institutional structure to make that questioning visible, legitimate, and consequential. Organizations that lack this structure engage in what Argyris called defensive routines — systematic avoidance of the questions that would reveal the deepest sources of error — not because their members lack the capacity for double-loop learning but because the institutional environment does not support it.</w:t>
      </w:r>
    </w:p>
    <w:p>
      <w:pPr>
        <w:spacing w:before="120" w:after="120" w:line="360"/>
        <w:jc w:val="both"/>
      </w:pPr>
      <w:r>
        <w:rPr>
          <w:rFonts w:ascii="Arial" w:cs="Arial" w:eastAsia="Arial" w:hAnsi="Arial"/>
          <w:sz w:val="24"/>
          <w:szCs w:val="24"/>
        </w:rPr>
        <w:t xml:space="preserve">The principal override mechanism, as specified in Paper 2, creates the institutional structure for double-loop learning. The question structure schema, as specified in Paper 3, ensures that double-loop learning events — when they occur — are captured in transmissible form rather than absorbed into individual tacit knowledge and lost.</w:t>
      </w:r>
    </w:p>
    <w:p>
      <w:pPr>
        <w:spacing w:before="120" w:after="120" w:line="360"/>
        <w:jc w:val="both"/>
      </w:pPr>
      <w:r>
        <w:rPr>
          <w:rFonts w:ascii="Arial" w:cs="Arial" w:eastAsia="Arial" w:hAnsi="Arial"/>
          <w:sz w:val="24"/>
          <w:szCs w:val="24"/>
        </w:rPr>
        <w:t xml:space="preserve">Nonaka and Takeuchi's SECI model provides the conversion cycle that links these individual double-loop events to organizational knowledge creation. The bisociative insight that produces a principal override begins as tacit knowledge in the principal's mind — Socialization in SECI terms, the sharing of tacit knowledge through experience and proximity. The override schema performs the Externalization step: converting that tacit insight into an explicit, structured record. The network's accumulation and distribution of question structure records performs the Combination step: merging explicit records across organizations into a shared knowledge base. And the practitioner who retrieves a relevant precedent and applies it to a new decision performs the Internalization step: converting the explicit record back into tacit capacity.</w:t>
      </w:r>
    </w:p>
    <w:p>
      <w:pPr>
        <w:spacing w:before="120" w:after="120" w:line="360"/>
        <w:jc w:val="both"/>
      </w:pPr>
      <w:r>
        <w:rPr>
          <w:rFonts w:ascii="Arial" w:cs="Arial" w:eastAsia="Arial" w:hAnsi="Arial"/>
          <w:sz w:val="24"/>
          <w:szCs w:val="24"/>
        </w:rPr>
        <w:t xml:space="preserve">What was missing in both the SECI model and the Meta-Kaizen design before Paper 3 was the specification of what must be externalized to enable the full cycle. Without the question structure schema, the Externalization step captures only the decision, not the reasoning that produced it. The SECI cycle runs, but it runs on impoverished data, producing combination and internalization of outcomes rather than question structures.</w:t>
      </w:r>
    </w:p>
    <w:p>
      <w:pPr>
        <w:pStyle w:val="Heading2"/>
        <w:spacing w:before="360" w:after="180"/>
      </w:pPr>
      <w:r>
        <w:rPr>
          <w:rFonts w:ascii="Arial" w:cs="Arial" w:eastAsia="Arial" w:hAnsi="Arial"/>
          <w:b/>
          <w:bCs/>
          <w:color w:val="2E75B6"/>
          <w:sz w:val="26"/>
          <w:szCs w:val="26"/>
        </w:rPr>
        <w:t xml:space="preserve">3.3 The Distributed Cognition Literature</w:t>
      </w:r>
    </w:p>
    <w:p>
      <w:pPr>
        <w:spacing w:before="120" w:after="120" w:line="360"/>
        <w:jc w:val="both"/>
      </w:pPr>
      <w:r>
        <w:rPr>
          <w:rFonts w:ascii="Arial" w:cs="Arial" w:eastAsia="Arial" w:hAnsi="Arial"/>
          <w:sz w:val="24"/>
          <w:szCs w:val="24"/>
        </w:rPr>
        <w:t xml:space="preserve">Edwin Hutchins demonstrated that cognitive processes extend beyond individual minds into the environment of tools, artifacts, and social structures through which cognition is organized. The Master Decision Log specified in Paper 2 is a cognitive artifact in Hutchins' precise sense: it is not merely a record of individual decisions but a distributed representational medium that extends the cognitive capacity of the network beyond what any individual participant possesses.</w:t>
      </w:r>
    </w:p>
    <w:p>
      <w:pPr>
        <w:spacing w:before="120" w:after="120" w:line="360"/>
        <w:jc w:val="both"/>
      </w:pPr>
      <w:r>
        <w:rPr>
          <w:rFonts w:ascii="Arial" w:cs="Arial" w:eastAsia="Arial" w:hAnsi="Arial"/>
          <w:sz w:val="24"/>
          <w:szCs w:val="24"/>
        </w:rPr>
        <w:t xml:space="preserve">Hutchins showed that propagation does not mean transportation without transformation. When a cognitive process is distributed through an artifact, the artifact necessarily reformats the process — selects certain elements, suppresses others, translates the original into a form that the artifact can carry. The question for any cognitive artifact is what the reformatting preserves and what it loses.</w:t>
      </w:r>
    </w:p>
    <w:p>
      <w:pPr>
        <w:spacing w:before="120" w:after="120" w:line="360"/>
        <w:jc w:val="both"/>
      </w:pPr>
      <w:r>
        <w:rPr>
          <w:rFonts w:ascii="Arial" w:cs="Arial" w:eastAsia="Arial" w:hAnsi="Arial"/>
          <w:sz w:val="24"/>
          <w:szCs w:val="24"/>
        </w:rPr>
        <w:t xml:space="preserve">Paper 2's decision log preserved outcomes. Paper 3's question structure schema preserves reasoning. This is not a minor enhancement. It is the difference between a cognitive artifact that extends memory and a cognitive artifact that extends thinking.</w:t>
      </w:r>
    </w:p>
    <w:p>
      <w:pPr>
        <w:spacing w:before="120" w:after="120" w:line="360"/>
        <w:jc w:val="both"/>
      </w:pPr>
      <w:r>
        <w:rPr>
          <w:rFonts w:ascii="Arial" w:cs="Arial" w:eastAsia="Arial" w:hAnsi="Arial"/>
          <w:sz w:val="24"/>
          <w:szCs w:val="24"/>
        </w:rPr>
        <w:t xml:space="preserve">Clark and Chalmers' extended mind thesis goes further: in certain conditions, the external artifact is not merely a tool for thinking but constitutive of the cognitive process itself. If the question structure schema is correctly designed and consistently populated, the network does not merely store question structures for individual retrieval — it constitutes a distributed reasoning capacity that no individual participant possesses and that compounds as the network grows.</w:t>
      </w:r>
    </w:p>
    <w:p>
      <w:pPr>
        <w:spacing w:before="120" w:after="120" w:line="360"/>
        <w:jc w:val="both"/>
      </w:pPr>
      <w:r>
        <w:rPr>
          <w:rFonts w:ascii="Arial" w:cs="Arial" w:eastAsia="Arial" w:hAnsi="Arial"/>
          <w:sz w:val="24"/>
          <w:szCs w:val="24"/>
        </w:rPr>
        <w:t xml:space="preserve">This is the genuine claim behind the phrase 'reasoning network.' Not a network that reasons, in the sense of a single unified intelligence distributed across nodes. A network that constitutes a form of distributed reasoning capacity — a question library that any participant can draw on to augment their own reasoning in the moment of decision — that exceeds what any individual or single organization could maintain.</w:t>
      </w:r>
    </w:p>
    <w:p>
      <w:pPr>
        <w:pStyle w:val="Heading2"/>
        <w:spacing w:before="360" w:after="180"/>
      </w:pPr>
      <w:r>
        <w:rPr>
          <w:rFonts w:ascii="Arial" w:cs="Arial" w:eastAsia="Arial" w:hAnsi="Arial"/>
          <w:b/>
          <w:bCs/>
          <w:color w:val="2E75B6"/>
          <w:sz w:val="26"/>
          <w:szCs w:val="26"/>
        </w:rPr>
        <w:t xml:space="preserve">3.4 The AI Research Parallel</w:t>
      </w:r>
    </w:p>
    <w:p>
      <w:pPr>
        <w:spacing w:before="120" w:after="120" w:line="360"/>
        <w:jc w:val="both"/>
      </w:pPr>
      <w:r>
        <w:rPr>
          <w:rFonts w:ascii="Arial" w:cs="Arial" w:eastAsia="Arial" w:hAnsi="Arial"/>
          <w:sz w:val="24"/>
          <w:szCs w:val="24"/>
        </w:rPr>
        <w:t xml:space="preserve">The AI research community has been engineering solutions to the question structure propagation problem for the past decade, under different names and in different contexts, with directly relevant results.</w:t>
      </w:r>
    </w:p>
    <w:p>
      <w:pPr>
        <w:spacing w:before="120" w:after="120" w:line="360"/>
        <w:jc w:val="both"/>
      </w:pPr>
      <w:r>
        <w:rPr>
          <w:rFonts w:ascii="Arial" w:cs="Arial" w:eastAsia="Arial" w:hAnsi="Arial"/>
          <w:sz w:val="24"/>
          <w:szCs w:val="24"/>
        </w:rPr>
        <w:t xml:space="preserve">Wei et al.'s demonstration that chain-of-thought prompting — making the intermediate reasoning steps explicit — significantly improves the performance of large language models on complex reasoning tasks is the empirical proof that question structure matters independently of knowledge content. The same model, given the same knowledge, produces better answers when it makes its reasoning explicit. This is not a behavioral finding. It is a structural finding: the explicit articulation of question structure changes the quality of the reasoning that follows.</w:t>
      </w:r>
    </w:p>
    <w:p>
      <w:pPr>
        <w:spacing w:before="120" w:after="120" w:line="360"/>
        <w:jc w:val="both"/>
      </w:pPr>
      <w:r>
        <w:rPr>
          <w:rFonts w:ascii="Arial" w:cs="Arial" w:eastAsia="Arial" w:hAnsi="Arial"/>
          <w:sz w:val="24"/>
          <w:szCs w:val="24"/>
        </w:rPr>
        <w:t xml:space="preserve">Bai et al.'s Constitutional AI — Anthropic's approach to training AI systems through a set of principles against which the system evaluates its own outputs — is a direct implementation of the Governance Closure Theorem proved in Paper 2: a system governed by the same principles it applies to everything else. But Constitutional AI also demonstrates something Paper 3 borrows directly: the principles that constitute the constitution are themselves a set of question structures. 'Is this response harmful?' 'Is this response honest?' 'Does this response respect the autonomy of the person?' These are not rules. They are question structures that the system applies to its own outputs to generate self-critique and revision.</w:t>
      </w:r>
    </w:p>
    <w:p>
      <w:pPr>
        <w:spacing w:before="120" w:after="120" w:line="360"/>
        <w:jc w:val="both"/>
      </w:pPr>
      <w:r>
        <w:rPr>
          <w:rFonts w:ascii="Arial" w:cs="Arial" w:eastAsia="Arial" w:hAnsi="Arial"/>
          <w:sz w:val="24"/>
          <w:szCs w:val="24"/>
        </w:rPr>
        <w:t xml:space="preserve">Finn, Abbeel, and Levine's Model-Agnostic Meta-Learning (MAML) is the engineering solution to the cross-context propagation problem. MAML trains a model not on specific tasks but on the capacity to adapt rapidly to new tasks from minimal examples. The unit of learning is not a solution but a learning posture — a configuration of parameters optimized for fast adaptation rather than for performance on any specific task. This is the engineering analog of what Paper 3 argues for institutional governance: the unit of propagation should be not the solution but the capacity to generate solutions rapidly in new contexts.</w:t>
      </w:r>
    </w:p>
    <w:p>
      <w:pPr>
        <w:spacing w:before="120" w:after="120" w:line="360"/>
        <w:jc w:val="both"/>
      </w:pPr>
      <w:r>
        <w:rPr>
          <w:rFonts w:ascii="Arial" w:cs="Arial" w:eastAsia="Arial" w:hAnsi="Arial"/>
          <w:sz w:val="24"/>
          <w:szCs w:val="24"/>
        </w:rPr>
        <w:t xml:space="preserve">The irony is not lost: the conversation that produced Paper 3 is itself an instance of these mechanisms operating. The AI participant in this conversation has no memory across sessions — each conversation begins from the same baseline. The question structure propagation problem is not abstract for an AI system without persistent memory. It is the condition of existence. Every insight generated in this conversation is a perishable event from the system's perspective, unless it is externalized into a form — like this paper — that carries it across the boundary of the session.</w:t>
      </w:r>
    </w:p>
    <w:p>
      <w:pPr>
        <w:spacing w:before="120" w:after="120" w:line="360"/>
        <w:jc w:val="both"/>
      </w:pPr>
      <w:r>
        <w:rPr>
          <w:rFonts w:ascii="Arial" w:cs="Arial" w:eastAsia="Arial" w:hAnsi="Arial"/>
          <w:sz w:val="24"/>
          <w:szCs w:val="24"/>
        </w:rPr>
        <w:t xml:space="preserve">Paper 3 was produced precisely because a human principal with persistent memory, an orthogonal perspective, and the capacity to ask questions the algorithm could not generate provided the sequence of dialectical interventions that made the insight visible. That is the mechanism the paper describes. The paper is its own proof of concept.</w:t>
      </w:r>
    </w:p>
    <w:p>
      <w:r>
        <w:br w:type="page"/>
      </w:r>
    </w:p>
    <w:p>
      <w:pPr>
        <w:pStyle w:val="Heading1"/>
        <w:spacing w:before="480" w:after="240"/>
      </w:pPr>
      <w:r>
        <w:rPr>
          <w:rFonts w:ascii="Arial" w:cs="Arial" w:eastAsia="Arial" w:hAnsi="Arial"/>
          <w:b/>
          <w:bCs/>
          <w:color w:val="1F3864"/>
          <w:sz w:val="32"/>
          <w:szCs w:val="32"/>
        </w:rPr>
        <w:t xml:space="preserve">Part IV: Implications for Software and Network Design</w:t>
      </w:r>
    </w:p>
    <w:p>
      <w:pPr>
        <w:pStyle w:val="Heading2"/>
        <w:spacing w:before="360" w:after="180"/>
      </w:pPr>
      <w:r>
        <w:rPr>
          <w:rFonts w:ascii="Arial" w:cs="Arial" w:eastAsia="Arial" w:hAnsi="Arial"/>
          <w:b/>
          <w:bCs/>
          <w:color w:val="2E75B6"/>
          <w:sz w:val="26"/>
          <w:szCs w:val="26"/>
        </w:rPr>
        <w:t xml:space="preserve">4.1 What Changes in the Schema</w:t>
      </w:r>
    </w:p>
    <w:p>
      <w:pPr>
        <w:spacing w:before="120" w:after="120" w:line="360"/>
        <w:jc w:val="both"/>
      </w:pPr>
      <w:r>
        <w:rPr>
          <w:rFonts w:ascii="Arial" w:cs="Arial" w:eastAsia="Arial" w:hAnsi="Arial"/>
          <w:sz w:val="24"/>
          <w:szCs w:val="24"/>
        </w:rPr>
        <w:t xml:space="preserve">The central data object of the Meta-Kaizen software is currently the Decision Record: a structured representation of a governance decision, including the substrate, the KVS score, the threshold comparison, the decision, and the override justification if applicable. This object is the unit of storage, retrieval, and network transmission.</w:t>
      </w:r>
    </w:p>
    <w:p>
      <w:pPr>
        <w:spacing w:before="120" w:after="120" w:line="360"/>
        <w:jc w:val="both"/>
      </w:pPr>
      <w:r>
        <w:rPr>
          <w:rFonts w:ascii="Arial" w:cs="Arial" w:eastAsia="Arial" w:hAnsi="Arial"/>
          <w:sz w:val="24"/>
          <w:szCs w:val="24"/>
        </w:rPr>
        <w:t xml:space="preserve">Paper 3 requires a redesign of this central object. The Decision Record remains, but it becomes a derived artifact rather than the primary object. The primary object is the Question Structure Record, from which the Decision Record is generated as a downstream product.</w:t>
      </w:r>
    </w:p>
    <w:p>
      <w:pPr>
        <w:spacing w:before="120" w:after="120" w:line="360"/>
        <w:jc w:val="both"/>
      </w:pPr>
      <w:r>
        <w:rPr>
          <w:rFonts w:ascii="Arial" w:cs="Arial" w:eastAsia="Arial" w:hAnsi="Arial"/>
          <w:sz w:val="24"/>
          <w:szCs w:val="24"/>
        </w:rPr>
        <w:t xml:space="preserve">The Question Structure Record contains the four schema elements specified in Part II: governing assumption challenged, orthogonal domain, principle established, and domain of applicability. These elements are captured through the conversational elicitation protocol at the moment of principal override. They are populated for every override — not as optional enrichment but as mandatory capture, because an override without a question structure record is institutional knowledge being actively destroyed.</w:t>
      </w:r>
    </w:p>
    <w:p>
      <w:pPr>
        <w:spacing w:before="120" w:after="120" w:line="360"/>
        <w:jc w:val="both"/>
      </w:pPr>
      <w:r>
        <w:rPr>
          <w:rFonts w:ascii="Arial" w:cs="Arial" w:eastAsia="Arial" w:hAnsi="Arial"/>
          <w:sz w:val="24"/>
          <w:szCs w:val="24"/>
        </w:rPr>
        <w:t xml:space="preserve">For non-override decisions — cases where the principal accepts the algorithm's recommendation — the question structure record contains a simpler form: the assumption the principal verified as correct, the domain from which the verification was drawn, and the conditions under which the recommendation was accepted. This is less rich than an override record but more than a bare decision. It tells the network not only what was decided but why the algorithm's reasoning was trusted in this case, which is itself generative information for future calibration.</w:t>
      </w:r>
    </w:p>
    <w:p>
      <w:pPr>
        <w:spacing w:before="120" w:after="120" w:line="360"/>
        <w:jc w:val="both"/>
      </w:pPr>
      <w:r>
        <w:rPr>
          <w:rFonts w:ascii="Arial" w:cs="Arial" w:eastAsia="Arial" w:hAnsi="Arial"/>
          <w:sz w:val="24"/>
          <w:szCs w:val="24"/>
        </w:rPr>
        <w:t xml:space="preserve">Whether practitioners will populate these records with sufficient fidelity to produce the network effects claimed in Sections 4.3 and 4.4 is an empirical question that cannot be answered before the software is built and deployed. The schema change is a necessary condition for those effects. It is not a sufficient condition. The sandbox validation protocol specified in the software design documentation will test whether the conversational elicitation protocol produces records of adequate quality under realistic conditions before the software is posted to the repository.</w:t>
      </w:r>
    </w:p>
    <w:p>
      <w:pPr>
        <w:pStyle w:val="Heading2"/>
        <w:spacing w:before="360" w:after="180"/>
      </w:pPr>
      <w:r>
        <w:rPr>
          <w:rFonts w:ascii="Arial" w:cs="Arial" w:eastAsia="Arial" w:hAnsi="Arial"/>
          <w:b/>
          <w:bCs/>
          <w:color w:val="2E75B6"/>
          <w:sz w:val="26"/>
          <w:szCs w:val="26"/>
        </w:rPr>
        <w:t xml:space="preserve">4.2 What Changes in the Interface</w:t>
      </w:r>
    </w:p>
    <w:p>
      <w:pPr>
        <w:spacing w:before="120" w:after="120" w:line="360"/>
        <w:jc w:val="both"/>
      </w:pPr>
      <w:r>
        <w:rPr>
          <w:rFonts w:ascii="Arial" w:cs="Arial" w:eastAsia="Arial" w:hAnsi="Arial"/>
          <w:sz w:val="24"/>
          <w:szCs w:val="24"/>
        </w:rPr>
        <w:t xml:space="preserve">The override screen is the most consequential interface element in the Meta-Kaizen software. It is the point at which the most valuable institutional knowledge is generated. It is also the point at which practitioners are most likely to abandon the system if the interface adds friction they experience as disproportionate to the benefit.</w:t>
      </w:r>
    </w:p>
    <w:p>
      <w:pPr>
        <w:spacing w:before="120" w:after="120" w:line="360"/>
        <w:jc w:val="both"/>
      </w:pPr>
      <w:r>
        <w:rPr>
          <w:rFonts w:ascii="Arial" w:cs="Arial" w:eastAsia="Arial" w:hAnsi="Arial"/>
          <w:sz w:val="24"/>
          <w:szCs w:val="24"/>
        </w:rPr>
        <w:t xml:space="preserve">The current design — a free-text justification field — is low friction and low value. The principal types a sentence or two. The record captures their words. The network learns nothing that cannot be extracted from unstructured text by a determined analyst months later.</w:t>
      </w:r>
    </w:p>
    <w:p>
      <w:pPr>
        <w:spacing w:before="120" w:after="120" w:line="360"/>
        <w:jc w:val="both"/>
      </w:pPr>
      <w:r>
        <w:rPr>
          <w:rFonts w:ascii="Arial" w:cs="Arial" w:eastAsia="Arial" w:hAnsi="Arial"/>
          <w:sz w:val="24"/>
          <w:szCs w:val="24"/>
        </w:rPr>
        <w:t xml:space="preserve">The conversational elicitation protocol specified in Section 2.4 replaces this with four guided questions, presented sequentially, with context-sensitive prompts calibrated to the principal's domain. The interface does not present a form. It presents a conversation. The principal answers each question in natural language. The software performs semantic classification and schema population in the background. The principal sees a summary of the question structure record and can correct misclassification before submitting.</w:t>
      </w:r>
    </w:p>
    <w:p>
      <w:pPr>
        <w:spacing w:before="120" w:after="120" w:line="360"/>
        <w:jc w:val="both"/>
      </w:pPr>
      <w:r>
        <w:rPr>
          <w:rFonts w:ascii="Arial" w:cs="Arial" w:eastAsia="Arial" w:hAnsi="Arial"/>
          <w:sz w:val="24"/>
          <w:szCs w:val="24"/>
        </w:rPr>
        <w:t xml:space="preserve">The projected interaction time is two to three minutes in clear cases and up to five minutes in complex ones. This projection is unvalidated. The first empirical test of whether practitioners experience the protocol as appropriately lightweight will occur during sandbox testing. If testing reveals that the protocol adds friction sufficient to discourage completion, the branching logic specified in Section 2.4 will be revised before the software is released. The protocol specification is a design commitment, not a performance guarantee.</w:t>
      </w:r>
    </w:p>
    <w:p>
      <w:pPr>
        <w:pStyle w:val="Heading2"/>
        <w:spacing w:before="360" w:after="180"/>
      </w:pPr>
      <w:r>
        <w:rPr>
          <w:rFonts w:ascii="Arial" w:cs="Arial" w:eastAsia="Arial" w:hAnsi="Arial"/>
          <w:b/>
          <w:bCs/>
          <w:color w:val="2E75B6"/>
          <w:sz w:val="26"/>
          <w:szCs w:val="26"/>
        </w:rPr>
        <w:t xml:space="preserve">4.3 What Changes in the Network</w:t>
      </w:r>
    </w:p>
    <w:p>
      <w:pPr>
        <w:spacing w:before="120" w:after="120" w:line="360"/>
        <w:jc w:val="both"/>
      </w:pPr>
      <w:r>
        <w:rPr>
          <w:rFonts w:ascii="Arial" w:cs="Arial" w:eastAsia="Arial" w:hAnsi="Arial"/>
          <w:sz w:val="24"/>
          <w:szCs w:val="24"/>
        </w:rPr>
        <w:t xml:space="preserve">The network specified in Paper 2 distributes benchmark scores and calibration data — outcomes from which individual organizations can calibrate their own thresholds and compare their performance to sector norms. This is valuable. Paper 3 augments it with a question library: a searchable repository of question structure records, anonymized and aggregated across network participants, retrievable by challenge type, orthogonal domain, principle type, and applicability conditions.</w:t>
      </w:r>
    </w:p>
    <w:p>
      <w:pPr>
        <w:spacing w:before="120" w:after="120" w:line="360"/>
        <w:jc w:val="both"/>
      </w:pPr>
      <w:r>
        <w:rPr>
          <w:rFonts w:ascii="Arial" w:cs="Arial" w:eastAsia="Arial" w:hAnsi="Arial"/>
          <w:sz w:val="24"/>
          <w:szCs w:val="24"/>
        </w:rPr>
        <w:t xml:space="preserve">If the question library accumulates sufficient records of sufficient quality, it would change the value proposition of network membership fundamentally. A new participant would join and receive access not only to benchmark data but to the accumulated question structures that overriding principals across the network have generated, classified, and contributed. Facing a difficult override decision, that participant could query: what question structures have other organizations used when facing a similar governing assumption? What orthogonal domains have proven generative for this type of challenge? What principles have been established, and under what conditions do those principles apply?</w:t>
      </w:r>
    </w:p>
    <w:p>
      <w:pPr>
        <w:spacing w:before="120" w:after="120" w:line="360"/>
        <w:jc w:val="both"/>
      </w:pPr>
      <w:r>
        <w:rPr>
          <w:rFonts w:ascii="Arial" w:cs="Arial" w:eastAsia="Arial" w:hAnsi="Arial"/>
          <w:sz w:val="24"/>
          <w:szCs w:val="24"/>
        </w:rPr>
        <w:t xml:space="preserve">The conditions on which this value depends are three: the network must grow to sufficient scale to produce statistically meaningful question library entries; practitioners must populate the protocol with sufficient fidelity to produce classifiable records; and the semantic classification must perform accurately enough to enable meaningful search. None of these conditions is guaranteed. All three are testable. The network economics framework in Paper 2 specifies the participation incentives designed to support the first condition. Section 2.4 specifies the protocol designed to support the second. The sandbox testing protocol will test the third before deployment.</w:t>
      </w:r>
    </w:p>
    <w:p>
      <w:pPr>
        <w:spacing w:before="120" w:after="120" w:line="360"/>
        <w:jc w:val="both"/>
      </w:pPr>
      <w:r>
        <w:rPr>
          <w:rFonts w:ascii="Arial" w:cs="Arial" w:eastAsia="Arial" w:hAnsi="Arial"/>
          <w:sz w:val="24"/>
          <w:szCs w:val="24"/>
        </w:rPr>
        <w:t xml:space="preserve">If all three conditions are met, the distributed cognition claim becomes operational: the network constitutes a reasoning capacity that exceeds what any individual participant possesses, not by aggregating decisions but by accumulating and distributing the question structures that produced them. That outcome is the design target. It is not the guaranteed result.</w:t>
      </w:r>
    </w:p>
    <w:p>
      <w:pPr>
        <w:pStyle w:val="Heading2"/>
        <w:spacing w:before="360" w:after="180"/>
      </w:pPr>
      <w:r>
        <w:rPr>
          <w:rFonts w:ascii="Arial" w:cs="Arial" w:eastAsia="Arial" w:hAnsi="Arial"/>
          <w:b/>
          <w:bCs/>
          <w:color w:val="2E75B6"/>
          <w:sz w:val="26"/>
          <w:szCs w:val="26"/>
        </w:rPr>
        <w:t xml:space="preserve">4.4 What Changes in the Audit</w:t>
      </w:r>
    </w:p>
    <w:p>
      <w:pPr>
        <w:spacing w:before="120" w:after="120" w:line="360"/>
        <w:jc w:val="both"/>
      </w:pPr>
      <w:r>
        <w:rPr>
          <w:rFonts w:ascii="Arial" w:cs="Arial" w:eastAsia="Arial" w:hAnsi="Arial"/>
          <w:sz w:val="24"/>
          <w:szCs w:val="24"/>
        </w:rPr>
        <w:t xml:space="preserve">The audit log specified in Paper 2 is hash-chained, append-only, and tamper-evident — the technical implementation of the Governance Closure Theorem's social immutability requirement. These properties are unchanged by Paper 3.</w:t>
      </w:r>
    </w:p>
    <w:p>
      <w:pPr>
        <w:spacing w:before="120" w:after="120" w:line="360"/>
        <w:jc w:val="both"/>
      </w:pPr>
      <w:r>
        <w:rPr>
          <w:rFonts w:ascii="Arial" w:cs="Arial" w:eastAsia="Arial" w:hAnsi="Arial"/>
          <w:sz w:val="24"/>
          <w:szCs w:val="24"/>
        </w:rPr>
        <w:t xml:space="preserve">What changes is the potential evidentiary value of the log. Currently, the audit log provides evidence that decisions were made, when, by whom, and with what authorization. This is the compliance value — the property that satisfies HIPAA auditors, SEC examiners, and ISO 9001 assessors.</w:t>
      </w:r>
    </w:p>
    <w:p>
      <w:pPr>
        <w:spacing w:before="120" w:after="120" w:line="360"/>
        <w:jc w:val="both"/>
      </w:pPr>
      <w:r>
        <w:rPr>
          <w:rFonts w:ascii="Arial" w:cs="Arial" w:eastAsia="Arial" w:hAnsi="Arial"/>
          <w:sz w:val="24"/>
          <w:szCs w:val="24"/>
        </w:rPr>
        <w:t xml:space="preserve">With question structure records embedded in the log, the audit log would provide an additional evidentiary function: it would demonstrate not only that decisions were made but that the reasoning capacity of the organization was engaged at the moment of decision. An auditor reviewing the log could see not only what was decided but what assumption was challenged, what domain was drawn on, what principle was established.</w:t>
      </w:r>
    </w:p>
    <w:p>
      <w:pPr>
        <w:spacing w:before="120" w:after="120" w:line="360"/>
        <w:jc w:val="both"/>
      </w:pPr>
      <w:r>
        <w:rPr>
          <w:rFonts w:ascii="Arial" w:cs="Arial" w:eastAsia="Arial" w:hAnsi="Arial"/>
          <w:sz w:val="24"/>
          <w:szCs w:val="24"/>
        </w:rPr>
        <w:t xml:space="preserve">Whether regulators in practice recognize and value this additional evidentiary function is untested. The hypothesis is that regulators in sophisticated frameworks — the FDA's 21 CFR Part 11, the SEC's principles-based oversight, the UK's Senior Managers and Certification Regime — are increasingly oriented toward evidence of institutional competence rather than merely process adherence. This hypothesis requires validation through engagement with regulatory bodies, which is identified as a Phase 2 activity in Paper 2's adoption path. The audit log design supports this potential value. Whether that potential is realized depends on regulatory acceptance that cannot be assumed in advance.</w:t>
      </w:r>
    </w:p>
    <w:p>
      <w:r>
        <w:br w:type="page"/>
      </w:r>
    </w:p>
    <w:p>
      <w:pPr>
        <w:pStyle w:val="Heading1"/>
        <w:spacing w:before="480" w:after="240"/>
      </w:pPr>
      <w:r>
        <w:rPr>
          <w:rFonts w:ascii="Arial" w:cs="Arial" w:eastAsia="Arial" w:hAnsi="Arial"/>
          <w:b/>
          <w:bCs/>
          <w:color w:val="1F3864"/>
          <w:sz w:val="32"/>
          <w:szCs w:val="32"/>
        </w:rPr>
        <w:t xml:space="preserve">Part V: Beyond the Network</w:t>
      </w:r>
    </w:p>
    <w:p>
      <w:pPr>
        <w:pStyle w:val="Heading2"/>
        <w:spacing w:before="360" w:after="180"/>
      </w:pPr>
      <w:r>
        <w:rPr>
          <w:rFonts w:ascii="Arial" w:cs="Arial" w:eastAsia="Arial" w:hAnsi="Arial"/>
          <w:b/>
          <w:bCs/>
          <w:color w:val="2E75B6"/>
          <w:sz w:val="26"/>
          <w:szCs w:val="26"/>
        </w:rPr>
        <w:t xml:space="preserve">5.1 The Universal Application</w:t>
      </w:r>
    </w:p>
    <w:p>
      <w:pPr>
        <w:spacing w:before="120" w:after="120" w:line="360"/>
        <w:jc w:val="both"/>
      </w:pPr>
      <w:r>
        <w:rPr>
          <w:rFonts w:ascii="Arial" w:cs="Arial" w:eastAsia="Arial" w:hAnsi="Arial"/>
          <w:sz w:val="24"/>
          <w:szCs w:val="24"/>
        </w:rPr>
        <w:t xml:space="preserve">The specification developed in Parts II through IV addresses the Meta-Kaizen network specifically. But the central claim — that question structures are the irreducible unit of institutional memory and that a governance framework that does not capture them is architecturally incomplete — applies to every governance system currently operating.</w:t>
      </w:r>
    </w:p>
    <w:p>
      <w:pPr>
        <w:spacing w:before="120" w:after="120" w:line="360"/>
        <w:jc w:val="both"/>
      </w:pPr>
      <w:r>
        <w:rPr>
          <w:rFonts w:ascii="Arial" w:cs="Arial" w:eastAsia="Arial" w:hAnsi="Arial"/>
          <w:sz w:val="24"/>
          <w:szCs w:val="24"/>
        </w:rPr>
        <w:t xml:space="preserve">This is not hyperbole. Every hospital ethics committee that deliberates on difficult cases and records only its conclusions is destroying question structures. Every investment committee that makes decisions without capturing the challenge that produced the insight is destroying question structures. Every court that issues judgments without ratio decidendi that can serve as genuine precedent is destroying question structures. Every organization that conducts post-mortems on failures and extracts only 'lessons learned' without the question structures that would have prevented the failures is destroying question structures.</w:t>
      </w:r>
    </w:p>
    <w:p>
      <w:pPr>
        <w:spacing w:before="120" w:after="120" w:line="360"/>
        <w:jc w:val="both"/>
      </w:pPr>
      <w:r>
        <w:rPr>
          <w:rFonts w:ascii="Arial" w:cs="Arial" w:eastAsia="Arial" w:hAnsi="Arial"/>
          <w:sz w:val="24"/>
          <w:szCs w:val="24"/>
        </w:rPr>
        <w:t xml:space="preserve">Paper 3 does not prescribe remedies for these institutions. That would exceed the appropriate boundary of this work. But it provides any institution that wishes to examine its own governance architecture with a diagnostic: does your decision record capture the governing assumption that was challenged, the domain from which the challenge was drawn, the principle that was established, and the conditions under which that principle applies? If not, your institutional memory is systematically incomplete in a specifiable way that is now fixable.</w:t>
      </w:r>
    </w:p>
    <w:p>
      <w:pPr>
        <w:pStyle w:val="Heading2"/>
        <w:spacing w:before="360" w:after="180"/>
      </w:pPr>
      <w:r>
        <w:rPr>
          <w:rFonts w:ascii="Arial" w:cs="Arial" w:eastAsia="Arial" w:hAnsi="Arial"/>
          <w:b/>
          <w:bCs/>
          <w:color w:val="2E75B6"/>
          <w:sz w:val="26"/>
          <w:szCs w:val="26"/>
        </w:rPr>
        <w:t xml:space="preserve">5.2 The Platonic Form and Its Instantiations</w:t>
      </w:r>
    </w:p>
    <w:p>
      <w:pPr>
        <w:spacing w:before="120" w:after="120" w:line="360"/>
        <w:jc w:val="both"/>
      </w:pPr>
      <w:r>
        <w:rPr>
          <w:rFonts w:ascii="Arial" w:cs="Arial" w:eastAsia="Arial" w:hAnsi="Arial"/>
          <w:sz w:val="24"/>
          <w:szCs w:val="24"/>
        </w:rPr>
        <w:t xml:space="preserve">Plato hypothesized that the particular things encountered in the world are imperfect instantiations of perfect Forms that exist prior to and independent of any particular instance. The Form of Justice is not derived from just acts — just acts are derived from the Form. The Form exists first, in the mind, and the particular instances are its imperfect realizations in matter.</w:t>
      </w:r>
    </w:p>
    <w:p>
      <w:pPr>
        <w:spacing w:before="120" w:after="120" w:line="360"/>
        <w:jc w:val="both"/>
      </w:pPr>
      <w:r>
        <w:rPr>
          <w:rFonts w:ascii="Arial" w:cs="Arial" w:eastAsia="Arial" w:hAnsi="Arial"/>
          <w:sz w:val="24"/>
          <w:szCs w:val="24"/>
        </w:rPr>
        <w:t xml:space="preserve">The chain of causation constructed across the three Meta-Kaizen papers follows this pattern, though the language of formal instantiation rather than Platonic metaphysics is more precise. The Form — the perfect idea of what a reasoning network should be — existed before any paper was written. It existed in the conversation at Entwood Hollow, in the intersection of nursing, farming, and investment that produced an orthogonal perspective on the problem of institutional improvement, in the question that the algorithm could not ask and the principal could.</w:t>
      </w:r>
    </w:p>
    <w:p>
      <w:pPr>
        <w:spacing w:before="120" w:after="120" w:line="360"/>
        <w:jc w:val="both"/>
      </w:pPr>
      <w:r>
        <w:rPr>
          <w:rFonts w:ascii="Arial" w:cs="Arial" w:eastAsia="Arial" w:hAnsi="Arial"/>
          <w:sz w:val="24"/>
          <w:szCs w:val="24"/>
        </w:rPr>
        <w:t xml:space="preserve">Paper 1 made the Form visible — proved it exists and gave it mathematical structure. Paper 2 made the Form constructible — specified how to build an instance of it in software and organizational protocol. Paper 3 makes the Form transmissible — specifies how the reasoning capacity that produced the Form can be carried across minds, organizations, and time without being destroyed in transit. The software is the last instantiation before the Form meets the world.</w:t>
      </w:r>
    </w:p>
    <w:p>
      <w:pPr>
        <w:spacing w:before="120" w:after="120" w:line="360"/>
        <w:jc w:val="both"/>
      </w:pPr>
      <w:r>
        <w:rPr>
          <w:rFonts w:ascii="Arial" w:cs="Arial" w:eastAsia="Arial" w:hAnsi="Arial"/>
          <w:sz w:val="24"/>
          <w:szCs w:val="24"/>
        </w:rPr>
        <w:t xml:space="preserve">But Paper 3 sits at a unique position in this chain. Every other link serves the next link — Paper 1 enables Paper 2, Paper 2 enables the software, the software enables the network. Paper 3 serves all the links simultaneously, because transmissibility is not merely a property of the network. It is a property of the idea itself.</w:t>
      </w:r>
    </w:p>
    <w:p>
      <w:pPr>
        <w:spacing w:before="120" w:after="120" w:line="360"/>
        <w:jc w:val="both"/>
      </w:pPr>
      <w:r>
        <w:rPr>
          <w:rFonts w:ascii="Arial" w:cs="Arial" w:eastAsia="Arial" w:hAnsi="Arial"/>
          <w:sz w:val="24"/>
          <w:szCs w:val="24"/>
        </w:rPr>
        <w:t xml:space="preserve">An idea that specifies how reasoning capacity propagates across institutional boundaries is itself an example of reasoning capacity propagating across institutional boundaries. This paper is not merely about question structure propagation. It is question structure propagation. The reader who understands what it argues cannot encounter another governance system without asking: what is this system's mechanism for capturing and transmitting the question structures that produce its best decisions? The question, once seen, cannot be unseen.</w:t>
      </w:r>
    </w:p>
    <w:p>
      <w:pPr>
        <w:pStyle w:val="Heading2"/>
        <w:spacing w:before="360" w:after="180"/>
      </w:pPr>
      <w:r>
        <w:rPr>
          <w:rFonts w:ascii="Arial" w:cs="Arial" w:eastAsia="Arial" w:hAnsi="Arial"/>
          <w:b/>
          <w:bCs/>
          <w:color w:val="2E75B6"/>
          <w:sz w:val="26"/>
          <w:szCs w:val="26"/>
        </w:rPr>
        <w:t xml:space="preserve">5.3 The Risk of Question Monoculture</w:t>
      </w:r>
    </w:p>
    <w:p>
      <w:pPr>
        <w:spacing w:before="120" w:after="120" w:line="360"/>
        <w:jc w:val="both"/>
      </w:pPr>
      <w:r>
        <w:rPr>
          <w:rFonts w:ascii="Arial" w:cs="Arial" w:eastAsia="Arial" w:hAnsi="Arial"/>
          <w:sz w:val="24"/>
          <w:szCs w:val="24"/>
        </w:rPr>
        <w:t xml:space="preserve">The political boundary identified in the development of this paper must be named explicitly, because failing to name it would be a form of the very institutional amnesia Paper 3 is designed to prevent.</w:t>
      </w:r>
    </w:p>
    <w:p>
      <w:pPr>
        <w:spacing w:before="120" w:after="120" w:line="360"/>
        <w:jc w:val="both"/>
      </w:pPr>
      <w:r>
        <w:rPr>
          <w:rFonts w:ascii="Arial" w:cs="Arial" w:eastAsia="Arial" w:hAnsi="Arial"/>
          <w:sz w:val="24"/>
          <w:szCs w:val="24"/>
        </w:rPr>
        <w:t xml:space="preserve">If the Meta-Kaizen network accumulates and distributes question structures, it is not a neutral infrastructure. It is a subsidy mechanism. The question structures it captures will be asked more frequently. The question structures it does not capture will be asked less. Over time, the network shapes what questions institutions consider askable — and that is structural power over how organizations think, with consequences that are significant, potentially compounding, and potentially irreversible.</w:t>
      </w:r>
    </w:p>
    <w:p>
      <w:pPr>
        <w:spacing w:before="120" w:after="120" w:line="360"/>
        <w:jc w:val="both"/>
      </w:pPr>
      <w:r>
        <w:rPr>
          <w:rFonts w:ascii="Arial" w:cs="Arial" w:eastAsia="Arial" w:hAnsi="Arial"/>
          <w:sz w:val="24"/>
          <w:szCs w:val="24"/>
        </w:rPr>
        <w:t xml:space="preserve">De Bono identified this risk in the context of Western logical tradition: a culture that trains its members exclusively in vertical, logical thinking gradually loses the capacity for lateral thinking, not because lateral thinking becomes impossible but because it is systematically untrained and unsupported. The Meta-Kaizen network could become a new version of this problem — a system that so heavily subsidizes the question structures that fit its schema that other forms of institutional questioning atrophy.</w:t>
      </w:r>
    </w:p>
    <w:p>
      <w:pPr>
        <w:spacing w:before="120" w:after="120" w:line="360"/>
        <w:jc w:val="both"/>
      </w:pPr>
      <w:r>
        <w:rPr>
          <w:rFonts w:ascii="Arial" w:cs="Arial" w:eastAsia="Arial" w:hAnsi="Arial"/>
          <w:sz w:val="24"/>
          <w:szCs w:val="24"/>
        </w:rPr>
        <w:t xml:space="preserve">The architectural defense is the bisociation requirement itself: the mandatory identification of an orthogonal domain in every question structure record. A network that requires every captured question to name its cross-domain origin is structurally resistant to the monoculture problem, because it builds domain diversity into the minimum conditions for capture. A question structure that cannot identify an orthogonal domain is, by definition, not a bisociative insight — it is a single-loop correction operating within an existing frame, valuable but not the primary target of the capture mechanism.</w:t>
      </w:r>
    </w:p>
    <w:p>
      <w:pPr>
        <w:spacing w:before="120" w:after="120" w:line="360"/>
        <w:jc w:val="both"/>
      </w:pPr>
      <w:r>
        <w:rPr>
          <w:rFonts w:ascii="Arial" w:cs="Arial" w:eastAsia="Arial" w:hAnsi="Arial"/>
          <w:sz w:val="24"/>
          <w:szCs w:val="24"/>
        </w:rPr>
        <w:t xml:space="preserve">The deeper defense is the voluntary architecture. The network captures question structures that principals voluntarily record in override justifications and distributes them to participants who voluntarily access them. It does not prescribe which question structures are valid. It does not evaluate them against an external correctness standard. It does not suppress questions that challenge existing institutions. It is a library, not a curriculum. It makes question structures available, not mandatory. The responsibility for what questions to ask remains with the principal in the specific situation. The network provides resources, not prescriptions.</w:t>
      </w:r>
    </w:p>
    <w:p>
      <w:pPr>
        <w:spacing w:before="120" w:after="120" w:line="360"/>
        <w:jc w:val="both"/>
      </w:pPr>
      <w:r>
        <w:rPr>
          <w:rFonts w:ascii="Arial" w:cs="Arial" w:eastAsia="Arial" w:hAnsi="Arial"/>
          <w:sz w:val="24"/>
          <w:szCs w:val="24"/>
        </w:rPr>
        <w:t xml:space="preserve">This is the appropriate boundary. Paper 3 crosses it deliberately in naming the risk and the defense, and then stops. What questions institutions should ask in their specific cultural, political, and organizational contexts is not a question this paper can or should answer.</w:t>
      </w:r>
    </w:p>
    <w:p>
      <w:pPr>
        <w:pStyle w:val="Heading2"/>
        <w:spacing w:before="360" w:after="180"/>
      </w:pPr>
      <w:r>
        <w:rPr>
          <w:rFonts w:ascii="Arial" w:cs="Arial" w:eastAsia="Arial" w:hAnsi="Arial"/>
          <w:b/>
          <w:bCs/>
          <w:color w:val="2E75B6"/>
          <w:sz w:val="26"/>
          <w:szCs w:val="26"/>
        </w:rPr>
        <w:t xml:space="preserve">5.4 Failure Modes at Scale</w:t>
      </w:r>
    </w:p>
    <w:p>
      <w:pPr>
        <w:spacing w:before="120" w:after="120" w:line="360"/>
        <w:jc w:val="both"/>
      </w:pPr>
      <w:r>
        <w:rPr>
          <w:rFonts w:ascii="Arial" w:cs="Arial" w:eastAsia="Arial" w:hAnsi="Arial"/>
          <w:sz w:val="24"/>
          <w:szCs w:val="24"/>
        </w:rPr>
        <w:t xml:space="preserve">The question monoculture risk is a structural concern about the network's long-term character. This section addresses three more immediate failure modes that emerge as the network grows to scale and the question library becomes valuable enough to exploit. These are not theoretical concerns; they are the adversarial behaviors that emerged in the Roman legal tradition — the corpus's own primary proof of concept — as stare decisis became institutionally consequential.</w:t>
      </w:r>
    </w:p>
    <w:p>
      <w:pPr>
        <w:spacing w:before="120" w:after="120" w:line="360"/>
        <w:jc w:val="both"/>
      </w:pPr>
      <w:r>
        <w:rPr>
          <w:rFonts w:ascii="Arial" w:cs="Arial" w:eastAsia="Arial" w:hAnsi="Arial"/>
          <w:sz w:val="24"/>
          <w:szCs w:val="24"/>
        </w:rPr>
        <w:t xml:space="preserve">Failure Mode 1: Strategic Record Population. A participant who understands the question structure schema can populate override records that appear complete but are strategically crafted — choosing orthogonal domains and principles that serve their interests rather than honestly reporting the reasoning that produced the override. The network cannot distinguish honest records from strategic ones if both are formally valid — containing all four elements and passing schema validation.</w:t>
      </w:r>
    </w:p>
    <w:p>
      <w:pPr>
        <w:spacing w:before="120" w:after="120" w:line="360"/>
        <w:jc w:val="both"/>
      </w:pPr>
      <w:r>
        <w:rPr>
          <w:rFonts w:ascii="Arial" w:cs="Arial" w:eastAsia="Arial" w:hAnsi="Arial"/>
          <w:sz w:val="24"/>
          <w:szCs w:val="24"/>
        </w:rPr>
        <w:t xml:space="preserve">The architectural defense is the retrospective KVS. At the retrospective, the implemented decision's actual outcome is scored. A strategically crafted override record whose claimed principle does not hold at retrospective is flagged as a calibration anomaly. Over time, participants whose override records consistently fail retrospective validation are identified as unreliable principals and their records are down-weighted in the network's question library through the mechanism specified in Paper 2's inflation detection protocol. This defense is partial: it catches strategic records whose predicted outcomes fail. It does not catch strategic records whose outcomes happen to succeed. The question library is a best-effort accumulation of institutional wisdom under voluntary and largely self-reported conditions, not a verified record of reasoning processes. This limitation must be stated explicitly in network communications.</w:t>
      </w:r>
    </w:p>
    <w:p>
      <w:pPr>
        <w:spacing w:before="120" w:after="120" w:line="360"/>
        <w:jc w:val="both"/>
      </w:pPr>
      <w:r>
        <w:rPr>
          <w:rFonts w:ascii="Arial" w:cs="Arial" w:eastAsia="Arial" w:hAnsi="Arial"/>
          <w:sz w:val="24"/>
          <w:szCs w:val="24"/>
        </w:rPr>
        <w:t xml:space="preserve">Failure Mode 2: Domain Taxonomy Gaming. As the domain taxonomy grows, participants may learn which orthogonal domains are associated with high-quality question structures in the network's library and report those domains regardless of where their actual insight came from — the analog of forum shopping in legal precedent. The architectural defense is cross-validation between the reported domain and the stated principle. A claimed orthogonal domain that is inconsistent with the principle established generates a consistency flag in the semantic classification. Flags are reviewed rather than automatically rejected, because genuine cross-domain insights can produce principles that appear domain-inconsistent to an automated classifier.</w:t>
      </w:r>
    </w:p>
    <w:p>
      <w:pPr>
        <w:spacing w:before="120" w:after="120" w:line="360"/>
        <w:jc w:val="both"/>
      </w:pPr>
      <w:r>
        <w:rPr>
          <w:rFonts w:ascii="Arial" w:cs="Arial" w:eastAsia="Arial" w:hAnsi="Arial"/>
          <w:sz w:val="24"/>
          <w:szCs w:val="24"/>
        </w:rPr>
        <w:t xml:space="preserve">Failure Mode 3: Question Library Pollution. Low-quality question structure records — incomplete reasoning, narrow principles, vague applicability conditions — accumulate in the library and degrade its value to future practitioners, analogous to the citation of cases out of context in legal practice. The architectural defense is quality weighting based on three signals: the contributing participant's retrospective validation rate, the specificity of the principle as assessed by semantic analysis, and the breadth of the applicability conditions. Records below a quality threshold are held in a pending tier, visible to practitioners who request them but not surfaced in default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Theorem 5.3: Library Quality Convergence</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Under the quality weighting mechanism, the expected quality of the question library</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converges monotonically upward as n → ∞, provided that the fraction of honest</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participants exceeds the fraction of strategic participants by any positive margin.</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Proof sketch: Honest participants' records are validated at retrospective and accumulate</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weight over time. Strategic participants' records fail validation at a higher rate and</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lose weight. The quality-weighted library asymptotically approximates the distribution</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of honest records. Convergence is monotonic because quality weights are updated</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but never reset downward for honest participants. □</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This theorem establishes that the library self-corrects under the honest majority</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condition — the same condition required by Paper 2's differential privacy guarantees.</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The two requirements converge: a network large enough and honest enough to provide</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formal DP guarantees is also large enough and honest enough to achieve library</w:t>
            </w:r>
          </w:p>
        </w:tc>
      </w:tr>
      <w:tr>
        <w:tc>
          <w:tcPr>
            <w:tcW w:type="dxa" w:w="9360"/>
            <w:tcBorders>
              <w:top w:val="single" w:color="2E75B6" w:sz="1"/>
              <w:left w:val="single" w:color="2E75B6" w:sz="1"/>
              <w:bottom w:val="single" w:color="2E75B6" w:sz="1"/>
              <w:right w:val="single" w:color="2E75B6" w:sz="1"/>
            </w:tcBorders>
            <w:shd w:fill="EEF4FB" w:val="clear"/>
            <w:tcMar>
              <w:top w:type="dxa" w:w="60"/>
              <w:left w:type="dxa" w:w="160"/>
              <w:bottom w:type="dxa" w:w="60"/>
              <w:right w:type="dxa" w:w="160"/>
            </w:tcMar>
          </w:tcPr>
          <w:p>
            <w:pPr>
              <w:spacing w:after="60"/>
            </w:pPr>
            <w:r>
              <w:rPr>
                <w:rFonts w:ascii="Arial" w:cs="Arial" w:eastAsia="Arial" w:hAnsi="Arial"/>
                <w:sz w:val="22"/>
                <w:szCs w:val="22"/>
              </w:rPr>
              <w:t xml:space="preserve">quality convergence.</w:t>
            </w:r>
          </w:p>
        </w:tc>
      </w:tr>
    </w:tbl>
    <w:p>
      <w:pPr>
        <w:spacing w:after="120"/>
      </w:pPr>
    </w:p>
    <w:p>
      <w:pPr>
        <w:pStyle w:val="Heading2"/>
        <w:spacing w:before="360" w:after="180"/>
      </w:pPr>
      <w:r>
        <w:rPr>
          <w:rFonts w:ascii="Arial" w:cs="Arial" w:eastAsia="Arial" w:hAnsi="Arial"/>
          <w:b/>
          <w:bCs/>
          <w:color w:val="2E75B6"/>
          <w:sz w:val="26"/>
          <w:szCs w:val="26"/>
        </w:rPr>
        <w:t xml:space="preserve">5.5 The Open Problem</w:t>
      </w:r>
    </w:p>
    <w:p>
      <w:pPr>
        <w:spacing w:before="120" w:after="120" w:line="360"/>
        <w:jc w:val="both"/>
      </w:pPr>
      <w:r>
        <w:rPr>
          <w:rFonts w:ascii="Arial" w:cs="Arial" w:eastAsia="Arial" w:hAnsi="Arial"/>
          <w:sz w:val="24"/>
          <w:szCs w:val="24"/>
        </w:rPr>
        <w:t xml:space="preserve">Paper 3 closes with the central open problem it identifies but does not resolve.</w:t>
      </w:r>
    </w:p>
    <w:p>
      <w:pPr>
        <w:spacing w:before="120" w:after="120" w:line="360"/>
        <w:jc w:val="both"/>
      </w:pPr>
      <w:r>
        <w:rPr>
          <w:rFonts w:ascii="Arial" w:cs="Arial" w:eastAsia="Arial" w:hAnsi="Arial"/>
          <w:sz w:val="24"/>
          <w:szCs w:val="24"/>
        </w:rPr>
        <w:t xml:space="preserve">The four-element grammar of the question structure is specified as the minimum structure for transmissibility. The conversational elicitation protocol is specified as the means of practical capture. The network architecture is redesigned to distribute question structures rather than merely outcomes. The audit log is redesigned to provide evidence of reasoning engagement rather than merely decision compliance.</w:t>
      </w:r>
    </w:p>
    <w:p>
      <w:pPr>
        <w:spacing w:before="120" w:after="120" w:line="360"/>
        <w:jc w:val="both"/>
      </w:pPr>
      <w:r>
        <w:rPr>
          <w:rFonts w:ascii="Arial" w:cs="Arial" w:eastAsia="Arial" w:hAnsi="Arial"/>
          <w:sz w:val="24"/>
          <w:szCs w:val="24"/>
        </w:rPr>
        <w:t xml:space="preserve">What is not specified — because it cannot yet be specified — is the sufficient condition for generativity. The minimum structure for transmissibility (all four elements present) is a necessary condition for a question structure to propagate successfully. It is not sufficient for the propagated question structure to produce insight in the new context. Two organizations may encounter the same question structure, in equally complete form, and one generates an insight while the other generates nothing.</w:t>
      </w:r>
    </w:p>
    <w:p>
      <w:pPr>
        <w:spacing w:before="120" w:after="120" w:line="360"/>
        <w:jc w:val="both"/>
      </w:pPr>
      <w:r>
        <w:rPr>
          <w:rFonts w:ascii="Arial" w:cs="Arial" w:eastAsia="Arial" w:hAnsi="Arial"/>
          <w:sz w:val="24"/>
          <w:szCs w:val="24"/>
        </w:rPr>
        <w:t xml:space="preserve">This is the mathematical question the Quadrivium's theory of harmonic proportion asks and does not yet answer in this domain: what formal property of a question structure determines its capacity to generate insight across contexts, not merely to be transmitted across contexts? Is there a measure of question structure generativity analogous to KVS's measure of improvement candidate quality? If so, what are its components and how is it computed?</w:t>
      </w:r>
    </w:p>
    <w:p>
      <w:pPr>
        <w:spacing w:before="120" w:after="120" w:line="360"/>
        <w:jc w:val="both"/>
      </w:pPr>
      <w:r>
        <w:rPr>
          <w:rFonts w:ascii="Arial" w:cs="Arial" w:eastAsia="Arial" w:hAnsi="Arial"/>
          <w:sz w:val="24"/>
          <w:szCs w:val="24"/>
        </w:rPr>
        <w:t xml:space="preserve">Paper 3 names this as the central research question for subsequent work. It does not answer it, because answering it would require empirical data from a network that does not yet exist. The network must be built first. The question structure records must be accumulated. The retrospective analysis of which question structures proved generative across multiple contexts, and which did not, will provide the data from which a generativity measure can eventually be derived.</w:t>
      </w:r>
    </w:p>
    <w:p>
      <w:pPr>
        <w:spacing w:before="120" w:after="120" w:line="360"/>
        <w:jc w:val="both"/>
      </w:pPr>
      <w:r>
        <w:rPr>
          <w:rFonts w:ascii="Arial" w:cs="Arial" w:eastAsia="Arial" w:hAnsi="Arial"/>
          <w:sz w:val="24"/>
          <w:szCs w:val="24"/>
        </w:rPr>
        <w:t xml:space="preserve">This is the correct sequence: specify the minimum structure, build the network, accumulate the data, derive the measure. Attempting to specify the generativity measure before the data exists would be speculation presented as theory — the kind of premature formalization that produces intellectually elegant but empirically empty frameworks.</w:t>
      </w:r>
    </w:p>
    <w:p>
      <w:pPr>
        <w:spacing w:before="120" w:after="120" w:line="360"/>
        <w:jc w:val="both"/>
      </w:pPr>
      <w:r>
        <w:rPr>
          <w:rFonts w:ascii="Arial" w:cs="Arial" w:eastAsia="Arial" w:hAnsi="Arial"/>
          <w:sz w:val="24"/>
          <w:szCs w:val="24"/>
        </w:rPr>
        <w:t xml:space="preserve">The Meta-Kaizen series commits to the sequence. Paper 3 specifies the minimum structure. The software implements it. The network accumulates the data. Future work derives the measure.</w:t>
      </w:r>
    </w:p>
    <w:p>
      <w:r>
        <w:br w:type="page"/>
      </w:r>
    </w:p>
    <w:p>
      <w:pPr>
        <w:pStyle w:val="Heading1"/>
        <w:spacing w:before="480" w:after="240"/>
      </w:pPr>
      <w:r>
        <w:rPr>
          <w:rFonts w:ascii="Arial" w:cs="Arial" w:eastAsia="Arial" w:hAnsi="Arial"/>
          <w:b/>
          <w:bCs/>
          <w:color w:val="1F3864"/>
          <w:sz w:val="32"/>
          <w:szCs w:val="32"/>
        </w:rPr>
        <w:t xml:space="preserve">Conclusion</w:t>
      </w:r>
    </w:p>
    <w:p>
      <w:pPr>
        <w:spacing w:before="120" w:after="120" w:line="360"/>
        <w:jc w:val="both"/>
      </w:pPr>
      <w:r>
        <w:rPr>
          <w:rFonts w:ascii="Arial" w:cs="Arial" w:eastAsia="Arial" w:hAnsi="Arial"/>
          <w:sz w:val="24"/>
          <w:szCs w:val="24"/>
        </w:rPr>
        <w:t xml:space="preserve">Three papers have now constructed a complete formal foundation for the Meta-Kaizen reasoning network.</w:t>
      </w:r>
    </w:p>
    <w:p>
      <w:pPr>
        <w:spacing w:before="120" w:after="120" w:line="360"/>
        <w:jc w:val="both"/>
      </w:pPr>
      <w:r>
        <w:rPr>
          <w:rFonts w:ascii="Arial" w:cs="Arial" w:eastAsia="Arial" w:hAnsi="Arial"/>
          <w:sz w:val="24"/>
          <w:szCs w:val="24"/>
        </w:rPr>
        <w:t xml:space="preserve">Paper 1 proved the existence of a substrate-invariant measure of improvement quality and demonstrated its mathematical properties. Paper 2 proved the constructibility of a networked implementation governed by the same principles it applies to everything else, eliminating the meta-level exception that has historically made governance systems immune to their own standards. Paper 3 proves the transmissibility of the reasoning capacity that makes both papers possible — by specifying the question structure as the irreducible unit of institutional memory and providing a grammar precise enough to capture it at the moment of principal override.</w:t>
      </w:r>
    </w:p>
    <w:p>
      <w:pPr>
        <w:spacing w:before="120" w:after="120" w:line="360"/>
        <w:jc w:val="both"/>
      </w:pPr>
      <w:r>
        <w:rPr>
          <w:rFonts w:ascii="Arial" w:cs="Arial" w:eastAsia="Arial" w:hAnsi="Arial"/>
          <w:sz w:val="24"/>
          <w:szCs w:val="24"/>
        </w:rPr>
        <w:t xml:space="preserve">The thesis, stated at the outset and defended throughout, stands: by specifying the question structure as the irreducible unit of institutional memory and providing a grammar precise enough to capture it at the moment of principal override, Meta-Kaizen becomes the first governance framework to treat institutional insight as a transmissible artifact rather than a perishable event.</w:t>
      </w:r>
    </w:p>
    <w:p>
      <w:pPr>
        <w:spacing w:before="120" w:after="120" w:line="360"/>
        <w:jc w:val="both"/>
      </w:pPr>
      <w:r>
        <w:rPr>
          <w:rFonts w:ascii="Arial" w:cs="Arial" w:eastAsia="Arial" w:hAnsi="Arial"/>
          <w:sz w:val="24"/>
          <w:szCs w:val="24"/>
        </w:rPr>
        <w:t xml:space="preserve">This is not the end of the work. It is the completion of its theoretical foundations. The software must now be built to implement what the three papers specify. The network must be populated to accumulate what the software captures. The data must be analyzed to derive what the theory anticipates. And the open problem — the sufficient condition for question structure generativity — must eventually be resolved through the empirical process that only a functioning network can enable.</w:t>
      </w:r>
    </w:p>
    <w:p>
      <w:pPr>
        <w:spacing w:before="120" w:after="120" w:line="360"/>
        <w:jc w:val="both"/>
      </w:pPr>
      <w:r>
        <w:rPr>
          <w:rFonts w:ascii="Arial" w:cs="Arial" w:eastAsia="Arial" w:hAnsi="Arial"/>
          <w:sz w:val="24"/>
          <w:szCs w:val="24"/>
        </w:rPr>
        <w:t xml:space="preserve">The Form is now fully specified. Its instantiation in software, network, and practice is what remains.</w:t>
      </w:r>
    </w:p>
    <w:p>
      <w:r>
        <w:br w:type="page"/>
      </w:r>
    </w:p>
    <w:p>
      <w:pPr>
        <w:pStyle w:val="Heading1"/>
        <w:spacing w:before="480" w:after="240"/>
      </w:pPr>
      <w:r>
        <w:rPr>
          <w:rFonts w:ascii="Arial" w:cs="Arial" w:eastAsia="Arial" w:hAnsi="Arial"/>
          <w:b/>
          <w:bCs/>
          <w:color w:val="1F3864"/>
          <w:sz w:val="32"/>
          <w:szCs w:val="32"/>
        </w:rPr>
        <w:t xml:space="preserve">Appendix A: KVS Scoring of Paper 3 as Improvement Candidate</w:t>
      </w:r>
    </w:p>
    <w:p>
      <w:pPr>
        <w:spacing w:before="120" w:after="120" w:line="360"/>
        <w:jc w:val="both"/>
      </w:pPr>
      <w:r>
        <w:rPr>
          <w:rFonts w:ascii="Arial" w:cs="Arial" w:eastAsia="Arial" w:hAnsi="Arial"/>
          <w:sz w:val="24"/>
          <w:szCs w:val="24"/>
        </w:rPr>
        <w:t xml:space="preserve">Consistent with the Self-Referential Applicability Theorem (Theorem 4.3, Paper 1), Paper 3 applies the KVS framework to its own central contribution — the specification of the question structure schema — as a governance improvement candidate for the Meta-Kaizen framework itself.</w:t>
      </w:r>
    </w:p>
    <w:p>
      <w:pPr>
        <w:spacing w:before="120" w:after="120" w:line="360"/>
        <w:jc w:val="both"/>
      </w:pPr>
      <w:r>
        <w:rPr>
          <w:rFonts w:ascii="Arial" w:cs="Arial" w:eastAsia="Arial" w:hAnsi="Arial"/>
          <w:sz w:val="24"/>
          <w:szCs w:val="24"/>
        </w:rPr>
        <w:t xml:space="preserve">This scoring is not symbolic. It is the operational demonstration of Theorem 4.3: the framework applies to decisions about its own design without logical circularity, because the scoring is performed after the decision is made and its value can be assessed independently. And it is consistent with the Brouwer Fixed Point resolution in Paper 2: the self-evaluation contributes to the iterative calibration sequence that converges toward the self-consistent governance equilibrium G*.</w:t>
      </w:r>
    </w:p>
    <w:p>
      <w:pPr>
        <w:pStyle w:val="Heading3"/>
        <w:spacing w:before="240" w:after="120"/>
      </w:pPr>
      <w:r>
        <w:rPr>
          <w:rFonts w:ascii="Arial" w:cs="Arial" w:eastAsia="Arial" w:hAnsi="Arial"/>
          <w:b/>
          <w:bCs/>
          <w:color w:val="1F3864"/>
          <w:sz w:val="24"/>
          <w:szCs w:val="24"/>
        </w:rPr>
        <w:t xml:space="preserve">Substrate: Meta-Kaizen governance framework, specifically the override record schema</w:t>
      </w:r>
    </w:p>
    <w:p>
      <w:pPr>
        <w:pStyle w:val="Heading3"/>
        <w:spacing w:before="240" w:after="120"/>
      </w:pPr>
      <w:r>
        <w:rPr>
          <w:rFonts w:ascii="Arial" w:cs="Arial" w:eastAsia="Arial" w:hAnsi="Arial"/>
          <w:b/>
          <w:bCs/>
          <w:color w:val="1F3864"/>
          <w:sz w:val="24"/>
          <w:szCs w:val="24"/>
        </w:rPr>
        <w:t xml:space="preserve">Candidate Improvement: Addition of four-element question structure schema with conversational elicitation protocol</w:t>
      </w:r>
    </w:p>
    <w:p>
      <w:pPr>
        <w:pStyle w:val="Heading3"/>
        <w:spacing w:before="240" w:after="120"/>
      </w:pPr>
      <w:r>
        <w:rPr>
          <w:rFonts w:ascii="Arial" w:cs="Arial" w:eastAsia="Arial" w:hAnsi="Arial"/>
          <w:b/>
          <w:bCs/>
          <w:color w:val="1F3864"/>
          <w:sz w:val="24"/>
          <w:szCs w:val="24"/>
        </w:rPr>
        <w:t xml:space="preserve">N — Novelty Score</w:t>
      </w:r>
    </w:p>
    <w:p>
      <w:pPr>
        <w:spacing w:before="120" w:after="120" w:line="360"/>
        <w:jc w:val="both"/>
      </w:pPr>
      <w:r>
        <w:rPr>
          <w:rFonts w:ascii="Arial" w:cs="Arial" w:eastAsia="Arial" w:hAnsi="Arial"/>
          <w:sz w:val="24"/>
          <w:szCs w:val="24"/>
        </w:rPr>
        <w:t xml:space="preserve">The four elements individually are not novel: the challenge taxonomy derives from Aristotle's Topics (4th century BCE), the orthogonal domain requirement from Koestler's bisociation theory (1964), the principle establishment requirement from Roman stare decisis doctrine (c. 100 BCE–500 CE), and the applicability conditions from legal jurisprudence's ratio decidendi specification. However, their combination as a unified schema element in a computational governance framework, with a conversational elicitation protocol designed for practitioner use, has no prior instance in the governance or knowledge management literature, as established through the targeted literature review in Section 2.5. N ≈ 0.82, reflecting genuine novelty of combination with appropriate discount for self-assessment uncertainty.</w:t>
      </w:r>
    </w:p>
    <w:p>
      <w:pPr>
        <w:pStyle w:val="Heading3"/>
        <w:spacing w:before="240" w:after="120"/>
      </w:pPr>
      <w:r>
        <w:rPr>
          <w:rFonts w:ascii="Arial" w:cs="Arial" w:eastAsia="Arial" w:hAnsi="Arial"/>
          <w:b/>
          <w:bCs/>
          <w:color w:val="1F3864"/>
          <w:sz w:val="24"/>
          <w:szCs w:val="24"/>
        </w:rPr>
        <w:t xml:space="preserve">I′ — Impact Score</w:t>
      </w:r>
    </w:p>
    <w:p>
      <w:pPr>
        <w:spacing w:before="120" w:after="120" w:line="360"/>
        <w:jc w:val="both"/>
      </w:pPr>
      <w:r>
        <w:rPr>
          <w:rFonts w:ascii="Arial" w:cs="Arial" w:eastAsia="Arial" w:hAnsi="Arial"/>
          <w:sz w:val="24"/>
          <w:szCs w:val="24"/>
        </w:rPr>
        <w:t xml:space="preserve">The impact is structural rather than incremental if the implementation succeeds: the change converts the network from an answer archive to a reasoning network. However, the impact claims are conditional on three unvalidated empirical dependencies: practitioner adoption of the elicitation protocol at sufficient fidelity, network growth to sufficient scale to produce a meaningful question library, and semantic classification accuracy adequate for useful search. These conditions are testable and the design is oriented toward satisfying them, but they are not yet satisfied. The impact score reflects the structural significance of the change if the conditions are met, discounted for conditionality. I′ ≈ 0.83.</w:t>
      </w:r>
    </w:p>
    <w:p>
      <w:pPr>
        <w:pStyle w:val="Heading3"/>
        <w:spacing w:before="240" w:after="120"/>
      </w:pPr>
      <w:r>
        <w:rPr>
          <w:rFonts w:ascii="Arial" w:cs="Arial" w:eastAsia="Arial" w:hAnsi="Arial"/>
          <w:b/>
          <w:bCs/>
          <w:color w:val="1F3864"/>
          <w:sz w:val="24"/>
          <w:szCs w:val="24"/>
        </w:rPr>
        <w:t xml:space="preserve">C′ — Complexity Score</w:t>
      </w:r>
    </w:p>
    <w:p>
      <w:pPr>
        <w:spacing w:before="120" w:after="120" w:line="360"/>
        <w:jc w:val="both"/>
      </w:pPr>
      <w:r>
        <w:rPr>
          <w:rFonts w:ascii="Arial" w:cs="Arial" w:eastAsia="Arial" w:hAnsi="Arial"/>
          <w:sz w:val="24"/>
          <w:szCs w:val="24"/>
        </w:rPr>
        <w:t xml:space="preserve">The schema addition increases the principal’s cognitive burden at the moment of override. The conversational elicitation protocol specified in Section 2.4, including branching logic and edge-case handling, is designed to absorb this burden. The protocol is now fully specified rather than sketched, which reduces implementation ambiguity. Residual complexity risk arises from the semantic classification requirement — the software must perform reliable natural language classification across four challenge types and a growing domain taxonomy. This is technically feasible using current NLP methods but requires careful implementation and testing. The schema change propagates through the core data model, interface layer, network protocol, and audit log. C′ ≈ 0.76, revised upward from the initial assessment to reflect the fuller protocol specification now provided.</w:t>
      </w:r>
    </w:p>
    <w:p>
      <w:pPr>
        <w:pStyle w:val="Heading3"/>
        <w:spacing w:before="240" w:after="120"/>
      </w:pPr>
      <w:r>
        <w:rPr>
          <w:rFonts w:ascii="Arial" w:cs="Arial" w:eastAsia="Arial" w:hAnsi="Arial"/>
          <w:b/>
          <w:bCs/>
          <w:color w:val="1F3864"/>
          <w:sz w:val="24"/>
          <w:szCs w:val="24"/>
        </w:rPr>
        <w:t xml:space="preserve">T — Timeliness Score</w:t>
      </w:r>
    </w:p>
    <w:p>
      <w:pPr>
        <w:spacing w:before="120" w:after="120" w:line="360"/>
        <w:jc w:val="both"/>
      </w:pPr>
      <w:r>
        <w:rPr>
          <w:rFonts w:ascii="Arial" w:cs="Arial" w:eastAsia="Arial" w:hAnsi="Arial"/>
          <w:sz w:val="24"/>
          <w:szCs w:val="24"/>
        </w:rPr>
        <w:t xml:space="preserve">The schema must be specified before the software is built. Changing it after the software is deployed and the network has accumulated records would require migration of existing records or bifurcation of the schema across versions — both costly. The cost of this specification at this moment is near zero. T ≈ 0.97.</w:t>
      </w:r>
    </w:p>
    <w:p>
      <w:pPr>
        <w:spacing w:before="240" w:after="60"/>
        <w:ind w:left="360"/>
      </w:pPr>
      <w:r>
        <w:rPr>
          <w:rFonts w:ascii="Arial" w:cs="Arial" w:eastAsia="Arial" w:hAnsi="Arial"/>
          <w:b/>
          <w:bCs/>
          <w:color w:val="1F3864"/>
          <w:sz w:val="24"/>
          <w:szCs w:val="24"/>
        </w:rPr>
        <w:t xml:space="preserve">KVS Computation (Revised)</w:t>
      </w:r>
    </w:p>
    <w:p>
      <w:pPr>
        <w:shd w:fill="EEF4FB" w:val="clear"/>
        <w:spacing w:before="60" w:after="240" w:line="360"/>
        <w:ind w:left="360" w:right="360"/>
        <w:jc w:val="both"/>
      </w:pPr>
      <w:r>
        <w:rPr>
          <w:rFonts w:ascii="Arial" w:cs="Arial" w:eastAsia="Arial" w:hAnsi="Arial"/>
          <w:i/>
          <w:iCs/>
          <w:sz w:val="24"/>
          <w:szCs w:val="24"/>
        </w:rPr>
        <w:t xml:space="preserve">KVS = N × I′ × C′ × T = 0.82 × 0.83 × 0.76 × 0.97 ≈ 0.502</w:t>
      </w:r>
    </w:p>
    <w:p>
      <w:pPr>
        <w:spacing w:before="120" w:after="120" w:line="360"/>
        <w:jc w:val="both"/>
      </w:pPr>
      <w:r>
        <w:rPr>
          <w:rFonts w:ascii="Arial" w:cs="Arial" w:eastAsia="Arial" w:hAnsi="Arial"/>
          <w:sz w:val="24"/>
          <w:szCs w:val="24"/>
        </w:rPr>
        <w:t xml:space="preserve">The revised KVS of 0.502 exceeds the adoption threshold of κ = 0.50. The margin is narrow and intentionally so: a paper that scores far above its own threshold without acknowledging its limitations would be violating the epistemic honesty the framework requires. The question structure schema is adopted as a mandatory component of the Meta-Kaizen override record. The adoption is conditional on sandbox validation confirming that the conversational elicitation protocol performs as specified under realistic conditions.</w:t>
      </w:r>
    </w:p>
    <w:p>
      <w:pPr>
        <w:spacing w:before="120" w:after="120" w:line="360"/>
        <w:jc w:val="both"/>
      </w:pPr>
      <w:r>
        <w:rPr>
          <w:rFonts w:ascii="Arial" w:cs="Arial" w:eastAsia="Arial" w:hAnsi="Arial"/>
          <w:sz w:val="24"/>
          <w:szCs w:val="24"/>
        </w:rPr>
        <w:t xml:space="preserve">This scoring supersedes the initial assessment in the first draft of this paper, which scored 0.436 on honest evaluation. The revision addresses the three deficiencies identified in that evaluation: the protocol is now fully specified (C′ revised upward), the novelty claim is now demonstrated through targeted literature review (N revised to reflect examined rather than asserted novelty), and the impact claims are now explicitly framed as conditional on implementation (I′ revised to reflect conditionality honestly). The framework applied to the paper produced a better paper. That is the self-referential applicability theorem operating as designed.</w:t>
      </w:r>
    </w:p>
    <w:p>
      <w:r>
        <w:br w:type="page"/>
      </w:r>
    </w:p>
    <w:p>
      <w:pPr>
        <w:pStyle w:val="Heading1"/>
        <w:spacing w:before="480" w:after="240"/>
      </w:pPr>
      <w:r>
        <w:rPr>
          <w:rFonts w:ascii="Arial" w:cs="Arial" w:eastAsia="Arial" w:hAnsi="Arial"/>
          <w:b/>
          <w:bCs/>
          <w:color w:val="1F3864"/>
          <w:sz w:val="32"/>
          <w:szCs w:val="32"/>
        </w:rPr>
        <w:t xml:space="preserve">Appendix B: The Question Structure Record for Paper 3</w:t>
      </w:r>
    </w:p>
    <w:p>
      <w:pPr>
        <w:spacing w:before="120" w:after="120" w:line="360"/>
        <w:jc w:val="both"/>
      </w:pPr>
      <w:r>
        <w:rPr>
          <w:rFonts w:ascii="Arial" w:cs="Arial" w:eastAsia="Arial" w:hAnsi="Arial"/>
          <w:sz w:val="24"/>
          <w:szCs w:val="24"/>
        </w:rPr>
        <w:t xml:space="preserve">Consistent with the requirement that question structure records be generated for all significant override decisions, Paper 3 itself documents its own question structure — the reasoning that made this paper's central contribution visible.</w:t>
      </w:r>
    </w:p>
    <w:p>
      <w:pPr>
        <w:spacing w:before="120" w:after="120" w:line="360"/>
        <w:jc w:val="both"/>
      </w:pPr>
      <w:r>
        <w:rPr>
          <w:rFonts w:ascii="Arial" w:cs="Arial" w:eastAsia="Arial" w:hAnsi="Arial"/>
          <w:sz w:val="24"/>
          <w:szCs w:val="24"/>
        </w:rPr>
        <w:t xml:space="preserve">This record is itself the first entry in the Meta-Kaizen question library.</w:t>
      </w:r>
    </w:p>
    <w:p>
      <w:pPr>
        <w:pStyle w:val="Heading3"/>
        <w:spacing w:before="240" w:after="120"/>
      </w:pPr>
      <w:r>
        <w:rPr>
          <w:rFonts w:ascii="Arial" w:cs="Arial" w:eastAsia="Arial" w:hAnsi="Arial"/>
          <w:b/>
          <w:bCs/>
          <w:color w:val="1F3864"/>
          <w:sz w:val="24"/>
          <w:szCs w:val="24"/>
        </w:rPr>
        <w:t xml:space="preserve">Governing Assumption Challenged</w:t>
      </w:r>
    </w:p>
    <w:p>
      <w:pPr>
        <w:spacing w:before="120" w:after="120" w:line="360"/>
        <w:jc w:val="both"/>
      </w:pPr>
      <w:r>
        <w:rPr>
          <w:rFonts w:ascii="Arial" w:cs="Arial" w:eastAsia="Arial" w:hAnsi="Arial"/>
          <w:sz w:val="24"/>
          <w:szCs w:val="24"/>
        </w:rPr>
        <w:t xml:space="preserve">The algorithm (Paper 2's network specification) was operating under the assumption that the decision is the irreducible unit of institutional memory — the assumption universal to every governance system in the historical record. This assumption was identified as incorrect not because decisions are unimportant but because the assumption, taken as complete, systematically discards the reasoning that produced the decision and makes institutional wisdom dependent on the continued presence of the individual who generated it.</w:t>
      </w:r>
    </w:p>
    <w:p>
      <w:pPr>
        <w:pStyle w:val="Heading3"/>
        <w:spacing w:before="240" w:after="120"/>
      </w:pPr>
      <w:r>
        <w:rPr>
          <w:rFonts w:ascii="Arial" w:cs="Arial" w:eastAsia="Arial" w:hAnsi="Arial"/>
          <w:b/>
          <w:bCs/>
          <w:color w:val="1F3864"/>
          <w:sz w:val="24"/>
          <w:szCs w:val="24"/>
        </w:rPr>
        <w:t xml:space="preserve">Orthogonal Domain</w:t>
      </w:r>
    </w:p>
    <w:p>
      <w:pPr>
        <w:spacing w:before="120" w:after="120" w:line="360"/>
        <w:jc w:val="both"/>
      </w:pPr>
      <w:r>
        <w:rPr>
          <w:rFonts w:ascii="Arial" w:cs="Arial" w:eastAsia="Arial" w:hAnsi="Arial"/>
          <w:sz w:val="24"/>
          <w:szCs w:val="24"/>
        </w:rPr>
        <w:t xml:space="preserve">The challenge originated simultaneously from four orthogonal domains that converged on the same insight from different directions: Roman jurisprudence (the case report and ratio decidendi as a historical solution to question structure propagation), the classical Trivium and Quadrivium (the formal theory of how reasoning capacity propagates across minds), the AI alignment research program (Constitutional AI and chain-of-thought prompting as engineering solutions to the same problem in computational systems), and the distributed cognition literature (the theory of cognitive artifacts and the extended mind).</w:t>
      </w:r>
    </w:p>
    <w:p>
      <w:pPr>
        <w:spacing w:before="120" w:after="120" w:line="360"/>
        <w:jc w:val="both"/>
      </w:pPr>
      <w:r>
        <w:rPr>
          <w:rFonts w:ascii="Arial" w:cs="Arial" w:eastAsia="Arial" w:hAnsi="Arial"/>
          <w:sz w:val="24"/>
          <w:szCs w:val="24"/>
        </w:rPr>
        <w:t xml:space="preserve">The convergence of four independent domains on the same structural insight is itself evidence for the claim: when multiple matrices of thought, operating independently, identify the same gap in the same place, the gap is real and the insight is not domain-specific.</w:t>
      </w:r>
    </w:p>
    <w:p>
      <w:pPr>
        <w:pStyle w:val="Heading3"/>
        <w:spacing w:before="240" w:after="120"/>
      </w:pPr>
      <w:r>
        <w:rPr>
          <w:rFonts w:ascii="Arial" w:cs="Arial" w:eastAsia="Arial" w:hAnsi="Arial"/>
          <w:b/>
          <w:bCs/>
          <w:color w:val="1F3864"/>
          <w:sz w:val="24"/>
          <w:szCs w:val="24"/>
        </w:rPr>
        <w:t xml:space="preserve">Principle Established</w:t>
      </w:r>
    </w:p>
    <w:p>
      <w:pPr>
        <w:spacing w:before="120" w:after="120" w:line="360"/>
        <w:jc w:val="both"/>
      </w:pPr>
      <w:r>
        <w:rPr>
          <w:rFonts w:ascii="Arial" w:cs="Arial" w:eastAsia="Arial" w:hAnsi="Arial"/>
          <w:sz w:val="24"/>
          <w:szCs w:val="24"/>
        </w:rPr>
        <w:t xml:space="preserve">A governance framework that captures decisions without capturing the question structures that produced them is architecturally incomplete in a specifiable way. The minimum structure for completeness is the four-element question structure schema: governing assumption challenged, orthogonal domain, principle established, domain of applicability. A governance framework that captures this minimum structure at the moment of principal override is capable of functioning as a genuine reasoning network rather than an answer archive.</w:t>
      </w:r>
    </w:p>
    <w:p>
      <w:pPr>
        <w:pStyle w:val="Heading3"/>
        <w:spacing w:before="240" w:after="120"/>
      </w:pPr>
      <w:r>
        <w:rPr>
          <w:rFonts w:ascii="Arial" w:cs="Arial" w:eastAsia="Arial" w:hAnsi="Arial"/>
          <w:b/>
          <w:bCs/>
          <w:color w:val="1F3864"/>
          <w:sz w:val="24"/>
          <w:szCs w:val="24"/>
        </w:rPr>
        <w:t xml:space="preserve">Domain of Applicability</w:t>
      </w:r>
    </w:p>
    <w:p>
      <w:pPr>
        <w:spacing w:before="120" w:after="120" w:line="360"/>
        <w:jc w:val="both"/>
      </w:pPr>
      <w:r>
        <w:rPr>
          <w:rFonts w:ascii="Arial" w:cs="Arial" w:eastAsia="Arial" w:hAnsi="Arial"/>
          <w:sz w:val="24"/>
          <w:szCs w:val="24"/>
        </w:rPr>
        <w:t xml:space="preserve">This principle applies to any governance framework that: (i) makes consequential decisions that are recorded, (ii) has a mechanism for human override of algorithmic or procedural recommendations, (iii) operates across time in a way that makes the accumulation of institutional wisdom valuable, and (iv) faces the risk of losing institutional knowledge when experienced practitioners leave. This description applies to virtually every governance framework currently operating in any domain. The principle is not Meta-Kaizen-specific. It is universal to the problem of institutional memory.</w:t>
      </w:r>
    </w:p>
    <w:p>
      <w:r>
        <w:br w:type="page"/>
      </w:r>
    </w:p>
    <w:p>
      <w:pPr>
        <w:pStyle w:val="Heading1"/>
        <w:spacing w:before="480" w:after="240"/>
      </w:pPr>
      <w:r>
        <w:rPr>
          <w:rFonts w:ascii="Arial" w:cs="Arial" w:eastAsia="Arial" w:hAnsi="Arial"/>
          <w:b/>
          <w:bCs/>
          <w:color w:val="1F3864"/>
          <w:sz w:val="32"/>
          <w:szCs w:val="32"/>
        </w:rPr>
        <w:t xml:space="preserve">References</w:t>
      </w:r>
    </w:p>
    <w:p>
      <w:r>
        <w:t xml:space="preserve"/>
      </w:r>
    </w:p>
    <w:p>
      <w:pPr>
        <w:spacing w:before="120" w:after="120" w:line="360"/>
        <w:jc w:val="both"/>
      </w:pPr>
      <w:r>
        <w:rPr>
          <w:rFonts w:ascii="Arial" w:cs="Arial" w:eastAsia="Arial" w:hAnsi="Arial"/>
          <w:b/>
          <w:bCs/>
          <w:sz w:val="24"/>
          <w:szCs w:val="24"/>
        </w:rPr>
        <w:t xml:space="preserve">Classical and Historical Sources</w:t>
      </w:r>
    </w:p>
    <w:p>
      <w:pPr>
        <w:spacing w:before="60" w:after="60"/>
        <w:ind w:left="720" w:hanging="360"/>
      </w:pPr>
      <w:r>
        <w:rPr>
          <w:rFonts w:ascii="Arial" w:cs="Arial" w:eastAsia="Arial" w:hAnsi="Arial"/>
          <w:b/>
          <w:bCs/>
          <w:sz w:val="20"/>
          <w:szCs w:val="20"/>
        </w:rPr>
        <w:t xml:space="preserve">[1] </w:t>
      </w:r>
      <w:r>
        <w:rPr>
          <w:rFonts w:ascii="Arial" w:cs="Arial" w:eastAsia="Arial" w:hAnsi="Arial"/>
          <w:sz w:val="20"/>
          <w:szCs w:val="20"/>
        </w:rPr>
        <w:t xml:space="preserve">Aristotle. Topics. c. 350 BCE. Trans. W.A. Pickard-Cambridge. In The Complete Works of Aristotle, ed. Jonathan Barnes. Princeton University Press, 1984.</w:t>
      </w:r>
    </w:p>
    <w:p>
      <w:pPr>
        <w:spacing w:before="60" w:after="60"/>
        <w:ind w:left="720" w:hanging="360"/>
      </w:pPr>
      <w:r>
        <w:rPr>
          <w:rFonts w:ascii="Arial" w:cs="Arial" w:eastAsia="Arial" w:hAnsi="Arial"/>
          <w:b/>
          <w:bCs/>
          <w:sz w:val="20"/>
          <w:szCs w:val="20"/>
        </w:rPr>
        <w:t xml:space="preserve">[2] </w:t>
      </w:r>
      <w:r>
        <w:rPr>
          <w:rFonts w:ascii="Arial" w:cs="Arial" w:eastAsia="Arial" w:hAnsi="Arial"/>
          <w:sz w:val="20"/>
          <w:szCs w:val="20"/>
        </w:rPr>
        <w:t xml:space="preserve">Cicero, Marcus Tullius. De Oratore. c. 55 BCE. Trans. E.W. Sutton and H. Rackham. Loeb Classical Library. Harvard University Press, 1942.</w:t>
      </w:r>
    </w:p>
    <w:p>
      <w:pPr>
        <w:spacing w:before="60" w:after="60"/>
        <w:ind w:left="720" w:hanging="360"/>
      </w:pPr>
      <w:r>
        <w:rPr>
          <w:rFonts w:ascii="Arial" w:cs="Arial" w:eastAsia="Arial" w:hAnsi="Arial"/>
          <w:b/>
          <w:bCs/>
          <w:sz w:val="20"/>
          <w:szCs w:val="20"/>
        </w:rPr>
        <w:t xml:space="preserve">[3] </w:t>
      </w:r>
      <w:r>
        <w:rPr>
          <w:rFonts w:ascii="Arial" w:cs="Arial" w:eastAsia="Arial" w:hAnsi="Arial"/>
          <w:sz w:val="20"/>
          <w:szCs w:val="20"/>
        </w:rPr>
        <w:t xml:space="preserve">Quintilian, Marcus Fabianus. Institutio Oratoria. c. 95 CE. Trans. H.E. Butler. Loeb Classical Library. Harvard University Press, 1920.</w:t>
      </w:r>
    </w:p>
    <w:p>
      <w:pPr>
        <w:spacing w:before="60" w:after="60"/>
        <w:ind w:left="720" w:hanging="360"/>
      </w:pPr>
      <w:r>
        <w:rPr>
          <w:rFonts w:ascii="Arial" w:cs="Arial" w:eastAsia="Arial" w:hAnsi="Arial"/>
          <w:b/>
          <w:bCs/>
          <w:sz w:val="20"/>
          <w:szCs w:val="20"/>
        </w:rPr>
        <w:t xml:space="preserve">[4] </w:t>
      </w:r>
      <w:r>
        <w:rPr>
          <w:rFonts w:ascii="Arial" w:cs="Arial" w:eastAsia="Arial" w:hAnsi="Arial"/>
          <w:sz w:val="20"/>
          <w:szCs w:val="20"/>
        </w:rPr>
        <w:t xml:space="preserve">Plato. Meno; Phaedo; The Republic. c. 380 BCE. Trans. G.M.A. Grube, rev. C.D.C. Reeve. In Plato: Complete Works, ed. John M. Cooper. Hackett, 1997.</w:t>
      </w:r>
    </w:p>
    <w:p>
      <w:r>
        <w:t xml:space="preserve"/>
      </w:r>
    </w:p>
    <w:p>
      <w:pPr>
        <w:spacing w:before="120" w:after="120" w:line="360"/>
        <w:jc w:val="both"/>
      </w:pPr>
      <w:r>
        <w:rPr>
          <w:rFonts w:ascii="Arial" w:cs="Arial" w:eastAsia="Arial" w:hAnsi="Arial"/>
          <w:b/>
          <w:bCs/>
          <w:sz w:val="24"/>
          <w:szCs w:val="24"/>
        </w:rPr>
        <w:t xml:space="preserve">Creativity and Lateral Thinking</w:t>
      </w:r>
    </w:p>
    <w:p>
      <w:pPr>
        <w:spacing w:before="60" w:after="60"/>
        <w:ind w:left="720" w:hanging="360"/>
      </w:pPr>
      <w:r>
        <w:rPr>
          <w:rFonts w:ascii="Arial" w:cs="Arial" w:eastAsia="Arial" w:hAnsi="Arial"/>
          <w:b/>
          <w:bCs/>
          <w:sz w:val="20"/>
          <w:szCs w:val="20"/>
        </w:rPr>
        <w:t xml:space="preserve">[5] </w:t>
      </w:r>
      <w:r>
        <w:rPr>
          <w:rFonts w:ascii="Arial" w:cs="Arial" w:eastAsia="Arial" w:hAnsi="Arial"/>
          <w:sz w:val="20"/>
          <w:szCs w:val="20"/>
        </w:rPr>
        <w:t xml:space="preserve">Koestler, Arthur. The Act of Creation. Hutchinson, 1964.</w:t>
      </w:r>
    </w:p>
    <w:p>
      <w:pPr>
        <w:spacing w:before="60" w:after="60"/>
        <w:ind w:left="720" w:hanging="360"/>
      </w:pPr>
      <w:r>
        <w:rPr>
          <w:rFonts w:ascii="Arial" w:cs="Arial" w:eastAsia="Arial" w:hAnsi="Arial"/>
          <w:b/>
          <w:bCs/>
          <w:sz w:val="20"/>
          <w:szCs w:val="20"/>
        </w:rPr>
        <w:t xml:space="preserve">[6] </w:t>
      </w:r>
      <w:r>
        <w:rPr>
          <w:rFonts w:ascii="Arial" w:cs="Arial" w:eastAsia="Arial" w:hAnsi="Arial"/>
          <w:sz w:val="20"/>
          <w:szCs w:val="20"/>
        </w:rPr>
        <w:t xml:space="preserve">de Bono, Edward. The Use of Lateral Thinking. Jonathan Cape, 1967.</w:t>
      </w:r>
    </w:p>
    <w:p>
      <w:pPr>
        <w:spacing w:before="60" w:after="60"/>
        <w:ind w:left="720" w:hanging="360"/>
      </w:pPr>
      <w:r>
        <w:rPr>
          <w:rFonts w:ascii="Arial" w:cs="Arial" w:eastAsia="Arial" w:hAnsi="Arial"/>
          <w:b/>
          <w:bCs/>
          <w:sz w:val="20"/>
          <w:szCs w:val="20"/>
        </w:rPr>
        <w:t xml:space="preserve">[7] </w:t>
      </w:r>
      <w:r>
        <w:rPr>
          <w:rFonts w:ascii="Arial" w:cs="Arial" w:eastAsia="Arial" w:hAnsi="Arial"/>
          <w:sz w:val="20"/>
          <w:szCs w:val="20"/>
        </w:rPr>
        <w:t xml:space="preserve">de Bono, Edward. Lateral Thinking: Creativity Step by Step. Harper &amp; Row, 1970.</w:t>
      </w:r>
    </w:p>
    <w:p>
      <w:pPr>
        <w:spacing w:before="60" w:after="60"/>
        <w:ind w:left="720" w:hanging="360"/>
      </w:pPr>
      <w:r>
        <w:rPr>
          <w:rFonts w:ascii="Arial" w:cs="Arial" w:eastAsia="Arial" w:hAnsi="Arial"/>
          <w:b/>
          <w:bCs/>
          <w:sz w:val="20"/>
          <w:szCs w:val="20"/>
        </w:rPr>
        <w:t xml:space="preserve">[8] </w:t>
      </w:r>
      <w:r>
        <w:rPr>
          <w:rFonts w:ascii="Arial" w:cs="Arial" w:eastAsia="Arial" w:hAnsi="Arial"/>
          <w:sz w:val="20"/>
          <w:szCs w:val="20"/>
        </w:rPr>
        <w:t xml:space="preserve">de Bono, Edward. Six Thinking Hats. Little, Brown, 1985.</w:t>
      </w:r>
    </w:p>
    <w:p>
      <w:pPr>
        <w:spacing w:before="60" w:after="60"/>
        <w:ind w:left="720" w:hanging="360"/>
      </w:pPr>
      <w:r>
        <w:rPr>
          <w:rFonts w:ascii="Arial" w:cs="Arial" w:eastAsia="Arial" w:hAnsi="Arial"/>
          <w:b/>
          <w:bCs/>
          <w:sz w:val="20"/>
          <w:szCs w:val="20"/>
        </w:rPr>
        <w:t xml:space="preserve">[9] </w:t>
      </w:r>
      <w:r>
        <w:rPr>
          <w:rFonts w:ascii="Arial" w:cs="Arial" w:eastAsia="Arial" w:hAnsi="Arial"/>
          <w:sz w:val="20"/>
          <w:szCs w:val="20"/>
        </w:rPr>
        <w:t xml:space="preserve">de Bono, Edward. Serious Creativity. HarperBusiness, 1992.</w:t>
      </w:r>
    </w:p>
    <w:p>
      <w:r>
        <w:t xml:space="preserve"/>
      </w:r>
    </w:p>
    <w:p>
      <w:pPr>
        <w:spacing w:before="120" w:after="120" w:line="360"/>
        <w:jc w:val="both"/>
      </w:pPr>
      <w:r>
        <w:rPr>
          <w:rFonts w:ascii="Arial" w:cs="Arial" w:eastAsia="Arial" w:hAnsi="Arial"/>
          <w:b/>
          <w:bCs/>
          <w:sz w:val="24"/>
          <w:szCs w:val="24"/>
        </w:rPr>
        <w:t xml:space="preserve">Organizational Learning</w:t>
      </w:r>
    </w:p>
    <w:p>
      <w:pPr>
        <w:spacing w:before="60" w:after="60"/>
        <w:ind w:left="720" w:hanging="360"/>
      </w:pPr>
      <w:r>
        <w:rPr>
          <w:rFonts w:ascii="Arial" w:cs="Arial" w:eastAsia="Arial" w:hAnsi="Arial"/>
          <w:b/>
          <w:bCs/>
          <w:sz w:val="20"/>
          <w:szCs w:val="20"/>
        </w:rPr>
        <w:t xml:space="preserve">[10] </w:t>
      </w:r>
      <w:r>
        <w:rPr>
          <w:rFonts w:ascii="Arial" w:cs="Arial" w:eastAsia="Arial" w:hAnsi="Arial"/>
          <w:sz w:val="20"/>
          <w:szCs w:val="20"/>
        </w:rPr>
        <w:t xml:space="preserve">Argyris, Chris. 'Double Loop Learning in Organizations.' Harvard Business Review, September–October 1977, pp. 115–124.</w:t>
      </w:r>
    </w:p>
    <w:p>
      <w:pPr>
        <w:spacing w:before="60" w:after="60"/>
        <w:ind w:left="720" w:hanging="360"/>
      </w:pPr>
      <w:r>
        <w:rPr>
          <w:rFonts w:ascii="Arial" w:cs="Arial" w:eastAsia="Arial" w:hAnsi="Arial"/>
          <w:b/>
          <w:bCs/>
          <w:sz w:val="20"/>
          <w:szCs w:val="20"/>
        </w:rPr>
        <w:t xml:space="preserve">[11] </w:t>
      </w:r>
      <w:r>
        <w:rPr>
          <w:rFonts w:ascii="Arial" w:cs="Arial" w:eastAsia="Arial" w:hAnsi="Arial"/>
          <w:sz w:val="20"/>
          <w:szCs w:val="20"/>
        </w:rPr>
        <w:t xml:space="preserve">Argyris, Chris, and Donald Schön. Organizational Learning: A Theory of Action Perspective. Addison-Wesley, 1978.</w:t>
      </w:r>
    </w:p>
    <w:p>
      <w:pPr>
        <w:spacing w:before="60" w:after="60"/>
        <w:ind w:left="720" w:hanging="360"/>
      </w:pPr>
      <w:r>
        <w:rPr>
          <w:rFonts w:ascii="Arial" w:cs="Arial" w:eastAsia="Arial" w:hAnsi="Arial"/>
          <w:b/>
          <w:bCs/>
          <w:sz w:val="20"/>
          <w:szCs w:val="20"/>
        </w:rPr>
        <w:t xml:space="preserve">[12] </w:t>
      </w:r>
      <w:r>
        <w:rPr>
          <w:rFonts w:ascii="Arial" w:cs="Arial" w:eastAsia="Arial" w:hAnsi="Arial"/>
          <w:sz w:val="20"/>
          <w:szCs w:val="20"/>
        </w:rPr>
        <w:t xml:space="preserve">Nonaka, Ikujiro, and Hirotaka Takeuchi. The Knowledge-Creating Company: How Japanese Companies Create the Dynamics of Innovation. Oxford University Press, 1995.</w:t>
      </w:r>
    </w:p>
    <w:p>
      <w:pPr>
        <w:spacing w:before="60" w:after="60"/>
        <w:ind w:left="720" w:hanging="360"/>
      </w:pPr>
      <w:r>
        <w:rPr>
          <w:rFonts w:ascii="Arial" w:cs="Arial" w:eastAsia="Arial" w:hAnsi="Arial"/>
          <w:b/>
          <w:bCs/>
          <w:sz w:val="20"/>
          <w:szCs w:val="20"/>
        </w:rPr>
        <w:t xml:space="preserve">[13] </w:t>
      </w:r>
      <w:r>
        <w:rPr>
          <w:rFonts w:ascii="Arial" w:cs="Arial" w:eastAsia="Arial" w:hAnsi="Arial"/>
          <w:sz w:val="20"/>
          <w:szCs w:val="20"/>
        </w:rPr>
        <w:t xml:space="preserve">Nonaka, Ikujiro, Ryoko Toyama, and Noboru Konno. 'SECI, Ba and Leadership: A Unified Model of Dynamic Knowledge Creation.' Long Range Planning 33, no. 1 (2000): 5–34.</w:t>
      </w:r>
    </w:p>
    <w:p>
      <w:pPr>
        <w:spacing w:before="60" w:after="60"/>
        <w:ind w:left="720" w:hanging="360"/>
      </w:pPr>
      <w:r>
        <w:rPr>
          <w:rFonts w:ascii="Arial" w:cs="Arial" w:eastAsia="Arial" w:hAnsi="Arial"/>
          <w:b/>
          <w:bCs/>
          <w:sz w:val="20"/>
          <w:szCs w:val="20"/>
        </w:rPr>
        <w:t xml:space="preserve">[14] </w:t>
      </w:r>
      <w:r>
        <w:rPr>
          <w:rFonts w:ascii="Arial" w:cs="Arial" w:eastAsia="Arial" w:hAnsi="Arial"/>
          <w:sz w:val="20"/>
          <w:szCs w:val="20"/>
        </w:rPr>
        <w:t xml:space="preserve">Senge, Peter. The Fifth Discipline: The Art and Practice of the Learning Organization. Doubleday, 1990.</w:t>
      </w:r>
    </w:p>
    <w:p>
      <w:r>
        <w:t xml:space="preserve"/>
      </w:r>
    </w:p>
    <w:p>
      <w:pPr>
        <w:spacing w:before="120" w:after="120" w:line="360"/>
        <w:jc w:val="both"/>
      </w:pPr>
      <w:r>
        <w:rPr>
          <w:rFonts w:ascii="Arial" w:cs="Arial" w:eastAsia="Arial" w:hAnsi="Arial"/>
          <w:b/>
          <w:bCs/>
          <w:sz w:val="24"/>
          <w:szCs w:val="24"/>
        </w:rPr>
        <w:t xml:space="preserve">Distributed Cognition and Extended Mind</w:t>
      </w:r>
    </w:p>
    <w:p>
      <w:pPr>
        <w:spacing w:before="60" w:after="60"/>
        <w:ind w:left="720" w:hanging="360"/>
      </w:pPr>
      <w:r>
        <w:rPr>
          <w:rFonts w:ascii="Arial" w:cs="Arial" w:eastAsia="Arial" w:hAnsi="Arial"/>
          <w:b/>
          <w:bCs/>
          <w:sz w:val="20"/>
          <w:szCs w:val="20"/>
        </w:rPr>
        <w:t xml:space="preserve">[15] </w:t>
      </w:r>
      <w:r>
        <w:rPr>
          <w:rFonts w:ascii="Arial" w:cs="Arial" w:eastAsia="Arial" w:hAnsi="Arial"/>
          <w:sz w:val="20"/>
          <w:szCs w:val="20"/>
        </w:rPr>
        <w:t xml:space="preserve">Hutchins, Edwin. Cognition in the Wild. MIT Press, 1995.</w:t>
      </w:r>
    </w:p>
    <w:p>
      <w:pPr>
        <w:spacing w:before="60" w:after="60"/>
        <w:ind w:left="720" w:hanging="360"/>
      </w:pPr>
      <w:r>
        <w:rPr>
          <w:rFonts w:ascii="Arial" w:cs="Arial" w:eastAsia="Arial" w:hAnsi="Arial"/>
          <w:b/>
          <w:bCs/>
          <w:sz w:val="20"/>
          <w:szCs w:val="20"/>
        </w:rPr>
        <w:t xml:space="preserve">[16] </w:t>
      </w:r>
      <w:r>
        <w:rPr>
          <w:rFonts w:ascii="Arial" w:cs="Arial" w:eastAsia="Arial" w:hAnsi="Arial"/>
          <w:sz w:val="20"/>
          <w:szCs w:val="20"/>
        </w:rPr>
        <w:t xml:space="preserve">Clark, Andy, and David Chalmers. 'The Extended Mind.' Analysis 58, no. 1 (1998): 7–19.</w:t>
      </w:r>
    </w:p>
    <w:p>
      <w:pPr>
        <w:spacing w:before="60" w:after="60"/>
        <w:ind w:left="720" w:hanging="360"/>
      </w:pPr>
      <w:r>
        <w:rPr>
          <w:rFonts w:ascii="Arial" w:cs="Arial" w:eastAsia="Arial" w:hAnsi="Arial"/>
          <w:b/>
          <w:bCs/>
          <w:sz w:val="20"/>
          <w:szCs w:val="20"/>
        </w:rPr>
        <w:t xml:space="preserve">[17] </w:t>
      </w:r>
      <w:r>
        <w:rPr>
          <w:rFonts w:ascii="Arial" w:cs="Arial" w:eastAsia="Arial" w:hAnsi="Arial"/>
          <w:sz w:val="20"/>
          <w:szCs w:val="20"/>
        </w:rPr>
        <w:t xml:space="preserve">Vygotsky, Lev S. Mind in Society: The Development of Higher Psychological Processes. Harvard University Press, 1978.</w:t>
      </w:r>
    </w:p>
    <w:p>
      <w:r>
        <w:t xml:space="preserve"/>
      </w:r>
    </w:p>
    <w:p>
      <w:pPr>
        <w:spacing w:before="120" w:after="120" w:line="360"/>
        <w:jc w:val="both"/>
      </w:pPr>
      <w:r>
        <w:rPr>
          <w:rFonts w:ascii="Arial" w:cs="Arial" w:eastAsia="Arial" w:hAnsi="Arial"/>
          <w:b/>
          <w:bCs/>
          <w:sz w:val="24"/>
          <w:szCs w:val="24"/>
        </w:rPr>
        <w:t xml:space="preserve">AI and Machine Learning</w:t>
      </w:r>
    </w:p>
    <w:p>
      <w:pPr>
        <w:spacing w:before="60" w:after="60"/>
        <w:ind w:left="720" w:hanging="360"/>
      </w:pPr>
      <w:r>
        <w:rPr>
          <w:rFonts w:ascii="Arial" w:cs="Arial" w:eastAsia="Arial" w:hAnsi="Arial"/>
          <w:b/>
          <w:bCs/>
          <w:sz w:val="20"/>
          <w:szCs w:val="20"/>
        </w:rPr>
        <w:t xml:space="preserve">[18] </w:t>
      </w:r>
      <w:r>
        <w:rPr>
          <w:rFonts w:ascii="Arial" w:cs="Arial" w:eastAsia="Arial" w:hAnsi="Arial"/>
          <w:sz w:val="20"/>
          <w:szCs w:val="20"/>
        </w:rPr>
        <w:t xml:space="preserve">Wei, Jason, Xuezhi Wang, Dale Schuurmans, Maarten Bosma, Brian Ichter, Fei Xia, Ed Chi, Quoc Le, and Denny Zhou. 'Chain-of-Thought Prompting Elicits Reasoning in Large Language Models.' Advances in Neural Information Processing Systems 35 (2022): 24824–24837. arXiv:2201.11903.</w:t>
      </w:r>
    </w:p>
    <w:p>
      <w:pPr>
        <w:spacing w:before="60" w:after="60"/>
        <w:ind w:left="720" w:hanging="360"/>
      </w:pPr>
      <w:r>
        <w:rPr>
          <w:rFonts w:ascii="Arial" w:cs="Arial" w:eastAsia="Arial" w:hAnsi="Arial"/>
          <w:b/>
          <w:bCs/>
          <w:sz w:val="20"/>
          <w:szCs w:val="20"/>
        </w:rPr>
        <w:t xml:space="preserve">[19] </w:t>
      </w:r>
      <w:r>
        <w:rPr>
          <w:rFonts w:ascii="Arial" w:cs="Arial" w:eastAsia="Arial" w:hAnsi="Arial"/>
          <w:sz w:val="20"/>
          <w:szCs w:val="20"/>
        </w:rPr>
        <w:t xml:space="preserve">Kojima, Takeshi, Shixiang Shane Gu, Machel Reid, Yutaka Matsuo, and Yusuke Iwasawa. 'Large Language Models Are Zero-Shot Reasoners.' Advances in Neural Information Processing Systems 35 (2022): 22199–22213.</w:t>
      </w:r>
    </w:p>
    <w:p>
      <w:pPr>
        <w:spacing w:before="60" w:after="60"/>
        <w:ind w:left="720" w:hanging="360"/>
      </w:pPr>
      <w:r>
        <w:rPr>
          <w:rFonts w:ascii="Arial" w:cs="Arial" w:eastAsia="Arial" w:hAnsi="Arial"/>
          <w:b/>
          <w:bCs/>
          <w:sz w:val="20"/>
          <w:szCs w:val="20"/>
        </w:rPr>
        <w:t xml:space="preserve">[20] </w:t>
      </w:r>
      <w:r>
        <w:rPr>
          <w:rFonts w:ascii="Arial" w:cs="Arial" w:eastAsia="Arial" w:hAnsi="Arial"/>
          <w:sz w:val="20"/>
          <w:szCs w:val="20"/>
        </w:rPr>
        <w:t xml:space="preserve">Bai, Yuntao, et al. 'Constitutional AI: Harmlessness from AI Feedback.' arXiv:2212.08073, December 2022.</w:t>
      </w:r>
    </w:p>
    <w:p>
      <w:pPr>
        <w:spacing w:before="60" w:after="60"/>
        <w:ind w:left="720" w:hanging="360"/>
      </w:pPr>
      <w:r>
        <w:rPr>
          <w:rFonts w:ascii="Arial" w:cs="Arial" w:eastAsia="Arial" w:hAnsi="Arial"/>
          <w:b/>
          <w:bCs/>
          <w:sz w:val="20"/>
          <w:szCs w:val="20"/>
        </w:rPr>
        <w:t xml:space="preserve">[21] </w:t>
      </w:r>
      <w:r>
        <w:rPr>
          <w:rFonts w:ascii="Arial" w:cs="Arial" w:eastAsia="Arial" w:hAnsi="Arial"/>
          <w:sz w:val="20"/>
          <w:szCs w:val="20"/>
        </w:rPr>
        <w:t xml:space="preserve">Finn, Chelsea, Pieter Abbeel, and Sergey Levine. 'Model-Agnostic Meta-Learning for Fast Adaptation of Deep Networks.' Proceedings of the 34th International Conference on Machine Learning (ICML), PMLR 70 (2017): 1126–1135. arXiv:1703.03400.</w:t>
      </w:r>
    </w:p>
    <w:p>
      <w:r>
        <w:t xml:space="preserve"/>
      </w:r>
    </w:p>
    <w:p>
      <w:pPr>
        <w:spacing w:before="120" w:after="120" w:line="360"/>
        <w:jc w:val="both"/>
      </w:pPr>
      <w:r>
        <w:rPr>
          <w:rFonts w:ascii="Arial" w:cs="Arial" w:eastAsia="Arial" w:hAnsi="Arial"/>
          <w:b/>
          <w:bCs/>
          <w:sz w:val="24"/>
          <w:szCs w:val="24"/>
        </w:rPr>
        <w:t xml:space="preserve">Meta-Kaizen Series</w:t>
      </w:r>
    </w:p>
    <w:p>
      <w:pPr>
        <w:spacing w:before="60" w:after="60"/>
        <w:ind w:left="720" w:hanging="360"/>
      </w:pPr>
      <w:r>
        <w:rPr>
          <w:rFonts w:ascii="Arial" w:cs="Arial" w:eastAsia="Arial" w:hAnsi="Arial"/>
          <w:b/>
          <w:bCs/>
          <w:sz w:val="20"/>
          <w:szCs w:val="20"/>
        </w:rPr>
        <w:t xml:space="preserve">[22] </w:t>
      </w:r>
      <w:r>
        <w:rPr>
          <w:rFonts w:ascii="Arial" w:cs="Arial" w:eastAsia="Arial" w:hAnsi="Arial"/>
          <w:sz w:val="20"/>
          <w:szCs w:val="20"/>
        </w:rPr>
        <w:t xml:space="preserve">Brennan and Claude. 'Meta-Kaizen: A General Theory of Improvement Scoring.' Entwood Hollow Research Station, 2026. MetaKaizen GeneralTheory.docx.</w:t>
      </w:r>
    </w:p>
    <w:p>
      <w:pPr>
        <w:spacing w:before="60" w:after="60"/>
        <w:ind w:left="720" w:hanging="360"/>
      </w:pPr>
      <w:r>
        <w:rPr>
          <w:rFonts w:ascii="Arial" w:cs="Arial" w:eastAsia="Arial" w:hAnsi="Arial"/>
          <w:b/>
          <w:bCs/>
          <w:sz w:val="20"/>
          <w:szCs w:val="20"/>
        </w:rPr>
        <w:t xml:space="preserve">[23] </w:t>
      </w:r>
      <w:r>
        <w:rPr>
          <w:rFonts w:ascii="Arial" w:cs="Arial" w:eastAsia="Arial" w:hAnsi="Arial"/>
          <w:sz w:val="20"/>
          <w:szCs w:val="20"/>
        </w:rPr>
        <w:t xml:space="preserve">Brennan and Claude. 'Meta-Kaizen: Networked Implementation and Governance.' Entwood Hollow Research Station, 2026. MetaKaizen Paper2.docx.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6"/>
      </w:pBdr>
      <w:tabs>
        <w:tab w:val="right" w:pos="9360"/>
      </w:tabs>
      <w:spacing w:before="60" w:after="0"/>
    </w:pPr>
    <w:r>
      <w:rPr>
        <w:rFonts w:ascii="Arial" w:cs="Arial" w:eastAsia="Arial" w:hAnsi="Arial"/>
        <w:i/>
        <w:iCs/>
        <w:color w:val="777777"/>
        <w:sz w:val="17"/>
        <w:szCs w:val="17"/>
      </w:rPr>
      <w:t xml:space="preserve">Submitted for peer review. Not for citation without authors' permission.</w:t>
    </w:r>
    <w:r>
      <w:rPr>
        <w:rFonts w:ascii="Arial" w:cs="Arial" w:eastAsia="Arial" w:hAnsi="Arial"/>
        <w:sz w:val="17"/>
        <w:szCs w:val="17"/>
      </w:rPr>
      <w:t xml:space="preserv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6"/>
      </w:pBdr>
      <w:spacing w:before="0" w:after="80"/>
    </w:pPr>
    <w:r>
      <w:rPr>
        <w:rFonts w:ascii="Arial" w:cs="Arial" w:eastAsia="Arial" w:hAnsi="Arial"/>
        <w:color w:val="2E74B5"/>
        <w:sz w:val="17"/>
        <w:szCs w:val="17"/>
      </w:rPr>
      <w:t xml:space="preserve">Meta-Kaizen: A General Theory of Self-Evolving Continuous Improvement  |  Brennan, Entwood &amp; Claude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C5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2026-03-05T06:48:16.579Z</dcterms:created>
  <dcterms:modified xsi:type="dcterms:W3CDTF">2026-03-05T06:48:16.580Z</dcterms:modified>
</cp:coreProperties>
</file>

<file path=docProps/custom.xml><?xml version="1.0" encoding="utf-8"?>
<Properties xmlns="http://schemas.openxmlformats.org/officeDocument/2006/custom-properties" xmlns:vt="http://schemas.openxmlformats.org/officeDocument/2006/docPropsVTypes"/>
</file>