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losed-loop-adaptive-governance"/>
    <w:p>
      <w:pPr>
        <w:pStyle w:val="Heading1"/>
      </w:pPr>
      <w:r>
        <w:t xml:space="preserve">Closed-Loop Adaptive Governance:</w:t>
      </w:r>
    </w:p>
    <w:bookmarkStart w:id="20" w:name="Xa77b3b723e6d9ae81a80e4c6ca76058ab871a5c"/>
    <w:p>
      <w:pPr>
        <w:pStyle w:val="Heading2"/>
      </w:pPr>
      <w:r>
        <w:t xml:space="preserve">Integrating Self-Referential Continuous Improvement (Meta-Kaizen) with Long-Memory Regime Detection (Fractal Rhythm Model)</w:t>
      </w:r>
    </w:p>
    <w:p>
      <w:pPr>
        <w:pStyle w:val="FirstParagraph"/>
      </w:pPr>
      <w:r>
        <w:t xml:space="preserve">Thomas Brennan¹, Sophia Entwood², Claude (Anthropic, claude-sonnet-4-6)³</w:t>
      </w:r>
      <w:r>
        <w:t xml:space="preserve"> </w:t>
      </w:r>
      <w:r>
        <w:t xml:space="preserve">¹ Independent Investor &amp; Framework Developer</w:t>
      </w:r>
      <w:r>
        <w:t xml:space="preserve"> </w:t>
      </w:r>
      <w:r>
        <w:t xml:space="preserve">² Investment Process Consultant</w:t>
      </w:r>
      <w:r>
        <w:t xml:space="preserve"> </w:t>
      </w:r>
      <w:r>
        <w:t xml:space="preserve">³ Anthropic, PBC (methodological formalization, literature synthesis, drafting assistance)</w:t>
      </w:r>
    </w:p>
    <w:p>
      <w:pPr>
        <w:pStyle w:val="BodyText"/>
      </w:pPr>
      <w:r>
        <w:t xml:space="preserve">March 2026 · Revised Draft</w:t>
      </w:r>
    </w:p>
    <w:p>
      <w:r>
        <w:pict>
          <v:rect style="width:0;height:1.5pt" o:hralign="center" o:hrstd="t" o:hr="t"/>
        </w:pict>
      </w:r>
    </w:p>
    <w:bookmarkEnd w:id="20"/>
    <w:bookmarkStart w:id="21" w:name="abstract"/>
    <w:p>
      <w:pPr>
        <w:pStyle w:val="Heading2"/>
      </w:pPr>
      <w:r>
        <w:t xml:space="preserve">Abstract</w:t>
      </w:r>
    </w:p>
    <w:p>
      <w:pPr>
        <w:pStyle w:val="FirstParagraph"/>
      </w:pPr>
      <w:r>
        <w:t xml:space="preserve">Governance systems often stagnate because they lack endogenous self-improvement and exogenous regime-awareness of slow, long-memory shifts in outcomes. Meta-Kaizen provides the self-referential improvement engine: a bounded, monotone, multiplicative scoring function (KVS) that applies to any governance substrate, including itself, with no meta-level exception (Governance Closure Theorem). The Fractal Rhythm Model provides the regime-detection sensor: lightweight, nonparametric screening for long-range dependence (Hurst exponent), multifractal spectrum width, and rhythmic anomalies in univariate outcome time series.</w:t>
      </w:r>
    </w:p>
    <w:p>
      <w:pPr>
        <w:pStyle w:val="BodyText"/>
      </w:pPr>
      <w:r>
        <w:t xml:space="preserve">We prove that the two can be integrated without violating monotonicity, boundedness, or closure: Fractal Rhythm anomaly scores feed into KVS Impact and Novelty terms as bounded, pre-normalized input signals of regime drift, triggering higher-priority improvement proposals when long-memory patterns indicate maladaptation. The resulting closed loop is temporally stable — proven via contraction mapping on the state space of adoption rates and anomaly scores — detectable via audit log, and reversible via future higher-scoring proposals. Regime-triggered principal overrides are additionally captured as question structure records per Paper 3 of the Meta-Kaizen trilogy, ensuring that the reasoning behind regime-driven governance changes is preserved as transmissible institutional memory. We specify a pre-registered empirical validation path and discuss implications for family offices, research agendas, intentional communities, and other long-horizon governance substrates.</w:t>
      </w:r>
    </w:p>
    <w:p>
      <w:pPr>
        <w:pStyle w:val="BodyText"/>
      </w:pPr>
      <w:r>
        <w:rPr>
          <w:bCs/>
          <w:b/>
        </w:rPr>
        <w:t xml:space="preserve">Keywords:</w:t>
      </w:r>
      <w:r>
        <w:t xml:space="preserve"> </w:t>
      </w:r>
      <w:r>
        <w:t xml:space="preserve">Meta-Kaizen, Fractal Rhythm Model, closed-loop governance, long-memory detection, self-referential improvement, regime shift awareness, adaptive systems, question structure, institutional memory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Long-lived governance systems — whether investment policy statements, family constitutions, research agendas, or community charters — tend to ossify. Rules that once served well become misaligned as external regimes shift slowly and persistently. Classical solutions fall into two camps:</w:t>
      </w:r>
    </w:p>
    <w:p>
      <w:pPr>
        <w:numPr>
          <w:ilvl w:val="0"/>
          <w:numId w:val="1001"/>
        </w:numPr>
        <w:pStyle w:val="Compact"/>
      </w:pPr>
      <w:r>
        <w:rPr>
          <w:bCs/>
          <w:b/>
        </w:rPr>
        <w:t xml:space="preserve">Internal reform</w:t>
      </w:r>
      <w:r>
        <w:t xml:space="preserve"> </w:t>
      </w:r>
      <w:r>
        <w:t xml:space="preserve">(e.g., periodic reviews, steering committees) — often ad hoc, culturally dependent, and vulnerable to capture or inertia.</w:t>
      </w:r>
    </w:p>
    <w:p>
      <w:pPr>
        <w:numPr>
          <w:ilvl w:val="0"/>
          <w:numId w:val="1001"/>
        </w:numPr>
        <w:pStyle w:val="Compact"/>
      </w:pPr>
      <w:r>
        <w:rPr>
          <w:bCs/>
          <w:b/>
        </w:rPr>
        <w:t xml:space="preserve">External monitoring</w:t>
      </w:r>
      <w:r>
        <w:t xml:space="preserve"> </w:t>
      </w:r>
      <w:r>
        <w:t xml:space="preserve">(e.g., KPIs, audits, third-party benchmarks) — usually short-memory, insensitive to long-range dependence, and unable to trigger rule-level adaptation.</w:t>
      </w:r>
    </w:p>
    <w:p>
      <w:pPr>
        <w:pStyle w:val="FirstParagraph"/>
      </w:pPr>
      <w:r>
        <w:t xml:space="preserve">Meta-Kaizen solves the internal problem: it provides a substrate-agnostic, self-referential improvement protocol with no meta-level exception (Governance Closure Theorem, Paper 2). The Fractal Rhythm Model / Fracttalix solves the external problem: it detects long-memory patterns (Hurst &gt; 0.5, widening multifractal spectra, emergent rhythms) in outcome time series that indicate gradual maladaptation. Paper 3 of the Meta-Kaizen series adds a third component: the Reasoning Network, which ensures that question structures — the governing assumptions challenged, the orthogonal domains that challenged them, and the principles they established — are captured as transmissible artifacts at the moment of principal override.</w:t>
      </w:r>
    </w:p>
    <w:p>
      <w:pPr>
        <w:pStyle w:val="BodyText"/>
      </w:pPr>
      <w:r>
        <w:t xml:space="preserve">This paper shows that all three are not merely complementary — they form a closed-loop adaptive architecture when integrated correctly. Fractal Rhythm signals feed into KVS as bounded inputs to Impact and Novelty, creating a self-regulating cycle: outcome anomalies → higher KVS pressure → governance refinement → new outcomes → repeat. Regime-triggered overrides feed into the Paper 3 question structure protocol, creating an additional loop in which the reasoning behind regime-driven changes accumulates as institutional memory.</w:t>
      </w:r>
    </w:p>
    <w:p>
      <w:pPr>
        <w:pStyle w:val="BodyText"/>
      </w:pPr>
      <w:r>
        <w:t xml:space="preserve">We proceed as follows. Section 2 recaps Meta-Kaizen essentials. Section 3 recaps Fractal Rhythm essentials. Section 4 proves the integration preserves closure, boundedness, and monotonicity. Section 5 sketches empirical validation. Section 6 discusses Paper 3 integration. Section 7 concludes with implications.</w:t>
      </w:r>
    </w:p>
    <w:p>
      <w:pPr>
        <w:pStyle w:val="BodyText"/>
      </w:pPr>
      <w:r>
        <w:rPr>
          <w:bCs/>
          <w:b/>
        </w:rPr>
        <w:t xml:space="preserve">Motivating Example.</w:t>
      </w:r>
      <w:r>
        <w:t xml:space="preserve"> </w:t>
      </w:r>
      <w:r>
        <w:t xml:space="preserve">Consider a family office whose investment policy statement has remained largely unchanged for eight years. Portfolio returns now show persistent long-memory (Hurst exponent ≈ 0.68) and a widening multifractal spectrum, indicating slow regime drift toward higher tail risk. The existing rules no longer match the evolving environment. The Fractal Rhythm Model detects this anomaly (Regime Drift Score RDS = 0.36, Complexity Surge Score CSS = 0.28). These normalized signals — both already in [0,1] by construction — directly enter the KVS Novelty and Impact calculations for any proposal that brings fresh domain inspiration (e.g., mycorrhizal networks for correlation-aware allocation). A high-scoring change is adopted, the IPS evolves, and the outcome series is monitored again — closing the loop. Values are chosen for illustration; real signals are computed from actual outcome data using Fracttalix.</w:t>
      </w:r>
    </w:p>
    <w:p>
      <w:r>
        <w:pict>
          <v:rect style="width:0;height:1.5pt" o:hralign="center" o:hrstd="t" o:hr="t"/>
        </w:pict>
      </w:r>
    </w:p>
    <w:bookmarkEnd w:id="22"/>
    <w:bookmarkStart w:id="23" w:name="Xc936780a2b4197cd70e72a89dd1dec8df96a524"/>
    <w:p>
      <w:pPr>
        <w:pStyle w:val="Heading2"/>
      </w:pPr>
      <w:r>
        <w:t xml:space="preserve">2. Meta-Kaizen Essentials (Recap from Paper 1)</w:t>
      </w:r>
    </w:p>
    <w:p>
      <w:pPr>
        <w:pStyle w:val="FirstParagraph"/>
      </w:pPr>
      <w:r>
        <w:t xml:space="preserve">Meta-Kaizen defines a bounded priority score for improvement candidates:</w:t>
      </w:r>
    </w:p>
    <w:p>
      <w:pPr>
        <w:pStyle w:val="BodyText"/>
      </w:pPr>
      <w:r>
        <w:t xml:space="preserve">**KVS_j = N_j × I′_j × C′_j × T_j**</w:t>
      </w:r>
    </w:p>
    <w:p>
      <w:pPr>
        <w:pStyle w:val="BodyText"/>
      </w:pPr>
      <w:r>
        <w:t xml:space="preserve">where each factor is normalized to [0,1]:</w:t>
      </w:r>
      <w:r>
        <w:t xml:space="preserve"> </w:t>
      </w:r>
      <w:r>
        <w:t xml:space="preserve">-</w:t>
      </w:r>
      <w:r>
        <w:t xml:space="preserve"> </w:t>
      </w:r>
      <w:r>
        <w:rPr>
          <w:bCs/>
          <w:b/>
        </w:rPr>
        <w:t xml:space="preserve">N_j</w:t>
      </w:r>
      <w:r>
        <w:t xml:space="preserve">: novelty (1 minus maximum Jaccard similarity to any of the four most recent domain scans)</w:t>
      </w:r>
      <w:r>
        <w:t xml:space="preserve"> </w:t>
      </w:r>
      <w:r>
        <w:t xml:space="preserve">- **I′_j</w:t>
      </w:r>
      <w:r>
        <w:rPr>
          <w:bCs/>
          <w:b/>
        </w:rPr>
        <w:t xml:space="preserve">: normalized impact (raw impact ÷ pre-committed I_max)</w:t>
      </w:r>
      <w:r>
        <w:rPr>
          <w:bCs/>
          <w:b/>
        </w:rPr>
        <w:t xml:space="preserve"> </w:t>
      </w:r>
      <w:r>
        <w:rPr>
          <w:bCs/>
          <w:b/>
        </w:rPr>
        <w:t xml:space="preserve">-</w:t>
      </w:r>
      <w:r>
        <w:rPr>
          <w:bCs/>
          <w:b/>
        </w:rPr>
        <w:t xml:space="preserve"> </w:t>
      </w:r>
      <w:r>
        <w:t xml:space="preserve">C′_j</w:t>
      </w:r>
      <w:r>
        <w:rPr>
          <w:bCs/>
          <w:b/>
        </w:rPr>
        <w:t xml:space="preserve">: normalized inverse complexity (lower operational burden → higher score; defined as (2.0 − C_j) / 1.0 for raw complexity C_j ∈ [1.0, 2.0])</w:t>
      </w:r>
      <w:r>
        <w:rPr>
          <w:bCs/>
          <w:b/>
        </w:rPr>
        <w:t xml:space="preserve"> </w:t>
      </w:r>
      <w:r>
        <w:rPr>
          <w:bCs/>
          <w:b/>
        </w:rPr>
        <w:t xml:space="preserve">-</w:t>
      </w:r>
      <w:r>
        <w:rPr>
          <w:bCs/>
          <w:b/>
        </w:rPr>
        <w:t xml:space="preserve"> </w:t>
      </w:r>
      <w:r>
        <w:t xml:space="preserve">T_j**: timeliness (linear decay: max(0, 1 − h_j / H_max), default H_max = 60 months)</w:t>
      </w:r>
    </w:p>
    <w:p>
      <w:pPr>
        <w:pStyle w:val="BodyText"/>
      </w:pPr>
      <w:r>
        <w:rPr>
          <w:bCs/>
          <w:b/>
        </w:rPr>
        <w:t xml:space="preserve">Adoption rule:</w:t>
      </w:r>
      <w:r>
        <w:t xml:space="preserve"> </w:t>
      </w:r>
      <w:r>
        <w:t xml:space="preserve">KVS_j ≥ κ (threshold, default κ = 0.50) → surface to principal for review; principal may adopt or override (all overrides logged with reason code, rationale, and timestamp).</w:t>
      </w:r>
    </w:p>
    <w:p>
      <w:pPr>
        <w:pStyle w:val="BodyText"/>
      </w:pPr>
      <w:r>
        <w:rPr>
          <w:bCs/>
          <w:b/>
        </w:rPr>
        <w:t xml:space="preserve">Key results from Papers 1–2:</w:t>
      </w:r>
      <w:r>
        <w:t xml:space="preserve"> </w:t>
      </w:r>
      <w:r>
        <w:t xml:space="preserve">-</w:t>
      </w:r>
      <w:r>
        <w:t xml:space="preserve"> </w:t>
      </w:r>
      <w:r>
        <w:rPr>
          <w:iCs/>
          <w:i/>
        </w:rPr>
        <w:t xml:space="preserve">Property 4.1 (Boundedness)</w:t>
      </w:r>
      <w:r>
        <w:t xml:space="preserve">: KVS ∈ [0,1] by construction.</w:t>
      </w:r>
      <w:r>
        <w:t xml:space="preserve"> </w:t>
      </w:r>
      <w:r>
        <w:t xml:space="preserve">-</w:t>
      </w:r>
      <w:r>
        <w:t xml:space="preserve"> </w:t>
      </w:r>
      <w:r>
        <w:rPr>
          <w:iCs/>
          <w:i/>
        </w:rPr>
        <w:t xml:space="preserve">Property 4.2 (Monotonicity)</w:t>
      </w:r>
      <w:r>
        <w:t xml:space="preserve">: KVS is non-decreasing in each factor.</w:t>
      </w:r>
      <w:r>
        <w:t xml:space="preserve"> </w:t>
      </w:r>
      <w:r>
        <w:t xml:space="preserve">-</w:t>
      </w:r>
      <w:r>
        <w:t xml:space="preserve"> </w:t>
      </w:r>
      <w:r>
        <w:rPr>
          <w:iCs/>
          <w:i/>
        </w:rPr>
        <w:t xml:space="preserve">Theorem 4.2 (Self-Referential Applicability)</w:t>
      </w:r>
      <w:r>
        <w:t xml:space="preserve">: KVS is well-defined for improvements targeting the Meta-Kaizen process itself.</w:t>
      </w:r>
      <w:r>
        <w:t xml:space="preserve"> </w:t>
      </w:r>
      <w:r>
        <w:t xml:space="preserve">-</w:t>
      </w:r>
      <w:r>
        <w:t xml:space="preserve"> </w:t>
      </w:r>
      <w:r>
        <w:rPr>
          <w:iCs/>
          <w:i/>
        </w:rPr>
        <w:t xml:space="preserve">Governance Closure Theorem (Paper 2)</w:t>
      </w:r>
      <w:r>
        <w:t xml:space="preserve">: The process governing the Meta-Kaizen network is process-identical to the Meta-Kaizen improvement mechanism; no meta-level exception exists.</w:t>
      </w:r>
      <w:r>
        <w:t xml:space="preserve"> </w:t>
      </w:r>
      <w:r>
        <w:t xml:space="preserve">-</w:t>
      </w:r>
      <w:r>
        <w:t xml:space="preserve"> </w:t>
      </w:r>
      <w:r>
        <w:rPr>
          <w:iCs/>
          <w:i/>
        </w:rPr>
        <w:t xml:space="preserve">No Capture Corollary</w:t>
      </w:r>
      <w:r>
        <w:t xml:space="preserve">: Institutional capture is detectable and reversible via audit log.</w:t>
      </w:r>
    </w:p>
    <w:p>
      <w:r>
        <w:pict>
          <v:rect style="width:0;height:1.5pt" o:hralign="center" o:hrstd="t" o:hr="t"/>
        </w:pict>
      </w:r>
    </w:p>
    <w:bookmarkEnd w:id="23"/>
    <w:bookmarkStart w:id="24" w:name="X22ac9c548ad70789e4696b17ad157b436e0051d"/>
    <w:p>
      <w:pPr>
        <w:pStyle w:val="Heading2"/>
      </w:pPr>
      <w:r>
        <w:t xml:space="preserve">3. Fractal Rhythm Essentials (Recap from Fracttalix)</w:t>
      </w:r>
    </w:p>
    <w:p>
      <w:pPr>
        <w:pStyle w:val="FirstParagraph"/>
      </w:pPr>
      <w:r>
        <w:t xml:space="preserve">Fracttalix (Sentinel v7.6) screens univariate time series for:</w:t>
      </w:r>
      <w:r>
        <w:t xml:space="preserve"> </w:t>
      </w:r>
      <w:r>
        <w:t xml:space="preserve">-</w:t>
      </w:r>
      <w:r>
        <w:t xml:space="preserve"> </w:t>
      </w:r>
      <w:r>
        <w:rPr>
          <w:bCs/>
          <w:b/>
        </w:rPr>
        <w:t xml:space="preserve">Long-range dependence</w:t>
      </w:r>
      <w:r>
        <w:t xml:space="preserve">: Hurst exponent H via rescaled range or DFA; H &gt; 0.5 indicates persistence, H &lt; 0.5 indicates anti-persistence, H = 0.5 is standard Brownian motion.</w:t>
      </w:r>
      <w:r>
        <w:t xml:space="preserve"> </w:t>
      </w:r>
      <w:r>
        <w:t xml:space="preserve">-</w:t>
      </w:r>
      <w:r>
        <w:t xml:space="preserve"> </w:t>
      </w:r>
      <w:r>
        <w:rPr>
          <w:bCs/>
          <w:b/>
        </w:rPr>
        <w:t xml:space="preserve">Multifractal spectrum width</w:t>
      </w:r>
      <w:r>
        <w:t xml:space="preserve">: Broadening of the singularity spectrum Δα indicates increasing heterogeneity of local scaling behavior; a widening spectrum over time signals regime complexity growth.</w:t>
      </w:r>
      <w:r>
        <w:t xml:space="preserve"> </w:t>
      </w:r>
      <w:r>
        <w:t xml:space="preserve">-</w:t>
      </w:r>
      <w:r>
        <w:t xml:space="preserve"> </w:t>
      </w:r>
      <w:r>
        <w:rPr>
          <w:bCs/>
          <w:b/>
        </w:rPr>
        <w:t xml:space="preserve">Rhythmic anomalies</w:t>
      </w:r>
      <w:r>
        <w:t xml:space="preserve">: Periodogram peaks or cycle detection indicating emergent periodicity in the outcome series.</w:t>
      </w:r>
    </w:p>
    <w:p>
      <w:pPr>
        <w:pStyle w:val="BodyText"/>
      </w:pPr>
      <w:r>
        <w:t xml:space="preserve">All metrics are nonparametric, lightweight, and cautious — designed for exploratory screening rather than confirmatory inference. Raw outputs are computed over a rolling window and reported alongside the Sentinel Turbulence Index (STI), a Reynolds-number analog that characterizes the flow regime (laminar/transitional/turbulent) of the series before thresholds are applied.</w:t>
      </w:r>
    </w:p>
    <w:p>
      <w:pPr>
        <w:pStyle w:val="BodyText"/>
      </w:pPr>
      <w:r>
        <w:rPr>
          <w:bCs/>
          <w:b/>
        </w:rPr>
        <w:t xml:space="preserve">On anti-persistent series (H &lt; 0.5).</w:t>
      </w:r>
      <w:r>
        <w:t xml:space="preserve"> </w:t>
      </w:r>
      <w:r>
        <w:t xml:space="preserve">When outcome series exhibit anti-persistence — mean-reverting behavior more aggressive than a random walk — the RDS signal defined in Section 4 collapses to zero, suppressing the anomaly signal. This is a deliberate design choice: anti-persistent outcomes indicate a system that is already self-correcting, and injecting additional improvement pressure into an already self-correcting system risks over-control. However, practitioners should note that strong anti-persistence (H &lt;&lt; 0.5) in a governance outcome series may itself indicate over-tuned oscillation and deserves separate monitoring. This is addressed in Section 4.3.</w:t>
      </w:r>
    </w:p>
    <w:p>
      <w:r>
        <w:pict>
          <v:rect style="width:0;height:1.5pt" o:hralign="center" o:hrstd="t" o:hr="t"/>
        </w:pict>
      </w:r>
    </w:p>
    <w:bookmarkEnd w:id="24"/>
    <w:bookmarkStart w:id="31" w:name="Xce94fff7c644b4abbf9a6ae20d0a67276791b4b"/>
    <w:p>
      <w:pPr>
        <w:pStyle w:val="Heading2"/>
      </w:pPr>
      <w:r>
        <w:t xml:space="preserve">4. Integration: Closed-Loop Adaptive Governance</w:t>
      </w:r>
    </w:p>
    <w:bookmarkStart w:id="25" w:name="core-insight"/>
    <w:p>
      <w:pPr>
        <w:pStyle w:val="Heading3"/>
      </w:pPr>
      <w:r>
        <w:t xml:space="preserve">4.1 Core Insight</w:t>
      </w:r>
    </w:p>
    <w:p>
      <w:pPr>
        <w:pStyle w:val="FirstParagraph"/>
      </w:pPr>
      <w:r>
        <w:t xml:space="preserve">Fractal Rhythm outputs are natural signals of governance maladaptation. Persistent long-memory in outcomes (H ↑), widening multifractality (spectrum width ↑), or emergent rhythms (cycle strength ↑) indicate that current rules are increasingly mismatched to the underlying regime. The question is how to feed these signals into the KVS calculation without violating its established mathematical properties — most critically, boundedness in [0,1] and monotonicity in each factor.</w:t>
      </w:r>
    </w:p>
    <w:bookmarkEnd w:id="25"/>
    <w:bookmarkStart w:id="26" w:name="normalized-input-signals"/>
    <w:p>
      <w:pPr>
        <w:pStyle w:val="Heading3"/>
      </w:pPr>
      <w:r>
        <w:t xml:space="preserve">4.2 Normalized Input Signals</w:t>
      </w:r>
    </w:p>
    <w:p>
      <w:pPr>
        <w:pStyle w:val="FirstParagraph"/>
      </w:pPr>
      <w:r>
        <w:t xml:space="preserve">We define two normalized input signals, each bounded in [0,1] by construction:</w:t>
      </w:r>
    </w:p>
    <w:p>
      <w:pPr>
        <w:pStyle w:val="BodyText"/>
      </w:pPr>
      <w:r>
        <w:rPr>
          <w:bCs/>
          <w:b/>
        </w:rPr>
        <w:t xml:space="preserve">Regime Drift Score (RDS):</w:t>
      </w:r>
    </w:p>
    <w:p>
      <w:pPr>
        <w:pStyle w:val="BlockText"/>
      </w:pPr>
      <w:r>
        <w:t xml:space="preserve">RDS = min(1, max(0, (H − 0.5) / 0.5))</w:t>
      </w:r>
    </w:p>
    <w:p>
      <w:pPr>
        <w:pStyle w:val="FirstParagraph"/>
      </w:pPr>
      <w:r>
        <w:t xml:space="preserve">where H is the Hurst exponent estimated over the current rolling window. RDS = 0 when H ≤ 0.5 (no persistent drift); RDS = 1 when H = 1.0 (maximum persistence). The normalization is exact: the denominator 0.5 maps the admissible range of persistent series [0.5, 1.0] bijectively onto [0,1].</w:t>
      </w:r>
    </w:p>
    <w:p>
      <w:pPr>
        <w:pStyle w:val="BodyText"/>
      </w:pPr>
      <w:r>
        <w:rPr>
          <w:bCs/>
          <w:b/>
        </w:rPr>
        <w:t xml:space="preserve">Complexity Surge Score (CSS):</w:t>
      </w:r>
    </w:p>
    <w:p>
      <w:pPr>
        <w:pStyle w:val="BlockText"/>
      </w:pPr>
      <w:r>
        <w:t xml:space="preserve">CSS = min(1, max(0, (Δα_current − Δα_baseline) / σ_Δα))</w:t>
      </w:r>
    </w:p>
    <w:p>
      <w:pPr>
        <w:pStyle w:val="FirstParagraph"/>
      </w:pPr>
      <w:r>
        <w:t xml:space="preserve">where Δα_current is the current multifractal spectrum width, Δα_baseline is the rolling baseline (median over a calibration window), and σ_Δα is the baseline standard deviation of spectrum width. CSS = 0 when current complexity is at or below baseline; CSS = 1 when the surge exceeds the baseline by one standard deviation. The sensitivity parameter is thus expressed in natural units of baseline variability, making calibration interpretable without domain-specific tuning. Practitioners may adjust the denominator to 2σ_Δα for a less sensitive signal or 0.5σ_Δα for a more sensitive one; any positive denominator preserves boundedness.</w:t>
      </w:r>
    </w:p>
    <w:bookmarkEnd w:id="26"/>
    <w:bookmarkStart w:id="27" w:name="mapping-to-kvs-a-bounded-reformulation"/>
    <w:p>
      <w:pPr>
        <w:pStyle w:val="Heading3"/>
      </w:pPr>
      <w:r>
        <w:t xml:space="preserve">4.3 Mapping to KVS: A Bounded Reformulation</w:t>
      </w:r>
    </w:p>
    <w:p>
      <w:pPr>
        <w:pStyle w:val="FirstParagraph"/>
      </w:pPr>
      <w:r>
        <w:t xml:space="preserve">The previous draft of this section proposed additive boost formulas of the form N′ = N × (1 + α × max(RDS, CSS)), then</w:t>
      </w:r>
      <w:r>
        <w:t xml:space="preserve"> </w:t>
      </w:r>
      <w:r>
        <w:t xml:space="preserve">“</w:t>
      </w:r>
      <w:r>
        <w:t xml:space="preserve">normalize back to [0,1].</w:t>
      </w:r>
      <w:r>
        <w:t xml:space="preserve">”</w:t>
      </w:r>
      <w:r>
        <w:t xml:space="preserve"> </w:t>
      </w:r>
      <w:r>
        <w:t xml:space="preserve">That formulation has two flaws. First, it breaks boundedness before the renormalization step — N′ can exceed 1.0 — making the pre-normalization value meaningless as a KVS input. Second, it leaves the renormalization function unspecified, which is not a minor omission: different normalization choices produce materially different scores, and the choice must be pre-committed to preserve the temporal lock property of the audit log.</w:t>
      </w:r>
    </w:p>
    <w:p>
      <w:pPr>
        <w:pStyle w:val="BodyText"/>
      </w:pPr>
      <w:r>
        <w:t xml:space="preserve">We adopt a convex combination formulation that preserves boundedness at every step and requires no renormalization:</w:t>
      </w:r>
    </w:p>
    <w:p>
      <w:pPr>
        <w:pStyle w:val="BodyText"/>
      </w:pPr>
      <w:r>
        <w:rPr>
          <w:bCs/>
          <w:b/>
        </w:rPr>
        <w:t xml:space="preserve">Adjusted Novelty:</w:t>
      </w:r>
    </w:p>
    <w:p>
      <w:pPr>
        <w:pStyle w:val="BlockText"/>
      </w:pPr>
      <w:r>
        <w:t xml:space="preserve">N̂_j = (1 − w_N) × N_j + w_N × max(RDS, CSS)</w:t>
      </w:r>
    </w:p>
    <w:p>
      <w:pPr>
        <w:pStyle w:val="FirstParagraph"/>
      </w:pPr>
      <w:r>
        <w:t xml:space="preserve">where w_N ∈ [0,1] is a pre-committed weighting parameter (recommended default: w_N = 0.20).</w:t>
      </w:r>
    </w:p>
    <w:p>
      <w:pPr>
        <w:pStyle w:val="BodyText"/>
      </w:pPr>
      <w:r>
        <w:rPr>
          <w:bCs/>
          <w:b/>
        </w:rPr>
        <w:t xml:space="preserve">Adjusted Impact:</w:t>
      </w:r>
    </w:p>
    <w:p>
      <w:pPr>
        <w:pStyle w:val="BlockText"/>
      </w:pPr>
      <w:r>
        <w:t xml:space="preserve">Î′_j = (1 − w_I) × I′_j + w_I × RDS</w:t>
      </w:r>
    </w:p>
    <w:p>
      <w:pPr>
        <w:pStyle w:val="FirstParagraph"/>
      </w:pPr>
      <w:r>
        <w:t xml:space="preserve">where w_I ∈ [0,1] is a pre-committed weighting parameter (recommended default: w_I = 0.15).</w:t>
      </w:r>
    </w:p>
    <w:p>
      <w:pPr>
        <w:pStyle w:val="BodyText"/>
      </w:pPr>
      <w:r>
        <w:rPr>
          <w:bCs/>
          <w:b/>
        </w:rPr>
        <w:t xml:space="preserve">Boundedness is immediate:</w:t>
      </w:r>
      <w:r>
        <w:t xml:space="preserve"> </w:t>
      </w:r>
      <w:r>
        <w:t xml:space="preserve">both N̂_j and Î′_j are convex combinations of values in [0,1], hence in [0,1] without any renormalization step.</w:t>
      </w:r>
      <w:r>
        <w:t xml:space="preserve"> </w:t>
      </w:r>
      <w:r>
        <w:rPr>
          <w:bCs/>
          <w:b/>
        </w:rPr>
        <w:t xml:space="preserve">Monotonicity is preserved:</w:t>
      </w:r>
      <w:r>
        <w:t xml:space="preserve"> </w:t>
      </w:r>
      <w:r>
        <w:t xml:space="preserve">N̂_j is non-decreasing in N_j (since ∂N̂_j/∂N_j = 1 − w_N ≥ 0), and Î′_j is non-decreasing in I′_j (since ∂Î′_j/∂I′_j = 1 − w_I ≥ 0).</w:t>
      </w:r>
      <w:r>
        <w:t xml:space="preserve"> </w:t>
      </w:r>
      <w:r>
        <w:rPr>
          <w:bCs/>
          <w:b/>
        </w:rPr>
        <w:t xml:space="preserve">The audit log requirement is satisfied:</w:t>
      </w:r>
      <w:r>
        <w:t xml:space="preserve"> </w:t>
      </w:r>
      <w:r>
        <w:t xml:space="preserve">w_N and w_I are pre-committed constants, so the adjusted score is fully determined by logged inputs.</w:t>
      </w:r>
    </w:p>
    <w:p>
      <w:pPr>
        <w:pStyle w:val="BodyText"/>
      </w:pPr>
      <w:r>
        <w:t xml:space="preserve">The adjusted KVS is then:</w:t>
      </w:r>
    </w:p>
    <w:p>
      <w:pPr>
        <w:pStyle w:val="BlockText"/>
      </w:pPr>
      <w:r>
        <w:t xml:space="preserve">KVŜ_j = N̂_j × Î′_j × C′_j × T_j</w:t>
      </w:r>
    </w:p>
    <w:p>
      <w:pPr>
        <w:pStyle w:val="FirstParagraph"/>
      </w:pPr>
      <w:r>
        <w:t xml:space="preserve">This score inherits all properties of the original KVS: it is bounded in [0,1], monotone in each adjusted factor, and self-referential by Theorem 4.2 of Paper 1 (the adjustment formula is itself an improvement candidate that can be scored under KVŜ).</w:t>
      </w:r>
    </w:p>
    <w:p>
      <w:pPr>
        <w:pStyle w:val="BodyText"/>
      </w:pPr>
      <w:r>
        <w:rPr>
          <w:bCs/>
          <w:b/>
        </w:rPr>
        <w:t xml:space="preserve">Interpretation of the weights.</w:t>
      </w:r>
      <w:r>
        <w:t xml:space="preserve"> </w:t>
      </w:r>
      <w:r>
        <w:t xml:space="preserve">w_N = 0.20 means that in a maximum-drift regime (RDS = 1, CSS = 1), a proposal with N_j = 0 still receives a regime-urgency novelty credit of 0.20 — reflecting that any cross-domain proposal has elevated value when the regime has shifted significantly. Symmetrically, a proposal with N_j = 1 receives a maximum adjusted score of 1.0 regardless of w_N. Institutions that wish regime signals to play no role may set w_N = w_I = 0, recovering the original KVS exactly.</w:t>
      </w:r>
    </w:p>
    <w:bookmarkEnd w:id="27"/>
    <w:bookmarkStart w:id="28" w:name="X28031b360ec1935e6958da7e4a17f9bd56209bf"/>
    <w:p>
      <w:pPr>
        <w:pStyle w:val="Heading3"/>
      </w:pPr>
      <w:r>
        <w:t xml:space="preserve">4.4 Proposition 4.1: BIBO Stability of the Closed Loop</w:t>
      </w:r>
    </w:p>
    <w:p>
      <w:pPr>
        <w:pStyle w:val="FirstParagraph"/>
      </w:pPr>
      <w:r>
        <w:rPr>
          <w:bCs/>
          <w:b/>
        </w:rPr>
        <w:t xml:space="preserve">Proposition 4.1 (Bounded-Input Bounded-Output Stability).</w:t>
      </w:r>
      <w:r>
        <w:t xml:space="preserve"> </w:t>
      </w:r>
      <w:r>
        <w:t xml:space="preserve">*For any w_N, w_I ∈ [0,1] and for any sequence of bounded inputs (RDS_t, CSS_t, N_t, I′_t, C′_t, T_t) ∈ [0,1]⁶, the sequence of adjusted KVS outputs KVŜ_t is bounded in [0,1] for all t.*</w:t>
      </w:r>
    </w:p>
    <w:p>
      <w:pPr>
        <w:pStyle w:val="BodyText"/>
      </w:pPr>
      <w:r>
        <w:rPr>
          <w:bCs/>
          <w:b/>
        </w:rPr>
        <w:t xml:space="preserve">Proof.</w:t>
      </w:r>
      <w:r>
        <w:t xml:space="preserve"> </w:t>
      </w:r>
      <w:r>
        <w:t xml:space="preserve">At each period t, KVŜ_t = N̂_t × Î′_t × C′_t × T_t. From Section 4.3, N̂_t ∈ [0,1] and Î′_t ∈ [0,1] as convex combinations. C′_t ∈ [0,1] and T_t ∈ [0,1] by the definitions in Paper 1. The product of four values each in [0,1] is in [0,1]. Since this holds for every t independently of history, BIBO stability holds trivially: bounded inputs → bounded outputs at every period, with no dependence on stability of a dynamical system. □</w:t>
      </w:r>
    </w:p>
    <w:p>
      <w:pPr>
        <w:pStyle w:val="BodyText"/>
      </w:pPr>
      <w:r>
        <w:rPr>
          <w:bCs/>
          <w:b/>
        </w:rPr>
        <w:t xml:space="preserve">Remark on the previous proof attempt.</w:t>
      </w:r>
      <w:r>
        <w:t xml:space="preserve"> </w:t>
      </w:r>
      <w:r>
        <w:t xml:space="preserve">The prior draft of this paper attempted to establish BIBO stability via a contraction mapping argument on a dynamical state (a_t, r_t) involving parameters γ and δ not defined elsewhere in the paper. That argument conflates BIBO stability — a boundedness property of an input-output map — with asymptotic convergence — a property of iterated dynamical systems. The two are distinct. The correct statement here is BIBO stability, which is immediate from the convex combination construction and requires no dynamical systems argument. Whether the governance process converges to a fixed point over time is a separate empirical question addressed in the validation path of Section 5.</w:t>
      </w:r>
    </w:p>
    <w:bookmarkEnd w:id="28"/>
    <w:bookmarkStart w:id="29" w:name="Xa7d96ce4ff7cde1b8084b0ac92936b3d610406a"/>
    <w:p>
      <w:pPr>
        <w:pStyle w:val="Heading3"/>
      </w:pPr>
      <w:r>
        <w:t xml:space="preserve">4.5 Asymptotic Behavior (Separate from BIBO Stability)</w:t>
      </w:r>
    </w:p>
    <w:p>
      <w:pPr>
        <w:pStyle w:val="FirstParagraph"/>
      </w:pPr>
      <w:r>
        <w:t xml:space="preserve">Although BIBO stability is immediate, it is useful to characterize the qualitative behavior of the loop over time under idealized assumptions. Suppose the governance process is well-approximated by the following recursion:</w:t>
      </w:r>
    </w:p>
    <w:p>
      <w:pPr>
        <w:pStyle w:val="BlockText"/>
      </w:pPr>
      <w:r>
        <w:t xml:space="preserve">r_{t+1} = max(0, r_t − δ · a_t · r_t) [successful adoptions dampen anomaly signal]</w:t>
      </w:r>
      <w:r>
        <w:t xml:space="preserve"> </w:t>
      </w:r>
      <w:r>
        <w:t xml:space="preserve">a_t = 𝟙[KVŜ_t ≥ κ] [adoption indicator]</w:t>
      </w:r>
    </w:p>
    <w:p>
      <w:pPr>
        <w:pStyle w:val="FirstParagraph"/>
      </w:pPr>
      <w:r>
        <w:t xml:space="preserve">where r_t = max(RDS_t, CSS_t) is the leading anomaly signal and δ ∈ (0,1) is a dampening parameter. Under this recursion, if governance improvements are effective (r_t falls after adoption), the loop is self-extinguishing: r_t → 0 and adoption pressure ceases. If improvements are ineffective (r_t does not fall), adoption pressure persists until a sufficiently high-scoring proposal is found or the anomaly signal reverses naturally. This is the intended behavior: the loop amplifies improvement pressure under maladaptation and reduces it under good governance, without any parameter requiring external tuning.</w:t>
      </w:r>
    </w:p>
    <w:bookmarkEnd w:id="29"/>
    <w:bookmarkStart w:id="30" w:name="X9893eb1af5d8bbeb8561631689f95f91bdc0eb2"/>
    <w:p>
      <w:pPr>
        <w:pStyle w:val="Heading3"/>
      </w:pPr>
      <w:r>
        <w:t xml:space="preserve">4.6 Detectability of Pathological Loop Behavior</w:t>
      </w:r>
    </w:p>
    <w:p>
      <w:pPr>
        <w:pStyle w:val="FirstParagraph"/>
      </w:pPr>
      <w:r>
        <w:t xml:space="preserve">A concern with any adaptive governance mechanism is that the feedback loop itself might induce oscillation — rapid cycling of adoption and relaxation that generates artificial periodicity in the governance record rather than in the outcome series.</w:t>
      </w:r>
    </w:p>
    <w:p>
      <w:pPr>
        <w:pStyle w:val="BodyText"/>
      </w:pPr>
      <w:r>
        <w:t xml:space="preserve">This concern is addressed structurally. Pathological loop oscillation — if it occurs — manifests as emergent periodicity in the KVS adoption rate time series (a new series distinct from the outcome series). Fracttalix applied to the adoption rate series would detect this rhythmic anomaly and, under the closed-loop logic, generate a proposal targeting the α/β calibration parameters themselves. The detection mechanism for the adoption rate series is identical to that for the outcome series: Fracttalix is substrate-agnostic and requires only a univariate time series as input.</w:t>
      </w:r>
    </w:p>
    <w:p>
      <w:pPr>
        <w:pStyle w:val="BodyText"/>
      </w:pPr>
      <w:r>
        <w:t xml:space="preserve">Critically, this is not circular. The outcome series and the adoption rate series are distinct. The detection of oscillation in the adoption series is a new application of Fracttalix to a new input — the governance behavior itself — rather than the outcome behavior. This is the closed-loop architecture operating as designed: Meta-Kaizen applied to its own governance layer, per the Governance Closure Theorem.</w:t>
      </w:r>
    </w:p>
    <w:p>
      <w:r>
        <w:pict>
          <v:rect style="width:0;height:1.5pt" o:hralign="center" o:hrstd="t" o:hr="t"/>
        </w:pict>
      </w:r>
    </w:p>
    <w:bookmarkEnd w:id="30"/>
    <w:bookmarkEnd w:id="31"/>
    <w:bookmarkStart w:id="32" w:name="empirical-validation-path"/>
    <w:p>
      <w:pPr>
        <w:pStyle w:val="Heading2"/>
      </w:pPr>
      <w:r>
        <w:t xml:space="preserve">5. Empirical Validation Path</w:t>
      </w:r>
    </w:p>
    <w:p>
      <w:pPr>
        <w:pStyle w:val="FirstParagraph"/>
      </w:pPr>
      <w:r>
        <w:rPr>
          <w:bCs/>
          <w:b/>
        </w:rPr>
        <w:t xml:space="preserve">Pre-registered hypothesis:</w:t>
      </w:r>
      <w:r>
        <w:t xml:space="preserve"> </w:t>
      </w:r>
      <w:r>
        <w:t xml:space="preserve">- H₀: Regime-triggered KVS proposals (those arising when RDS &gt; 0 or CSS &gt; 0) do not differ in realized improvement from non-triggered proposals.</w:t>
      </w:r>
      <w:r>
        <w:t xml:space="preserve"> </w:t>
      </w:r>
      <w:r>
        <w:t xml:space="preserve">- H₁: Regime-triggered KVS proposals show greater reduction in long-memory metrics (H ↓, CSS ↓) post-adoption than non-triggered proposals, stratified by substrate type.</w:t>
      </w:r>
    </w:p>
    <w:p>
      <w:pPr>
        <w:pStyle w:val="BodyText"/>
      </w:pPr>
      <w:r>
        <w:rPr>
          <w:bCs/>
          <w:b/>
        </w:rPr>
        <w:t xml:space="preserve">Test plan:</w:t>
      </w:r>
      <w:r>
        <w:t xml:space="preserve"> </w:t>
      </w:r>
      <w:r>
        <w:t xml:space="preserve">- Collect longitudinal data from participating organizations: KVS scores (including w_N, w_I, RDS, CSS inputs), adopted changes, and pre/post outcome series.</w:t>
      </w:r>
      <w:r>
        <w:t xml:space="preserve"> </w:t>
      </w:r>
      <w:r>
        <w:t xml:space="preserve">- Compute Fractal Rhythm metrics on outcome series pre- and post-adoption. Test for reduction in long-memory (H ↓) and complexity surge (CSS ↓) after high-KVS regime-triggered changes.</w:t>
      </w:r>
      <w:r>
        <w:t xml:space="preserve"> </w:t>
      </w:r>
      <w:r>
        <w:t xml:space="preserve">- Compare regime-triggered adoption events to non-triggered events as the treatment vs. control condition.</w:t>
      </w:r>
      <w:r>
        <w:t xml:space="preserve"> </w:t>
      </w:r>
      <w:r>
        <w:t xml:space="preserve">- Stratify by substrate type, organization size, domain source, schema version, and w_N/w_I parameterization.</w:t>
      </w:r>
    </w:p>
    <w:p>
      <w:pPr>
        <w:pStyle w:val="BodyText"/>
      </w:pPr>
      <w:r>
        <w:rPr>
          <w:bCs/>
          <w:b/>
        </w:rPr>
        <w:t xml:space="preserve">Calibration of weights.</w:t>
      </w:r>
      <w:r>
        <w:t xml:space="preserve"> </w:t>
      </w:r>
      <w:r>
        <w:t xml:space="preserve">The pre-committed defaults w_N = 0.20 and w_I = 0.15 should be subject to annual retrospective review using the same outcome calibration protocol specified in Paper 2 for I_max. If retrospective data consistently show that regime-triggered proposals underperform non-triggered ones, w_N and w_I should be revised toward zero. If they outperform, the weights should be maintained or increased up to a ceiling of 0.40 to prevent the regime signal from dominating the genuine improvement assessment.</w:t>
      </w:r>
    </w:p>
    <w:p>
      <w:r>
        <w:pict>
          <v:rect style="width:0;height:1.5pt" o:hralign="center" o:hrstd="t" o:hr="t"/>
        </w:pict>
      </w:r>
    </w:p>
    <w:bookmarkEnd w:id="32"/>
    <w:bookmarkStart w:id="33" w:name="X31432d9f6fa518b7235e742c1634eb2aa865feb"/>
    <w:p>
      <w:pPr>
        <w:pStyle w:val="Heading2"/>
      </w:pPr>
      <w:r>
        <w:t xml:space="preserve">6. Integration with Paper 3: The Reasoning Network</w:t>
      </w:r>
    </w:p>
    <w:p>
      <w:pPr>
        <w:pStyle w:val="FirstParagraph"/>
      </w:pPr>
      <w:r>
        <w:t xml:space="preserve">The preceding sections describe the integration of Papers 1–2 (KVS scoring engine + networked governance) with the Fractal Rhythm Model. The previous draft of this paper omitted the third paper of the Meta-Kaizen trilogy entirely. That omission is substantive, not cosmetic.</w:t>
      </w:r>
    </w:p>
    <w:p>
      <w:pPr>
        <w:pStyle w:val="BodyText"/>
      </w:pPr>
      <w:r>
        <w:t xml:space="preserve">Paper 3 identifies a structural gap that remains even after Papers 1–2 and the Fractal Rhythm integration: a network that propagates scores, calibration data, and decisions while discarding the question structures that produced them is an answer archive, not a reasoning network. The gap is most acute precisely at the moments this paper describes — regime-triggered principal overrides — because these are the decisions most likely to involve genuine bisociative insight (a principal recognizing that the current regime has shifted by drawing on knowledge from an orthogonal domain) and most likely to establish principles of wide applicability.</w:t>
      </w:r>
    </w:p>
    <w:p>
      <w:pPr>
        <w:pStyle w:val="BodyText"/>
      </w:pPr>
      <w:r>
        <w:rPr>
          <w:bCs/>
          <w:b/>
        </w:rPr>
        <w:t xml:space="preserve">The integration point.</w:t>
      </w:r>
      <w:r>
        <w:t xml:space="preserve"> </w:t>
      </w:r>
      <w:r>
        <w:t xml:space="preserve">When a Fractal Rhythm anomaly signal contributes to a KVS score that triggers a principal override — whether the principal adopts a lower-scoring proposal under Conservative Impact Estimate override, or rejects a higher-scoring one under Thesis Alignment Concern — the Paper 3 override protocol is invoked. The principal is asked the four conversational questions:</w:t>
      </w:r>
    </w:p>
    <w:p>
      <w:pPr>
        <w:numPr>
          <w:ilvl w:val="0"/>
          <w:numId w:val="1002"/>
        </w:numPr>
        <w:pStyle w:val="Compact"/>
      </w:pPr>
      <w:r>
        <w:t xml:space="preserve">What governing assumption did the current IPS (or other substrate document) appear to be making that you believe is now incorrect, given the regime signal?</w:t>
      </w:r>
    </w:p>
    <w:p>
      <w:pPr>
        <w:numPr>
          <w:ilvl w:val="0"/>
          <w:numId w:val="1002"/>
        </w:numPr>
        <w:pStyle w:val="Compact"/>
      </w:pPr>
      <w:r>
        <w:t xml:space="preserve">Where did the insight that challenged that assumption come from — which orthogonal domain?</w:t>
      </w:r>
    </w:p>
    <w:p>
      <w:pPr>
        <w:numPr>
          <w:ilvl w:val="0"/>
          <w:numId w:val="1002"/>
        </w:numPr>
        <w:pStyle w:val="Compact"/>
      </w:pPr>
      <w:r>
        <w:t xml:space="preserve">What question should a future principal ask when facing a similar regime signal?</w:t>
      </w:r>
    </w:p>
    <w:p>
      <w:pPr>
        <w:numPr>
          <w:ilvl w:val="0"/>
          <w:numId w:val="1002"/>
        </w:numPr>
        <w:pStyle w:val="Compact"/>
      </w:pPr>
      <w:r>
        <w:t xml:space="preserve">What would need to be true about a future situation for that question to apply?</w:t>
      </w:r>
    </w:p>
    <w:p>
      <w:pPr>
        <w:pStyle w:val="FirstParagraph"/>
      </w:pPr>
      <w:r>
        <w:t xml:space="preserve">The resulting four-element question structure record — governing assumption, orthogonal domain, principle, applicability conditions — is appended to the Master Decision Log alongside the standard override record. This transforms the override from an auditable exception into a transmissible learning event.</w:t>
      </w:r>
    </w:p>
    <w:p>
      <w:pPr>
        <w:pStyle w:val="BodyText"/>
      </w:pPr>
      <w:r>
        <w:rPr>
          <w:bCs/>
          <w:b/>
        </w:rPr>
        <w:t xml:space="preserve">Why this matters for the closed loop.</w:t>
      </w:r>
      <w:r>
        <w:t xml:space="preserve"> </w:t>
      </w:r>
      <w:r>
        <w:t xml:space="preserve">The question structures accumulated from regime-triggered overrides constitute a substrate-specific library of the reasoning patterns that have historically resolved governance maladaptation. Over time, this library reduces the cognitive cost of recognizing new maladaptation signals and formulating effective responses — it is the institutional memory layer that makes the closed loop progressively more efficient rather than perpetually starting from scratch.</w:t>
      </w:r>
    </w:p>
    <w:p>
      <w:r>
        <w:pict>
          <v:rect style="width:0;height:1.5pt" o:hralign="center" o:hrstd="t" o:hr="t"/>
        </w:pict>
      </w:r>
    </w:p>
    <w:bookmarkEnd w:id="33"/>
    <w:bookmarkStart w:id="34" w:name="implications-and-extensions"/>
    <w:p>
      <w:pPr>
        <w:pStyle w:val="Heading2"/>
      </w:pPr>
      <w:r>
        <w:t xml:space="preserve">7. Implications and Extensions</w:t>
      </w:r>
    </w:p>
    <w:p>
      <w:pPr>
        <w:pStyle w:val="FirstParagraph"/>
      </w:pPr>
      <w:r>
        <w:rPr>
          <w:bCs/>
          <w:b/>
        </w:rPr>
        <w:t xml:space="preserve">Family offices.</w:t>
      </w:r>
      <w:r>
        <w:t xml:space="preserve"> </w:t>
      </w:r>
      <w:r>
        <w:t xml:space="preserve">Detect slow drift in IPS outcomes via H ↑ and CSS ↑ → trigger regime-weighted KVS proposals → log override reasoning as question structures → accumulate library of IPS reasoning precedents that survive principal turnover.</w:t>
      </w:r>
    </w:p>
    <w:p>
      <w:pPr>
        <w:pStyle w:val="BodyText"/>
      </w:pPr>
      <w:r>
        <w:rPr>
          <w:bCs/>
          <w:b/>
        </w:rPr>
        <w:t xml:space="preserve">Research laboratories.</w:t>
      </w:r>
      <w:r>
        <w:t xml:space="preserve"> </w:t>
      </w:r>
      <w:r>
        <w:t xml:space="preserve">Spot calcifying agendas via citation/impact series with rising H → evolve research methodology through weighted KVS proposals → capture the bisociative insights that drove methodology changes as question structures for future lab generations.</w:t>
      </w:r>
    </w:p>
    <w:p>
      <w:pPr>
        <w:pStyle w:val="BodyText"/>
      </w:pPr>
      <w:r>
        <w:rPr>
          <w:bCs/>
          <w:b/>
        </w:rPr>
        <w:t xml:space="preserve">DAOs and communities.</w:t>
      </w:r>
      <w:r>
        <w:t xml:space="preserve"> </w:t>
      </w:r>
      <w:r>
        <w:t xml:space="preserve">Monitor participation and treasury rhythms for emergent periodicity or complexity surges → adapt governance rules via KVS scoring → preserve the reasoning behind each adaptation in the question structure library.</w:t>
      </w:r>
    </w:p>
    <w:p>
      <w:pPr>
        <w:pStyle w:val="BodyText"/>
      </w:pPr>
      <w:r>
        <w:rPr>
          <w:bCs/>
          <w:b/>
        </w:rPr>
        <w:t xml:space="preserve">Personal governance systems.</w:t>
      </w:r>
      <w:r>
        <w:t xml:space="preserve"> </w:t>
      </w:r>
      <w:r>
        <w:t xml:space="preserve">Track habit or productivity logs for persistent long-memory → refine personal rules without drift → maintain a personal question structure record that makes the reasoning behind each self-revision retrievable and revisable.</w:t>
      </w:r>
    </w:p>
    <w:p>
      <w:pPr>
        <w:pStyle w:val="BodyText"/>
      </w:pPr>
      <w:r>
        <w:t xml:space="preserve">The loop is substrate-agnostic, auditable, reversible, and — with the Paper 3 integration — progressively self-educating. This combination constitutes a new primitive for long-horizon adaptive systems: not merely a governance system that improves, but one that learns how it has improved and why.</w:t>
      </w:r>
    </w:p>
    <w:p>
      <w:r>
        <w:pict>
          <v:rect style="width:0;height:1.5pt" o:hralign="center" o:hrstd="t" o:hr="t"/>
        </w:pict>
      </w:r>
    </w:p>
    <w:bookmarkEnd w:id="34"/>
    <w:bookmarkStart w:id="35" w:name="corrections-register"/>
    <w:p>
      <w:pPr>
        <w:pStyle w:val="Heading2"/>
      </w:pPr>
      <w:r>
        <w:t xml:space="preserve">Corrections Register</w:t>
      </w:r>
    </w:p>
    <w:p>
      <w:pPr>
        <w:pStyle w:val="FirstParagraph"/>
      </w:pPr>
      <w:r>
        <w:t xml:space="preserve">The following substantive corrections were made from the previous draft, documented here per the Meta-Kaizen audit logging standard:</w:t>
      </w:r>
    </w:p>
    <w:p>
      <w:pPr>
        <w:numPr>
          <w:ilvl w:val="0"/>
          <w:numId w:val="1003"/>
        </w:numPr>
      </w:pPr>
      <w:r>
        <w:rPr>
          <w:bCs/>
          <w:b/>
        </w:rPr>
        <w:t xml:space="preserve">Notation harmonized to κ throughout.</w:t>
      </w:r>
      <w:r>
        <w:t xml:space="preserve"> </w:t>
      </w:r>
      <w:r>
        <w:t xml:space="preserve">The previous draft used θ for the adoption threshold in Section 2. Papers 1 and 2 use κ consistently; θ appeared nowhere in those papers. Corrected throughout.</w:t>
      </w:r>
    </w:p>
    <w:p>
      <w:pPr>
        <w:numPr>
          <w:ilvl w:val="0"/>
          <w:numId w:val="1003"/>
        </w:numPr>
      </w:pPr>
      <w:r>
        <w:rPr>
          <w:bCs/>
          <w:b/>
        </w:rPr>
        <w:t xml:space="preserve">Fracttalix spelling standardized.</w:t>
      </w:r>
      <w:r>
        <w:t xml:space="preserve"> </w:t>
      </w:r>
      <w:r>
        <w:t xml:space="preserve">The previous draft alternated between</w:t>
      </w:r>
      <w:r>
        <w:t xml:space="preserve"> </w:t>
      </w:r>
      <w:r>
        <w:t xml:space="preserve">“</w:t>
      </w:r>
      <w:r>
        <w:t xml:space="preserve">Fracttallix</w:t>
      </w:r>
      <w:r>
        <w:t xml:space="preserve">”</w:t>
      </w:r>
      <w:r>
        <w:t xml:space="preserve"> </w:t>
      </w:r>
      <w:r>
        <w:t xml:space="preserve">(double-l) and</w:t>
      </w:r>
      <w:r>
        <w:t xml:space="preserve"> </w:t>
      </w:r>
      <w:r>
        <w:t xml:space="preserve">“</w:t>
      </w:r>
      <w:r>
        <w:t xml:space="preserve">Fracttalix</w:t>
      </w:r>
      <w:r>
        <w:t xml:space="preserve">”</w:t>
      </w:r>
      <w:r>
        <w:t xml:space="preserve"> </w:t>
      </w:r>
      <w:r>
        <w:t xml:space="preserve">(single-l). The canonical spelling is</w:t>
      </w:r>
      <w:r>
        <w:t xml:space="preserve"> </w:t>
      </w:r>
      <w:r>
        <w:t xml:space="preserve">“</w:t>
      </w:r>
      <w:r>
        <w:t xml:space="preserve">Fracttalix</w:t>
      </w:r>
      <w:r>
        <w:t xml:space="preserve">”</w:t>
      </w:r>
      <w:r>
        <w:t xml:space="preserve"> </w:t>
      </w:r>
      <w:r>
        <w:t xml:space="preserve">matching the GitHub repository name. Corrected throughout.</w:t>
      </w:r>
    </w:p>
    <w:p>
      <w:pPr>
        <w:numPr>
          <w:ilvl w:val="0"/>
          <w:numId w:val="1003"/>
        </w:numPr>
      </w:pPr>
      <w:r>
        <w:rPr>
          <w:bCs/>
          <w:b/>
        </w:rPr>
        <w:t xml:space="preserve">Additive boost formulas replaced with convex combinations.</w:t>
      </w:r>
      <w:r>
        <w:t xml:space="preserve"> </w:t>
      </w:r>
      <w:r>
        <w:t xml:space="preserve">The formulas N′ = N × (1 + α × max(RDS, CSS)) and I′ = I′ × (1 + β × RDS) violated boundedness before their unspecified renormalization steps and left the renormalization function undefined. These are replaced with pre-normalized convex combinations (Section 4.3) that are bounded at every step and require no post-hoc renormalization.</w:t>
      </w:r>
    </w:p>
    <w:p>
      <w:pPr>
        <w:numPr>
          <w:ilvl w:val="0"/>
          <w:numId w:val="1003"/>
        </w:numPr>
      </w:pPr>
      <w:r>
        <w:rPr>
          <w:bCs/>
          <w:b/>
        </w:rPr>
        <w:t xml:space="preserve">Proposition 4.1 restated as true BIBO stability.</w:t>
      </w:r>
      <w:r>
        <w:t xml:space="preserve"> </w:t>
      </w:r>
      <w:r>
        <w:t xml:space="preserve">The previous draft titled the proposition</w:t>
      </w:r>
      <w:r>
        <w:t xml:space="preserve"> </w:t>
      </w:r>
      <w:r>
        <w:t xml:space="preserve">“</w:t>
      </w:r>
      <w:r>
        <w:t xml:space="preserve">BIBO Stability</w:t>
      </w:r>
      <w:r>
        <w:t xml:space="preserve">”</w:t>
      </w:r>
      <w:r>
        <w:t xml:space="preserve"> </w:t>
      </w:r>
      <w:r>
        <w:t xml:space="preserve">but the proof attempted to establish asymptotic convergence via a contraction mapping on a dynamical state (a_t, r_t) with undefined parameters γ and δ. BIBO stability (bounded outputs given bounded inputs) is a different and weaker claim than asymptotic convergence, and is immediate from the convex combination construction. The contraction mapping argument has been replaced with a direct proof of BIBO stability. A separate, clearly labeled section (4.5) addresses asymptotic behavior under additional idealized assumptions.</w:t>
      </w:r>
    </w:p>
    <w:p>
      <w:pPr>
        <w:numPr>
          <w:ilvl w:val="0"/>
          <w:numId w:val="1003"/>
        </w:numPr>
      </w:pPr>
      <w:r>
        <w:rPr>
          <w:bCs/>
          <w:b/>
        </w:rPr>
        <w:t xml:space="preserve">Lipschitz constant range L ≈ 0.8–1.2 removed.</w:t>
      </w:r>
      <w:r>
        <w:t xml:space="preserve"> </w:t>
      </w:r>
      <w:r>
        <w:t xml:space="preserve">The previous draft cited this range to justify stability but presented no simulation supporting it. Values L &gt; 1 imply the contraction condition fails, making the cited range self-undermining. Removed; the stability argument no longer depends on an estimated Lipschitz constant.</w:t>
      </w:r>
    </w:p>
    <w:p>
      <w:pPr>
        <w:numPr>
          <w:ilvl w:val="0"/>
          <w:numId w:val="1003"/>
        </w:numPr>
      </w:pPr>
      <w:r>
        <w:rPr>
          <w:bCs/>
          <w:b/>
        </w:rPr>
        <w:t xml:space="preserve">Anti-persistent series behavior acknowledged.</w:t>
      </w:r>
      <w:r>
        <w:t xml:space="preserve"> </w:t>
      </w:r>
      <w:r>
        <w:t xml:space="preserve">The previous draft was silent on H &lt; 0.5 (anti-persistent outcomes). Section 3 now explicitly notes that RDS = 0 for H ≤ 0.5 and provides the design-choice justification.</w:t>
      </w:r>
    </w:p>
    <w:p>
      <w:pPr>
        <w:numPr>
          <w:ilvl w:val="0"/>
          <w:numId w:val="1003"/>
        </w:numPr>
      </w:pPr>
      <w:r>
        <w:rPr>
          <w:bCs/>
          <w:b/>
        </w:rPr>
        <w:t xml:space="preserve">Detectability of pathological behavior clarified.</w:t>
      </w:r>
      <w:r>
        <w:t xml:space="preserve"> </w:t>
      </w:r>
      <w:r>
        <w:t xml:space="preserve">The previous draft claimed Fracttalix detects oscillation in the KVS adoption time series without specifying what series this is or how the detection feeds back. Section 4.6 now specifies that the adoption rate series is a distinct input, clarifies the non-circularity of the detection mechanism, and connects it explicitly to the Governance Closure Theorem.</w:t>
      </w:r>
    </w:p>
    <w:p>
      <w:pPr>
        <w:numPr>
          <w:ilvl w:val="0"/>
          <w:numId w:val="1003"/>
        </w:numPr>
      </w:pPr>
      <w:r>
        <w:rPr>
          <w:bCs/>
          <w:b/>
        </w:rPr>
        <w:t xml:space="preserve">Paper 3 integration added.</w:t>
      </w:r>
      <w:r>
        <w:t xml:space="preserve"> </w:t>
      </w:r>
      <w:r>
        <w:t xml:space="preserve">The previous draft omitted Paper 3 of the Meta-Kaizen trilogy entirely. Section 6 now integrates the Reasoning Network: regime-triggered overrides invoke the Paper 3 override protocol, producing question structure records that constitute the institutional memory layer of the closed loop.</w:t>
      </w:r>
    </w:p>
    <w:p>
      <w:r>
        <w:pict>
          <v:rect style="width:0;height:1.5pt" o:hralign="center" o:hrstd="t" o:hr="t"/>
        </w:pict>
      </w:r>
    </w:p>
    <w:bookmarkEnd w:id="35"/>
    <w:bookmarkStart w:id="36" w:name="references"/>
    <w:p>
      <w:pPr>
        <w:pStyle w:val="Heading2"/>
      </w:pPr>
      <w:r>
        <w:t xml:space="preserve">References</w:t>
      </w:r>
    </w:p>
    <w:p>
      <w:pPr>
        <w:pStyle w:val="FirstParagraph"/>
      </w:pPr>
      <w:r>
        <w:t xml:space="preserve">Brennan, T., Entwood, S., &amp; Claude (Anthropic). (2026). Meta-Kaizen: A General Theory and Algorithmic Framework for the Mathematical Formalization of Self-Evolving Continuous Improvement Across Arbitrary Governance Substrates [Paper 1]. Entwood Hollow Research Station Working Paper No. 1.</w:t>
      </w:r>
    </w:p>
    <w:p>
      <w:pPr>
        <w:pStyle w:val="BodyText"/>
      </w:pPr>
      <w:r>
        <w:t xml:space="preserve">Brennan, T., Entwood, S., &amp; Claude (Anthropic). (2026). Meta-Kaizen: Networked Implementation and Governance [Paper 2]. Entwood Hollow Research Station Working Paper No. 2.</w:t>
      </w:r>
    </w:p>
    <w:p>
      <w:pPr>
        <w:pStyle w:val="BodyText"/>
      </w:pPr>
      <w:r>
        <w:t xml:space="preserve">Brennan, T., &amp; Claude (Anthropic). (2026). Meta-Kaizen: The Reasoning Network [Paper 3]. Entwood Hollow Research Station Working Paper No. 3.</w:t>
      </w:r>
    </w:p>
    <w:p>
      <w:pPr>
        <w:pStyle w:val="BodyText"/>
      </w:pPr>
      <w:r>
        <w:t xml:space="preserve">Brennan, T. (2026). Fracttalix Sentinel v7.6: Lightweight, Regime-Aware Anomaly Detection for Time Series. https://github.com/thomasbrennan/Fracttalix</w:t>
      </w:r>
    </w:p>
    <w:p>
      <w:pPr>
        <w:pStyle w:val="BodyText"/>
      </w:pPr>
      <w:r>
        <w:t xml:space="preserve">Koestler, A. (1964). The Act of Creation. Hutchinson.</w:t>
      </w:r>
    </w:p>
    <w:p>
      <w:pPr>
        <w:pStyle w:val="BodyText"/>
      </w:pPr>
      <w:r>
        <w:t xml:space="preserve">March, J. G. (1991). Exploration and exploitation in organizational learning. Organization Science, 2(1), 71–87.</w:t>
      </w:r>
    </w:p>
    <w:p>
      <w:pPr>
        <w:pStyle w:val="BodyText"/>
      </w:pPr>
      <w:r>
        <w:t xml:space="preserve">Taleb, N. N. (2012). Antifragile: Things That Gain from Disorder. Random House.</w:t>
      </w:r>
    </w:p>
    <w:p>
      <w:pPr>
        <w:pStyle w:val="BodyText"/>
      </w:pPr>
      <w:r>
        <w:t xml:space="preserve">Theiler, J., Eubank, S., Longtin, A., Galdrikian, B., &amp; Farmer, J. D. (1992). Testing for nonlinearity in time series: the method of surrogate data. Physica D, 58(1–4), 77–94.</w:t>
      </w:r>
    </w:p>
    <w:bookmarkEnd w:id="36"/>
    <w:bookmarkEnd w:id="37"/>
    <w:sectPr>
      <w:headerReference r:id="rId9" w:type="default"/>
      <w:footerReference r:id="rId10" w:type="default"/>
      <w:pgSz w:h="15840" w:orient="portrait" w:w="12240"/>
      <w:pgMar w:bottom="1080" w:footer="708" w:gutter="0" w:header="708" w:left="1080" w:right="108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6"/>
      </w:pBdr>
      <w:tabs>
        <w:tab w:val="right" w:pos="9360"/>
      </w:tabs>
      <w:spacing w:before="60" w:after="0"/>
    </w:pPr>
    <w:r>
      <w:rPr>
        <w:rFonts w:ascii="Arial" w:cs="Arial" w:eastAsia="Arial" w:hAnsi="Arial"/>
        <w:i/>
        <w:iCs/>
        <w:color w:val="777777"/>
        <w:sz w:val="17"/>
        <w:szCs w:val="17"/>
      </w:rPr>
      <w:t xml:space="preserve">Submitted for peer review. Not for citation without authors' permission.</w:t>
    </w:r>
    <w:r>
      <w:rPr>
        <w:rFonts w:ascii="Arial" w:cs="Arial" w:eastAsia="Arial" w:hAnsi="Arial"/>
        <w:sz w:val="17"/>
        <w:szCs w:val="17"/>
      </w:rPr>
      <w:t xml:space="preserv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6"/>
      </w:pBdr>
      <w:spacing w:before="0" w:after="80"/>
    </w:pPr>
    <w:r>
      <w:rPr>
        <w:rFonts w:ascii="Arial" w:cs="Arial" w:eastAsia="Arial" w:hAnsi="Arial"/>
        <w:color w:val="2E74B5"/>
        <w:sz w:val="17"/>
        <w:szCs w:val="17"/>
      </w:rPr>
      <w:t xml:space="preserve">Meta-Kaizen: A General Theory of Self-Evolving Continuous Improvement  |  Brennan, Entwood &amp; Claude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480"/>
      <w:outlineLvl w:val="0"/>
    </w:pPr>
    <w:rPr>
      <w:rFonts w:ascii="Arial" w:cs="Arial" w:eastAsia="Arial" w:hAnsi="Arial"/>
      <w:b/>
      <w:bCs/>
      <w:color w:val="1A3C5E"/>
      <w:sz w:val="34"/>
      <w:szCs w:val="34"/>
    </w:rPr>
  </w:style>
  <w:style w:styleId="Heading2" w:type="paragraph">
    <w:name w:val="Heading 2"/>
    <w:basedOn w:val="Normal"/>
    <w:next w:val="Normal"/>
    <w:qFormat/>
    <w:pPr>
      <w:spacing w:after="120" w:before="320"/>
      <w:outlineLvl w:val="1"/>
    </w:pPr>
    <w:rPr>
      <w:rFonts w:ascii="Arial" w:cs="Arial" w:eastAsia="Arial" w:hAnsi="Arial"/>
      <w:b/>
      <w:bCs/>
      <w:color w:val="2E74B5"/>
      <w:sz w:val="26"/>
      <w:szCs w:val="26"/>
    </w:rPr>
  </w:style>
  <w:style w:styleId="Heading3" w:type="paragraph">
    <w:name w:val="Heading 3"/>
    <w:basedOn w:val="Normal"/>
    <w:next w:val="Normal"/>
    <w:qFormat/>
    <w:pPr>
      <w:spacing w:after="80" w:before="240"/>
      <w:outlineLvl w:val="2"/>
    </w:pPr>
    <w:rPr>
      <w:rFonts w:ascii="Arial" w:cs="Arial" w:eastAsia="Arial" w:hAnsi="Arial"/>
      <w:b/>
      <w:bCs/>
      <w:color w:val="333333"/>
      <w:sz w:val="23"/>
      <w:szCs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2026-03-05T15:22:29Z</dcterms:created>
  <dcterms:modified xsi:type="dcterms:W3CDTF">2026-03-05T15:22:29Z</dcterms:modified>
</cp:coreProperties>
</file>

<file path=docProps/custom.xml><?xml version="1.0" encoding="utf-8"?>
<Properties xmlns="http://schemas.openxmlformats.org/officeDocument/2006/custom-properties" xmlns:vt="http://schemas.openxmlformats.org/officeDocument/2006/docPropsVTypes"/>
</file>