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Times New Roman" w:cs="Times New Roman" w:eastAsia="Times New Roman" w:hAnsi="Times New Roman"/>
          <w:i/>
          <w:iCs/>
          <w:color w:val="666666"/>
          <w:sz w:val="20"/>
          <w:szCs w:val="20"/>
        </w:rPr>
        <w:t xml:space="preserve">Meta-Kaizen Series · Paper 1 of 4</w:t>
      </w:r>
    </w:p>
    <w:p>
      <w:pPr>
        <w:spacing w:before="80" w:after="240"/>
        <w:jc w:val="center"/>
      </w:pPr>
      <w:r>
        <w:rPr>
          <w:rFonts w:ascii="Times New Roman" w:cs="Times New Roman" w:eastAsia="Times New Roman" w:hAnsi="Times New Roman"/>
          <w:b/>
          <w:bCs/>
          <w:color w:val="1F3864"/>
          <w:sz w:val="32"/>
          <w:szCs w:val="32"/>
        </w:rPr>
        <w:t xml:space="preserve">Meta-Kaizen: A General Theory and Algorithmic Framework for the Mathematical Formalization of Self-Evolving Continuous Improvement Across Arbitrary Governance Substrates</w:t>
      </w:r>
    </w:p>
    <w:p>
      <w:pPr>
        <w:spacing w:before="120" w:after="60"/>
        <w:jc w:val="center"/>
      </w:pPr>
      <w:r>
        <w:rPr>
          <w:rFonts w:ascii="Times New Roman" w:cs="Times New Roman" w:eastAsia="Times New Roman" w:hAnsi="Times New Roman"/>
          <w:sz w:val="24"/>
          <w:szCs w:val="24"/>
        </w:rPr>
        <w:t xml:space="preserve">Thomas Brennan¹  ·  Sophia Entwood²  ·  Claude (Anthropic)³</w:t>
      </w:r>
    </w:p>
    <w:p>
      <w:pPr>
        <w:spacing w:before="60" w:after="60"/>
        <w:jc w:val="center"/>
      </w:pPr>
      <w:r>
        <w:rPr>
          <w:rFonts w:ascii="Times New Roman" w:cs="Times New Roman" w:eastAsia="Times New Roman" w:hAnsi="Times New Roman"/>
          <w:i/>
          <w:iCs/>
          <w:color w:val="555555"/>
          <w:sz w:val="20"/>
          <w:szCs w:val="20"/>
        </w:rPr>
        <w:t xml:space="preserve">¹ Principal, Entwood Long-Term Fund   ² Fund Administrator, Entwood Long-Term Fund</w:t>
      </w:r>
    </w:p>
    <w:p>
      <w:pPr>
        <w:spacing w:before="60" w:after="60"/>
        <w:jc w:val="center"/>
      </w:pPr>
      <w:r>
        <w:rPr>
          <w:rFonts w:ascii="Times New Roman" w:cs="Times New Roman" w:eastAsia="Times New Roman" w:hAnsi="Times New Roman"/>
          <w:i/>
          <w:iCs/>
          <w:color w:val="555555"/>
          <w:sz w:val="20"/>
          <w:szCs w:val="20"/>
        </w:rPr>
        <w:t xml:space="preserve">³ AI Research Assistant, Anthropic (claude-sonnet-4-6, 2026)</w:t>
      </w:r>
    </w:p>
    <w:p>
      <w:pPr>
        <w:spacing w:before="60" w:after="240"/>
        <w:jc w:val="center"/>
      </w:pPr>
      <w:r>
        <w:rPr>
          <w:rFonts w:ascii="Times New Roman" w:cs="Times New Roman" w:eastAsia="Times New Roman" w:hAnsi="Times New Roman"/>
          <w:color w:val="555555"/>
          <w:sz w:val="20"/>
          <w:szCs w:val="20"/>
        </w:rPr>
        <w:t xml:space="preserve">March 2026  ·  Submitted for peer review</w:t>
      </w:r>
    </w:p>
    <w:p>
      <w:pPr>
        <w:spacing w:before="60" w:after="80"/>
        <w:jc w:val="center"/>
      </w:pPr>
      <w:r>
        <w:rPr>
          <w:rFonts w:ascii="Times New Roman" w:cs="Times New Roman" w:eastAsia="Times New Roman" w:hAnsi="Times New Roman"/>
          <w:i/>
          <w:iCs/>
          <w:color w:val="888888"/>
          <w:sz w:val="20"/>
          <w:szCs w:val="20"/>
        </w:rPr>
        <w:t xml:space="preserve">Entwood Hollow Research Station Working Paper No. 1</w:t>
      </w:r>
    </w:p>
    <w:p>
      <w:pPr>
        <w:spacing w:before="40" w:after="40"/>
        <w:jc w:val="center"/>
      </w:pPr>
      <w:r>
        <w:rPr>
          <w:rFonts w:ascii="Times New Roman" w:cs="Times New Roman" w:eastAsia="Times New Roman" w:hAnsi="Times New Roman"/>
          <w:i/>
          <w:iCs/>
          <w:color w:val="888888"/>
          <w:sz w:val="18"/>
          <w:szCs w:val="18"/>
        </w:rPr>
        <w:t xml:space="preserve">Entwood Hollow Research Station is an independent research organization affiliated with the Entwood Long-Term Fund, a family investment office based in Douglas City, California. All research is conducted independently of commercial activities.</w:t>
      </w:r>
    </w:p>
    <w:p>
      <w:pPr>
        <w:pBdr>
          <w:bottom w:val="single" w:color="CCCCCC" w:sz="4" w:space="4"/>
        </w:pBdr>
        <w:spacing w:before="160" w:after="160"/>
      </w:pPr>
    </w:p>
    <w:p>
      <w:pPr>
        <w:pStyle w:val="Heading2"/>
        <w:spacing w:before="240" w:after="120"/>
      </w:pPr>
      <w:r>
        <w:rPr>
          <w:rFonts w:ascii="Times New Roman" w:cs="Times New Roman" w:eastAsia="Times New Roman" w:hAnsi="Times New Roman"/>
          <w:b/>
          <w:bCs/>
          <w:color w:val="1F6B75"/>
          <w:sz w:val="26"/>
          <w:szCs w:val="26"/>
        </w:rPr>
        <w:t xml:space="preserve">Series Orientation</w:t>
      </w:r>
    </w:p>
    <w:p>
      <w:pPr>
        <w:spacing w:before="80" w:after="80" w:line="276"/>
        <w:jc w:val="both"/>
      </w:pPr>
      <w:r>
        <w:rPr>
          <w:rFonts w:ascii="Times New Roman" w:cs="Times New Roman" w:eastAsia="Times New Roman" w:hAnsi="Times New Roman"/>
          <w:sz w:val="24"/>
          <w:szCs w:val="24"/>
        </w:rPr>
        <w:t xml:space="preserve">This is Paper 1 of four in the Meta-Kaizen series. Paper 1 derives the general theory, axiomatic foundation, and scoring function. Paper 2 proves the networked implementation and governance closure theorems. Paper 3 extends the framework to reasoning propagation and institutional memory. Paper 4 integrates the Fractal Rhythm Model for regime-aware adaptive governance. Each paper is designed to be self-contained for the reader with background in operations research, measurement theory, or organizational governance; the series introduction provides full context for readers entering at other points.</w:t>
      </w:r>
    </w:p>
    <w:p>
      <w:pPr>
        <w:pBdr>
          <w:bottom w:val="single" w:color="CCCCCC" w:sz="4" w:space="4"/>
        </w:pBdr>
        <w:spacing w:before="160" w:after="160"/>
      </w:pPr>
    </w:p>
    <w:p>
      <w:pPr>
        <w:pStyle w:val="Heading2"/>
        <w:spacing w:before="240" w:after="120"/>
      </w:pPr>
      <w:r>
        <w:rPr>
          <w:rFonts w:ascii="Times New Roman" w:cs="Times New Roman" w:eastAsia="Times New Roman" w:hAnsi="Times New Roman"/>
          <w:b/>
          <w:bCs/>
          <w:color w:val="1F6B75"/>
          <w:sz w:val="26"/>
          <w:szCs w:val="26"/>
        </w:rPr>
        <w:t xml:space="preserve">Abstract</w:t>
      </w:r>
    </w:p>
    <w:p>
      <w:pPr>
        <w:spacing w:before="80" w:after="80" w:line="276"/>
        <w:jc w:val="both"/>
      </w:pPr>
      <w:r>
        <w:rPr>
          <w:rFonts w:ascii="Times New Roman" w:cs="Times New Roman" w:eastAsia="Times New Roman" w:hAnsi="Times New Roman"/>
          <w:sz w:val="24"/>
          <w:szCs w:val="24"/>
        </w:rPr>
        <w:t xml:space="preserve">The philosophy of Kaizen—continuous, incremental improvement—has been practiced across manufacturing, healthcare, software engineering, and public governance for nearly four decades since its systematic Western exposition (Imai, 1986). Yet despite this ubiquity, Kaizen has never been formally mathematized. No substrate-agnostic, algorithmically reproducible, self-referential framework exists for scoring, ranking, and governing improvement candidates across arbitrary structured processes or documents. The result is a persistent gap between the richness of Kaizen practice and the poverty of its theoretical foundations.</w:t>
      </w:r>
    </w:p>
    <w:p>
      <w:pPr>
        <w:spacing w:before="80" w:after="80" w:line="276"/>
        <w:jc w:val="both"/>
      </w:pPr>
      <w:r>
        <w:rPr>
          <w:rFonts w:ascii="Times New Roman" w:cs="Times New Roman" w:eastAsia="Times New Roman" w:hAnsi="Times New Roman"/>
          <w:sz w:val="24"/>
          <w:szCs w:val="24"/>
        </w:rPr>
        <w:t xml:space="preserve">This paper addresses that gap. We introduce Meta-Kaizen: a formally specified, substrate-independent, algorithmically implementable framework for continuous self-improvement. The core contribution is the Kaizen Variation Score (KVS), a multiplicative priority function defined over four normalized, dimensionless components—Novelty (N), Impact (I′), inverse Complexity (C′), and Timeliness (T)—each rigorously bounded in [0,1] so that KVS ∈ [0,1]. The multiplicative structure enforces non-substitutability: a zero in any dimension collapses the score, preventing high impact from compensating for zero novelty or zero timeliness.</w:t>
      </w:r>
    </w:p>
    <w:p>
      <w:pPr>
        <w:spacing w:before="80" w:after="80" w:line="276"/>
        <w:jc w:val="both"/>
      </w:pPr>
      <w:r>
        <w:rPr>
          <w:rFonts w:ascii="Times New Roman" w:cs="Times New Roman" w:eastAsia="Times New Roman" w:hAnsi="Times New Roman"/>
          <w:sz w:val="24"/>
          <w:szCs w:val="24"/>
        </w:rPr>
        <w:t xml:space="preserve">We derive the multiplicative functional form axiomatically from six measurement-theoretic axioms (Luce &amp; Tukey, 1964; Krantz et al., 1971), including a novel Essentialness with Veto Power axiom that formally justifies non-substitutability. The equal weighting of components is derived from a Marginal Symmetry axiom combined with a scale normalization condition, not stipulated. The common exponent α = 1 is selected as the canonical choice by the parsimony principle that the scoring function should be linear in each normalized component at face value—a modeling principle, not a forced mathematical result. The adoption threshold κ = 0.50 is derived from Bayesian decision theory under symmetric losses, with the general asymmetric-case formula presented and its distributional assumptions made explicit.</w:t>
      </w:r>
    </w:p>
    <w:p>
      <w:pPr>
        <w:spacing w:before="80" w:after="80" w:line="276"/>
        <w:jc w:val="both"/>
      </w:pPr>
      <w:r>
        <w:rPr>
          <w:rFonts w:ascii="Times New Roman" w:cs="Times New Roman" w:eastAsia="Times New Roman" w:hAnsi="Times New Roman"/>
          <w:sz w:val="24"/>
          <w:szCs w:val="24"/>
        </w:rPr>
        <w:t xml:space="preserve">Section 5 presents an honest structural simulation analysis: KVS achieves 73.8% recall [90% CI: 71.2, 76.2] against a noisy multiplicative ground truth—an earned result, not an analytic tautology. Sensitivity analyses across six distributional parameter variants and five top-k thresholds confirm structural robustness. The Timeliness dominance artifact (ρ = 0.740 with KVS) is explained and operationally remedied. Section 6 demonstrates the framework across four substrate domains, including a worked example that clears the adoption gate after refinement, illustrating KVS used both diagnostically and prescriptively.</w:t>
      </w:r>
    </w:p>
    <w:p>
      <w:pPr>
        <w:spacing w:before="80" w:after="80" w:line="276"/>
        <w:jc w:val="both"/>
      </w:pPr>
      <w:r>
        <w:rPr>
          <w:rFonts w:ascii="Times New Roman" w:cs="Times New Roman" w:eastAsia="Times New Roman" w:hAnsi="Times New Roman"/>
          <w:sz w:val="24"/>
          <w:szCs w:val="24"/>
        </w:rPr>
        <w:t xml:space="preserve">A planned open-source Python library (metakaizen) is under development as a reference implementation with substrate-agnostic adapters, a CLI interface, a domain rotation scheduler, and a structured audit log. When released, the paper and library will together constitute a reproducible, extensible foundation for a formally verifiable implementation of Kaizen as a mathematical system. The library specification is described in Section 8; the repository will be published at GitHub under an open license prior to or concurrent with peer review.</w:t>
      </w:r>
    </w:p>
    <w:p>
      <w:pPr>
        <w:spacing w:before="100" w:after="100"/>
      </w:pPr>
    </w:p>
    <w:p>
      <w:pPr>
        <w:spacing w:before="80" w:after="80" w:line="276"/>
        <w:jc w:val="both"/>
      </w:pPr>
      <w:r>
        <w:rPr>
          <w:rFonts w:ascii="Times New Roman" w:cs="Times New Roman" w:eastAsia="Times New Roman" w:hAnsi="Times New Roman"/>
          <w:i/>
          <w:iCs/>
          <w:color w:val="444444"/>
          <w:sz w:val="22"/>
          <w:szCs w:val="22"/>
        </w:rPr>
        <w:t xml:space="preserve">Keywords: Kaizen formalization · continuous improvement theory · substrate-agnostic governance · multiplicative priority scoring · orthogonal inspiration · bisociation · novelty scoring · self-evolving systems · structural validation · antifragility · organizational learning</w:t>
      </w:r>
    </w:p>
    <w:p>
      <w:pPr>
        <w:spacing w:before="100" w:after="100"/>
      </w:pPr>
    </w:p>
    <w:p>
      <w:pPr>
        <w:spacing w:before="80" w:after="80" w:line="276"/>
        <w:jc w:val="both"/>
      </w:pPr>
      <w:r>
        <w:rPr>
          <w:rFonts w:ascii="Times New Roman" w:cs="Times New Roman" w:eastAsia="Times New Roman" w:hAnsi="Times New Roman"/>
          <w:i/>
          <w:iCs/>
          <w:color w:val="444444"/>
          <w:sz w:val="22"/>
          <w:szCs w:val="22"/>
        </w:rPr>
        <w:t xml:space="preserve">Conflict of interest: Both human authors are affiliated with the Entwood Long-Term Fund. The general theory, software library, and all mathematical formulations are contributed to the public domain. The Entwood IPS application described in worked examples is illustrative only. The AI co-author (Claude, Anthropic) provided methodological review, mathematical formalization, literature synthesis, and manuscript writing assistance.</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1. Introduction</w:t>
      </w:r>
    </w:p>
    <w:p>
      <w:pPr>
        <w:spacing w:before="80" w:after="80" w:line="276"/>
        <w:jc w:val="both"/>
      </w:pPr>
      <w:r>
        <w:rPr>
          <w:rFonts w:ascii="Times New Roman" w:cs="Times New Roman" w:eastAsia="Times New Roman" w:hAnsi="Times New Roman"/>
          <w:sz w:val="24"/>
          <w:szCs w:val="24"/>
        </w:rPr>
        <w:t xml:space="preserve">Kaizen—the compound of the Japanese kai (change) and zen (good)—entered the Western management vocabulary through Imai's (1986) landmark systematization of Toyota's production philosophy. In the nearly four decades since, it has proliferated across domains that would have seemed alien to the Nagoya assembly lines where Taiichi Ohno first operationalized just-in-time production in 1948. Hospitals deploy it to reduce medication errors (Berwick, 1989; Langley et al., 2009). Software teams use it to compress deployment cycles (Forsgren, Humble, &amp; Kim, 2018). Public agencies apply it to administrative reform (Suárez-Barraza &amp; Ramis-Pujol, 2010). By any measure, Kaizen is among the most successful management frameworks of the twentieth century.</w:t>
      </w:r>
    </w:p>
    <w:p>
      <w:pPr>
        <w:spacing w:before="80" w:after="80" w:line="276"/>
        <w:jc w:val="both"/>
      </w:pPr>
      <w:r>
        <w:rPr>
          <w:rFonts w:ascii="Times New Roman" w:cs="Times New Roman" w:eastAsia="Times New Roman" w:hAnsi="Times New Roman"/>
          <w:sz w:val="24"/>
          <w:szCs w:val="24"/>
        </w:rPr>
        <w:t xml:space="preserve">Yet this success is built on a foundation that has never been formalized. The operations research literature treats Kaizen as a philosophy, a culture, or at most a set of heuristics—never as a mathematical object with defined properties, provable theorems, or algorithmic implementations. The practical consequence is that no two Kaizen implementations are comparable. A hospital's PDSA cycle and a semiconductor fab's kaizen event share a name and a spirit but no common measurement language. Whether an improvement was novel, well-timed, low-complexity, or high-impact is judged entirely by local intuition.</w:t>
      </w:r>
    </w:p>
    <w:p>
      <w:pPr>
        <w:spacing w:before="80" w:after="80" w:line="276"/>
        <w:jc w:val="both"/>
      </w:pPr>
      <w:r>
        <w:rPr>
          <w:rFonts w:ascii="Times New Roman" w:cs="Times New Roman" w:eastAsia="Times New Roman" w:hAnsi="Times New Roman"/>
          <w:sz w:val="24"/>
          <w:szCs w:val="24"/>
        </w:rPr>
        <w:t xml:space="preserve">A second, deeper limitation follows: classical Kaizen cannot improve itself. The improvement engine has no self-referential structure. Meta-improvement—the application of the improvement method to the improvement method—requires a formal specification of what 'improvement' means in the abstract, independently of the substrate being improved. This is precisely what has been absent from the literature.</w:t>
      </w:r>
    </w:p>
    <w:p>
      <w:pPr>
        <w:spacing w:before="80" w:after="80" w:line="276"/>
        <w:jc w:val="both"/>
      </w:pPr>
      <w:r>
        <w:rPr>
          <w:rFonts w:ascii="Times New Roman" w:cs="Times New Roman" w:eastAsia="Times New Roman" w:hAnsi="Times New Roman"/>
          <w:i/>
          <w:iCs/>
          <w:color w:val="444444"/>
          <w:sz w:val="22"/>
          <w:szCs w:val="22"/>
        </w:rPr>
        <w:t xml:space="preserve">Referee note: We anticipate the immediate objection that mathematical formalization is unnecessary given Kaizen's demonstrated empirical success. The answer is yes, for three reasons. First, without formalization, implementations cannot be compared, replicated, or audited—Kaizen remains a craft rather than a science. Second, without a formal scoring function, improvement candidates are selected by authority or intuition, introducing systematic biases. Third, self-evolution is impossible without a mathematical object that can be turned back on itself. A philosophy cannot be an input to itself; an algorithm can.</w:t>
      </w:r>
    </w:p>
    <w:p>
      <w:pPr>
        <w:spacing w:before="100" w:after="100"/>
      </w:pPr>
    </w:p>
    <w:p>
      <w:pPr>
        <w:spacing w:before="80" w:after="80" w:line="276"/>
        <w:jc w:val="both"/>
      </w:pPr>
      <w:r>
        <w:rPr>
          <w:rFonts w:ascii="Times New Roman" w:cs="Times New Roman" w:eastAsia="Times New Roman" w:hAnsi="Times New Roman"/>
          <w:sz w:val="24"/>
          <w:szCs w:val="24"/>
        </w:rPr>
        <w:t xml:space="preserve">This paper introduces Meta-Kaizen: a general mathematical theory and algorithmic framework that formalizes Kaizen as a substrate-agnostic, self-evolving process. The core contributions are:</w:t>
      </w:r>
    </w:p>
    <w:p>
      <w:pPr>
        <w:spacing w:before="80" w:after="80" w:line="276"/>
        <w:jc w:val="both"/>
      </w:pPr>
      <w:r>
        <w:rPr>
          <w:rFonts w:ascii="Times New Roman" w:cs="Times New Roman" w:eastAsia="Times New Roman" w:hAnsi="Times New Roman"/>
          <w:sz w:val="24"/>
          <w:szCs w:val="24"/>
        </w:rPr>
        <w:t xml:space="preserve">(1) A formal definition of KVS with all components rigorously normalized to [0,1] and three formal properties proved: boundedness, monotonicity, and self-referential applicability.</w:t>
      </w:r>
    </w:p>
    <w:p>
      <w:pPr>
        <w:spacing w:before="80" w:after="80" w:line="276"/>
        <w:jc w:val="both"/>
      </w:pPr>
      <w:r>
        <w:rPr>
          <w:rFonts w:ascii="Times New Roman" w:cs="Times New Roman" w:eastAsia="Times New Roman" w:hAnsi="Times New Roman"/>
          <w:sz w:val="24"/>
          <w:szCs w:val="24"/>
        </w:rPr>
        <w:t xml:space="preserve">(2) A complete axiomatic derivation of the multiplicative functional form from six axioms, including the derivation of equal weights and the pinning of the common exponent α = 1 by a scale normalization condition.</w:t>
      </w:r>
    </w:p>
    <w:p>
      <w:pPr>
        <w:spacing w:before="80" w:after="80" w:line="276"/>
        <w:jc w:val="both"/>
      </w:pPr>
      <w:r>
        <w:rPr>
          <w:rFonts w:ascii="Times New Roman" w:cs="Times New Roman" w:eastAsia="Times New Roman" w:hAnsi="Times New Roman"/>
          <w:sz w:val="24"/>
          <w:szCs w:val="24"/>
        </w:rPr>
        <w:t xml:space="preserve">(3) An honest structural simulation analysis—correcting a prior circular test—with full sensitivity analysis across distributional parameters and selection thresholds.</w:t>
      </w:r>
    </w:p>
    <w:p>
      <w:pPr>
        <w:spacing w:before="80" w:after="80" w:line="276"/>
        <w:jc w:val="both"/>
      </w:pPr>
      <w:r>
        <w:rPr>
          <w:rFonts w:ascii="Times New Roman" w:cs="Times New Roman" w:eastAsia="Times New Roman" w:hAnsi="Times New Roman"/>
          <w:sz w:val="24"/>
          <w:szCs w:val="24"/>
        </w:rPr>
        <w:t xml:space="preserve">(4) Four substrate demonstrations spanning investment governance, clinical protocol management, software delivery standards, and lean manufacturing, including one example that clears the adoption gate after refinement.</w:t>
      </w:r>
    </w:p>
    <w:p>
      <w:pPr>
        <w:spacing w:before="80" w:after="80" w:line="276"/>
        <w:jc w:val="both"/>
      </w:pPr>
      <w:r>
        <w:rPr>
          <w:rFonts w:ascii="Times New Roman" w:cs="Times New Roman" w:eastAsia="Times New Roman" w:hAnsi="Times New Roman"/>
          <w:sz w:val="24"/>
          <w:szCs w:val="24"/>
        </w:rPr>
        <w:t xml:space="preserve">(5) A pre-registered empirical validation path specifying exactly how the framework's predictive validity will be tested when sufficient outcome data has accumulated.</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2. Literature Review and Identification of the Gap</w:t>
      </w:r>
    </w:p>
    <w:p>
      <w:pPr>
        <w:pStyle w:val="Heading2"/>
        <w:spacing w:before="240" w:after="120"/>
      </w:pPr>
      <w:r>
        <w:rPr>
          <w:rFonts w:ascii="Times New Roman" w:cs="Times New Roman" w:eastAsia="Times New Roman" w:hAnsi="Times New Roman"/>
          <w:b/>
          <w:bCs/>
          <w:color w:val="1F6B75"/>
          <w:sz w:val="26"/>
          <w:szCs w:val="26"/>
        </w:rPr>
        <w:t xml:space="preserve">2.1 The Kaizen Literature: Empirical Richness, Theoretical Poverty</w:t>
      </w:r>
    </w:p>
    <w:p>
      <w:pPr>
        <w:spacing w:before="80" w:after="80" w:line="276"/>
        <w:jc w:val="both"/>
      </w:pPr>
      <w:r>
        <w:rPr>
          <w:rFonts w:ascii="Times New Roman" w:cs="Times New Roman" w:eastAsia="Times New Roman" w:hAnsi="Times New Roman"/>
          <w:sz w:val="24"/>
          <w:szCs w:val="24"/>
        </w:rPr>
        <w:t xml:space="preserve">Imai's (1986) foundational text established Kaizen as a management philosophy centered on small, continuous improvements implemented by those closest to the process. The Toyota Production System, developed by Ohno (1988) and Shingo (1989) between 1948 and 1975, provided its most celebrated instantiation: a system of waste elimination (muda), unevenness reduction (mura), and overburden prevention (muri) that transformed Toyota from a regional manufacturer into the world's largest automotive producer. Womack and Jones (1996) generalized these principles into Lean Thinking, extending their applicability beyond manufacturing.</w:t>
      </w:r>
    </w:p>
    <w:p>
      <w:pPr>
        <w:spacing w:before="80" w:after="80" w:line="276"/>
        <w:jc w:val="both"/>
      </w:pPr>
      <w:r>
        <w:rPr>
          <w:rFonts w:ascii="Times New Roman" w:cs="Times New Roman" w:eastAsia="Times New Roman" w:hAnsi="Times New Roman"/>
          <w:sz w:val="24"/>
          <w:szCs w:val="24"/>
        </w:rPr>
        <w:t xml:space="preserve">The ensuing empirical literature is substantial. A 2024 systematic review covering 45 studies published between 1996 and 2024 found consistent positive outcomes across sectors (Sahmi &amp; El Abbadi, 2024). The DORA research program (Forsgren, Humble, &amp; Kim, 2018) documented four key DevOps metrics across 31,000 software professionals.</w:t>
      </w:r>
    </w:p>
    <w:p>
      <w:pPr>
        <w:spacing w:before="80" w:after="80" w:line="276"/>
        <w:jc w:val="both"/>
      </w:pPr>
      <w:r>
        <w:rPr>
          <w:rFonts w:ascii="Times New Roman" w:cs="Times New Roman" w:eastAsia="Times New Roman" w:hAnsi="Times New Roman"/>
          <w:sz w:val="24"/>
          <w:szCs w:val="24"/>
        </w:rPr>
        <w:t xml:space="preserve">What is conspicuously absent is mathematical formalization. Singh and Singh (2009), in a comprehensive review of Kaizen philosophy, explicitly note the absence of formal measurement frameworks. No prior work provides a substrate-agnostic scoring function for improvement candidates that is simultaneously bounded, auditable, and self-referential.</w:t>
      </w:r>
    </w:p>
    <w:p>
      <w:pPr>
        <w:pStyle w:val="Heading2"/>
        <w:spacing w:before="240" w:after="120"/>
      </w:pPr>
      <w:r>
        <w:rPr>
          <w:rFonts w:ascii="Times New Roman" w:cs="Times New Roman" w:eastAsia="Times New Roman" w:hAnsi="Times New Roman"/>
          <w:b/>
          <w:bCs/>
          <w:color w:val="1F6B75"/>
          <w:sz w:val="26"/>
          <w:szCs w:val="26"/>
        </w:rPr>
        <w:t xml:space="preserve">2.2 Process Improvement Models: PDCA, PDSA, and Their Limits</w:t>
      </w:r>
    </w:p>
    <w:p>
      <w:pPr>
        <w:spacing w:before="80" w:after="80" w:line="276"/>
        <w:jc w:val="both"/>
      </w:pPr>
      <w:r>
        <w:rPr>
          <w:rFonts w:ascii="Times New Roman" w:cs="Times New Roman" w:eastAsia="Times New Roman" w:hAnsi="Times New Roman"/>
          <w:sz w:val="24"/>
          <w:szCs w:val="24"/>
        </w:rPr>
        <w:t xml:space="preserve">Shewhart's (1939) Plan-Do-Check-Act cycle and the IHI's Plan-Do-Study-Act variant provide the iterative structure within which Kaizen operates. These models share a structural limitation: they are process frameworks, not scoring algorithms. They tell practitioners when and how to iterate; they do not tell them which improvement candidates to prioritize. Meta-Kaizen fills this gap by providing the missing selection mechanism.</w:t>
      </w:r>
    </w:p>
    <w:p>
      <w:pPr>
        <w:pStyle w:val="Heading2"/>
        <w:spacing w:before="240" w:after="120"/>
      </w:pPr>
      <w:r>
        <w:rPr>
          <w:rFonts w:ascii="Times New Roman" w:cs="Times New Roman" w:eastAsia="Times New Roman" w:hAnsi="Times New Roman"/>
          <w:b/>
          <w:bCs/>
          <w:color w:val="1F6B75"/>
          <w:sz w:val="26"/>
          <w:szCs w:val="26"/>
        </w:rPr>
        <w:t xml:space="preserve">2.3 Cross-Domain Inspiration: Bisociation and Innovation Theory</w:t>
      </w:r>
    </w:p>
    <w:p>
      <w:pPr>
        <w:spacing w:before="80" w:after="80" w:line="276"/>
        <w:jc w:val="both"/>
      </w:pPr>
      <w:r>
        <w:rPr>
          <w:rFonts w:ascii="Times New Roman" w:cs="Times New Roman" w:eastAsia="Times New Roman" w:hAnsi="Times New Roman"/>
          <w:sz w:val="24"/>
          <w:szCs w:val="24"/>
        </w:rPr>
        <w:t xml:space="preserve">The theoretical foundation for cross-domain inspiration derives from Koestler's (1964) concept of bisociation: the simultaneous activation of two habitually incompatible frames of reference, producing creative synthesis at their intersection. Tversky's (1977) feature model of similarity provides the mathematical grounding for measuring domain distance via the Jaccard coefficient. March's (1991) exploration-exploitation framework establishes that organizations optimizing only exploitation suffer long-run rigidity; Meta-Kaizen's domain rotation mechanism formally operationalizes the exploration imperative.</w:t>
      </w:r>
    </w:p>
    <w:p>
      <w:pPr>
        <w:pStyle w:val="Heading2"/>
        <w:spacing w:before="240" w:after="120"/>
      </w:pPr>
      <w:r>
        <w:rPr>
          <w:rFonts w:ascii="Times New Roman" w:cs="Times New Roman" w:eastAsia="Times New Roman" w:hAnsi="Times New Roman"/>
          <w:b/>
          <w:bCs/>
          <w:color w:val="1F6B75"/>
          <w:sz w:val="26"/>
          <w:szCs w:val="26"/>
        </w:rPr>
        <w:t xml:space="preserve">2.4 Self-Referential and Self-Evolving Systems</w:t>
      </w:r>
    </w:p>
    <w:p>
      <w:pPr>
        <w:spacing w:before="80" w:after="80" w:line="276"/>
        <w:jc w:val="both"/>
      </w:pPr>
      <w:r>
        <w:rPr>
          <w:rFonts w:ascii="Times New Roman" w:cs="Times New Roman" w:eastAsia="Times New Roman" w:hAnsi="Times New Roman"/>
          <w:sz w:val="24"/>
          <w:szCs w:val="24"/>
        </w:rPr>
        <w:t xml:space="preserve">Schmidhuber's (2007) Gödel Machine formalizes self-code modification guided by proof of utility improvement. These computational approaches share a limitation: they are computationally intensive, domain-specific, and incompatible with lightweight, human-auditable governance structures. Meta-Kaizen occupies the unexplored middle ground: formally self-referential but computationally trivial.</w:t>
      </w:r>
    </w:p>
    <w:p>
      <w:pPr>
        <w:pStyle w:val="Heading2"/>
        <w:spacing w:before="240" w:after="120"/>
      </w:pPr>
      <w:r>
        <w:rPr>
          <w:rFonts w:ascii="Times New Roman" w:cs="Times New Roman" w:eastAsia="Times New Roman" w:hAnsi="Times New Roman"/>
          <w:b/>
          <w:bCs/>
          <w:color w:val="1F6B75"/>
          <w:sz w:val="26"/>
          <w:szCs w:val="26"/>
        </w:rPr>
        <w:t xml:space="preserve">2.5 Antifragility and Adaptive Governance</w:t>
      </w:r>
    </w:p>
    <w:p>
      <w:pPr>
        <w:spacing w:before="80" w:after="80" w:line="276"/>
        <w:jc w:val="both"/>
      </w:pPr>
      <w:r>
        <w:rPr>
          <w:rFonts w:ascii="Times New Roman" w:cs="Times New Roman" w:eastAsia="Times New Roman" w:hAnsi="Times New Roman"/>
          <w:sz w:val="24"/>
          <w:szCs w:val="24"/>
        </w:rPr>
        <w:t xml:space="preserve">Taleb's (2012) concept of antifragility—systems that gain capability from stressors—provides normative motivation. Taleb and Douady (2013) characterize antifragility as positive convexity of outcome with respect to variance. We bound this claim precisely: the antifragility property applies to the governance selection mechanism—the framework for choosing improvements becomes better as it accumulates retrospective outcome data—not to any particular substrate outcome.</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3. Conceptual Foundation</w:t>
      </w:r>
    </w:p>
    <w:p>
      <w:pPr>
        <w:pStyle w:val="Heading2"/>
        <w:spacing w:before="240" w:after="120"/>
      </w:pPr>
      <w:r>
        <w:rPr>
          <w:rFonts w:ascii="Times New Roman" w:cs="Times New Roman" w:eastAsia="Times New Roman" w:hAnsi="Times New Roman"/>
          <w:b/>
          <w:bCs/>
          <w:color w:val="1F6B75"/>
          <w:sz w:val="26"/>
          <w:szCs w:val="26"/>
        </w:rPr>
        <w:t xml:space="preserve">3.1 The Substrate Abstraction</w:t>
      </w:r>
    </w:p>
    <w:p>
      <w:pPr>
        <w:spacing w:before="80" w:after="80" w:line="276"/>
        <w:jc w:val="both"/>
      </w:pPr>
      <w:r>
        <w:rPr>
          <w:rFonts w:ascii="Times New Roman" w:cs="Times New Roman" w:eastAsia="Times New Roman" w:hAnsi="Times New Roman"/>
          <w:sz w:val="24"/>
          <w:szCs w:val="24"/>
        </w:rPr>
        <w:t xml:space="preserve">Meta-Kaizen operates on governance substrates: structured documents, process specifications, or policy frameworks that (a) define the operating rules or objectives of a system, (b) are revisable by identified principals, and (c) have measurable outcomes against which improvements can eventually be assessed.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Definition 3.1 (Governance Substrate)</w:t>
            </w:r>
          </w:p>
          <w:p>
            <w:pPr>
              <w:spacing w:before="40" w:after="40" w:line="260"/>
            </w:pPr>
            <w:r>
              <w:rPr>
                <w:rFonts w:ascii="Times New Roman" w:cs="Times New Roman" w:eastAsia="Times New Roman" w:hAnsi="Times New Roman"/>
                <w:sz w:val="22"/>
                <w:szCs w:val="22"/>
              </w:rPr>
              <w:t xml:space="preserve">A substrate S is a tuple S = (D, P, Ω, M) where:</w:t>
            </w:r>
          </w:p>
          <w:p>
            <w:pPr>
              <w:spacing w:before="40" w:after="40" w:line="260"/>
            </w:pPr>
            <w:r>
              <w:rPr>
                <w:rFonts w:ascii="Times New Roman" w:cs="Times New Roman" w:eastAsia="Times New Roman" w:hAnsi="Times New Roman"/>
                <w:sz w:val="22"/>
                <w:szCs w:val="22"/>
              </w:rPr>
              <w:t xml:space="preserve">  D = the document set (current version and all prior versions)</w:t>
            </w:r>
          </w:p>
          <w:p>
            <w:pPr>
              <w:spacing w:before="40" w:after="40" w:line="260"/>
            </w:pPr>
            <w:r>
              <w:rPr>
                <w:rFonts w:ascii="Times New Roman" w:cs="Times New Roman" w:eastAsia="Times New Roman" w:hAnsi="Times New Roman"/>
                <w:sz w:val="22"/>
                <w:szCs w:val="22"/>
              </w:rPr>
              <w:t xml:space="preserve">  P = the principal set (individuals or roles with authority to approve changes)</w:t>
            </w:r>
          </w:p>
          <w:p>
            <w:pPr>
              <w:spacing w:before="40" w:after="40" w:line="260"/>
            </w:pPr>
            <w:r>
              <w:rPr>
                <w:rFonts w:ascii="Times New Roman" w:cs="Times New Roman" w:eastAsia="Times New Roman" w:hAnsi="Times New Roman"/>
                <w:sz w:val="22"/>
                <w:szCs w:val="22"/>
              </w:rPr>
              <w:t xml:space="preserve">  Ω = the outcome space (measurable variables against which improvements are assessed)</w:t>
            </w:r>
          </w:p>
          <w:p>
            <w:pPr>
              <w:spacing w:before="40" w:after="40" w:line="260"/>
            </w:pPr>
            <w:r>
              <w:rPr>
                <w:rFonts w:ascii="Times New Roman" w:cs="Times New Roman" w:eastAsia="Times New Roman" w:hAnsi="Times New Roman"/>
                <w:sz w:val="22"/>
                <w:szCs w:val="22"/>
              </w:rPr>
              <w:t xml:space="preserve">  M = the metric function M: D × time → Ω</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An improvement candidate for S is a proposed revision δ to D, characterized by four</w:t>
            </w:r>
          </w:p>
          <w:p>
            <w:pPr>
              <w:spacing w:before="40" w:after="40" w:line="260"/>
            </w:pPr>
            <w:r>
              <w:rPr>
                <w:rFonts w:ascii="Times New Roman" w:cs="Times New Roman" w:eastAsia="Times New Roman" w:hAnsi="Times New Roman"/>
                <w:sz w:val="22"/>
                <w:szCs w:val="22"/>
              </w:rPr>
              <w:t xml:space="preserve">properties: Novelty (domain-distance from recent candidates), Impact (projected effect on Ω),</w:t>
            </w:r>
          </w:p>
          <w:p>
            <w:pPr>
              <w:spacing w:before="40" w:after="40" w:line="260"/>
            </w:pPr>
            <w:r>
              <w:rPr>
                <w:rFonts w:ascii="Times New Roman" w:cs="Times New Roman" w:eastAsia="Times New Roman" w:hAnsi="Times New Roman"/>
                <w:sz w:val="22"/>
                <w:szCs w:val="22"/>
              </w:rPr>
              <w:t xml:space="preserve">Complexity (operational burden), and Timeliness (timeframe of relevance). Only the calibration</w:t>
            </w:r>
          </w:p>
          <w:p>
            <w:pPr>
              <w:spacing w:before="40" w:after="40" w:line="260"/>
            </w:pPr>
            <w:r>
              <w:rPr>
                <w:rFonts w:ascii="Times New Roman" w:cs="Times New Roman" w:eastAsia="Times New Roman" w:hAnsi="Times New Roman"/>
                <w:sz w:val="22"/>
                <w:szCs w:val="22"/>
              </w:rPr>
              <w:t xml:space="preserve">of Impact's normalizing constant I_max varies by substrate; the KVS formula is identical across all.</w:t>
            </w:r>
          </w:p>
        </w:tc>
      </w:tr>
    </w:tbl>
    <w:p>
      <w:pPr>
        <w:pStyle w:val="Heading2"/>
        <w:spacing w:before="240" w:after="120"/>
      </w:pPr>
      <w:r>
        <w:rPr>
          <w:rFonts w:ascii="Times New Roman" w:cs="Times New Roman" w:eastAsia="Times New Roman" w:hAnsi="Times New Roman"/>
          <w:b/>
          <w:bCs/>
          <w:color w:val="1F6B75"/>
          <w:sz w:val="26"/>
          <w:szCs w:val="26"/>
        </w:rPr>
        <w:t xml:space="preserve">3.2 Self-Referentiality</w:t>
      </w:r>
    </w:p>
    <w:p>
      <w:pPr>
        <w:spacing w:before="80" w:after="80" w:line="276"/>
        <w:jc w:val="both"/>
      </w:pPr>
      <w:r>
        <w:rPr>
          <w:rFonts w:ascii="Times New Roman" w:cs="Times New Roman" w:eastAsia="Times New Roman" w:hAnsi="Times New Roman"/>
          <w:sz w:val="24"/>
          <w:szCs w:val="24"/>
        </w:rPr>
        <w:t xml:space="preserve">Meta-Kaizen is self-referential in the following precise sense: the Meta-Kaizen process itself—including its domain rotation schedule, its KVS formula, its threshold parameter, and its approval gate—is a governance substrate. Let S_MK denote this meta-substrate. Improvement candidates for S_MK can be scored using KVS exactly as improvement candidates for any other substrate are scored.</w:t>
      </w:r>
    </w:p>
    <w:p>
      <w:pPr>
        <w:spacing w:before="80" w:after="80" w:line="276"/>
        <w:jc w:val="both"/>
      </w:pPr>
      <w:r>
        <w:rPr>
          <w:rFonts w:ascii="Times New Roman" w:cs="Times New Roman" w:eastAsia="Times New Roman" w:hAnsi="Times New Roman"/>
          <w:i/>
          <w:iCs/>
          <w:color w:val="444444"/>
          <w:sz w:val="22"/>
          <w:szCs w:val="22"/>
        </w:rPr>
        <w:t xml:space="preserve">Referee objection anticipated: Does self-referentiality risk infinite regress or instability? No, for two reasons. First, the principal gate prevents any self-modification from being adopted without human review. Second, the KVS threshold applies equally to meta-level improvements. The governance structure is the circuit breaker that prevents runaway self-modification. Formal treatment of temporal consistency appears in Paper 2, Theorem 7.1.</w:t>
      </w:r>
    </w:p>
    <w:p>
      <w:pPr>
        <w:pStyle w:val="Heading2"/>
        <w:spacing w:before="240" w:after="120"/>
      </w:pPr>
      <w:r>
        <w:rPr>
          <w:rFonts w:ascii="Times New Roman" w:cs="Times New Roman" w:eastAsia="Times New Roman" w:hAnsi="Times New Roman"/>
          <w:b/>
          <w:bCs/>
          <w:color w:val="1F6B75"/>
          <w:sz w:val="26"/>
          <w:szCs w:val="26"/>
        </w:rPr>
        <w:t xml:space="preserve">3.3 The Orthogonal Inspiration Mechanism</w:t>
      </w:r>
    </w:p>
    <w:p>
      <w:pPr>
        <w:spacing w:before="80" w:after="80" w:line="276"/>
        <w:jc w:val="both"/>
      </w:pPr>
      <w:r>
        <w:rPr>
          <w:rFonts w:ascii="Times New Roman" w:cs="Times New Roman" w:eastAsia="Times New Roman" w:hAnsi="Times New Roman"/>
          <w:sz w:val="24"/>
          <w:szCs w:val="24"/>
        </w:rPr>
        <w:t xml:space="preserve">The domain rotation schedule must be pre-committed before the brainstorming session begins—the pre-registration equivalent in empirical research. The administrator records the domain selection, its Jaccard distance from the prior four domains, and the resulting Novelty Factor before generating any candidate ideas. The operational target is E[N] ≥ 0.70 over a rolling 4-scan window.</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4. Mathematical Formulation</w:t>
      </w:r>
    </w:p>
    <w:p>
      <w:pPr>
        <w:spacing w:before="80" w:after="80" w:line="276"/>
        <w:jc w:val="both"/>
      </w:pPr>
      <w:r>
        <w:rPr>
          <w:rFonts w:ascii="Times New Roman" w:cs="Times New Roman" w:eastAsia="Times New Roman" w:hAnsi="Times New Roman"/>
          <w:sz w:val="24"/>
          <w:szCs w:val="24"/>
        </w:rPr>
        <w:t xml:space="preserve">This section presents the complete formal specification of Meta-Kaizen. We begin with the axiomatic derivation of the KVS functional form—answering the fundamental question of why the formula takes the form it does. The derivation proceeds in four stages: (i) from Axioms 1–4, the Luce-Tukey theorem establishes an additive representation; (ii) Axiom 5 eliminates the additive form; (iii) Axiom 6 pins equal exponents; (iv) a scale normalization condition pins the common exponent at α = 1.</w:t>
      </w:r>
    </w:p>
    <w:p>
      <w:pPr>
        <w:pStyle w:val="Heading2"/>
        <w:spacing w:before="240" w:after="120"/>
      </w:pPr>
      <w:r>
        <w:rPr>
          <w:rFonts w:ascii="Times New Roman" w:cs="Times New Roman" w:eastAsia="Times New Roman" w:hAnsi="Times New Roman"/>
          <w:b/>
          <w:bCs/>
          <w:color w:val="1F6B75"/>
          <w:sz w:val="26"/>
          <w:szCs w:val="26"/>
        </w:rPr>
        <w:t xml:space="preserve">4.1 Axiomatic Derivation of the KVS Functional Form</w:t>
      </w:r>
    </w:p>
    <w:p>
      <w:pPr>
        <w:spacing w:before="80" w:after="80" w:line="276"/>
        <w:jc w:val="both"/>
      </w:pPr>
      <w:r>
        <w:rPr>
          <w:rFonts w:ascii="Times New Roman" w:cs="Times New Roman" w:eastAsia="Times New Roman" w:hAnsi="Times New Roman"/>
          <w:sz w:val="24"/>
          <w:szCs w:val="24"/>
        </w:rPr>
        <w:t xml:space="preserve">We seek a function f: [0,1]⁴ → [0,1] mapping component scores (N, I′, C′, T) to an improvement quality score. The form of this function is derived, not assumed.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Axiom 1 (Weak Order)</w:t>
            </w:r>
          </w:p>
          <w:p>
            <w:pPr>
              <w:spacing w:before="40" w:after="40" w:line="260"/>
            </w:pPr>
            <w:r>
              <w:rPr>
                <w:rFonts w:ascii="Times New Roman" w:cs="Times New Roman" w:eastAsia="Times New Roman" w:hAnsi="Times New Roman"/>
                <w:sz w:val="22"/>
                <w:szCs w:val="22"/>
              </w:rPr>
              <w:t xml:space="preserve">For any two improvement candidates a and b, either a is at least as good as b or b is at</w:t>
            </w:r>
          </w:p>
          <w:p>
            <w:pPr>
              <w:spacing w:before="40" w:after="40" w:line="260"/>
            </w:pPr>
            <w:r>
              <w:rPr>
                <w:rFonts w:ascii="Times New Roman" w:cs="Times New Roman" w:eastAsia="Times New Roman" w:hAnsi="Times New Roman"/>
                <w:sz w:val="22"/>
                <w:szCs w:val="22"/>
              </w:rPr>
              <w:t xml:space="preserve">least as good as a, and this ordering is transitive. This is the minimum condition for any</w:t>
            </w:r>
          </w:p>
          <w:p>
            <w:pPr>
              <w:spacing w:before="40" w:after="40" w:line="260"/>
            </w:pPr>
            <w:r>
              <w:rPr>
                <w:rFonts w:ascii="Times New Roman" w:cs="Times New Roman" w:eastAsia="Times New Roman" w:hAnsi="Times New Roman"/>
                <w:sz w:val="22"/>
                <w:szCs w:val="22"/>
              </w:rPr>
              <w:t xml:space="preserve">measurement to be meaningful.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Axiom 2 (Preferential Independence)</w:t>
            </w:r>
          </w:p>
          <w:p>
            <w:pPr>
              <w:spacing w:before="40" w:after="40" w:line="260"/>
            </w:pPr>
            <w:r>
              <w:rPr>
                <w:rFonts w:ascii="Times New Roman" w:cs="Times New Roman" w:eastAsia="Times New Roman" w:hAnsi="Times New Roman"/>
                <w:sz w:val="22"/>
                <w:szCs w:val="22"/>
              </w:rPr>
              <w:t xml:space="preserve">The preference ordering over candidates that differ only in component N is independent of</w:t>
            </w:r>
          </w:p>
          <w:p>
            <w:pPr>
              <w:spacing w:before="40" w:after="40" w:line="260"/>
            </w:pPr>
            <w:r>
              <w:rPr>
                <w:rFonts w:ascii="Times New Roman" w:cs="Times New Roman" w:eastAsia="Times New Roman" w:hAnsi="Times New Roman"/>
                <w:sz w:val="22"/>
                <w:szCs w:val="22"/>
              </w:rPr>
              <w:t xml:space="preserve">the values of I′, C′, and T. This axiom holds symmetrically for all four components.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Note: This is a modeling assumption, not an empirical regularity. In practice, preferences</w:t>
            </w:r>
          </w:p>
          <w:p>
            <w:pPr>
              <w:spacing w:before="40" w:after="40" w:line="260"/>
            </w:pPr>
            <w:r>
              <w:rPr>
                <w:rFonts w:ascii="Times New Roman" w:cs="Times New Roman" w:eastAsia="Times New Roman" w:hAnsi="Times New Roman"/>
                <w:sz w:val="22"/>
                <w:szCs w:val="22"/>
              </w:rPr>
              <w:t xml:space="preserve">over novelty may interact with impact levels. Violations would weaken but not destroy the</w:t>
            </w:r>
          </w:p>
          <w:p>
            <w:pPr>
              <w:spacing w:before="40" w:after="40" w:line="260"/>
            </w:pPr>
            <w:r>
              <w:rPr>
                <w:rFonts w:ascii="Times New Roman" w:cs="Times New Roman" w:eastAsia="Times New Roman" w:hAnsi="Times New Roman"/>
                <w:sz w:val="22"/>
                <w:szCs w:val="22"/>
              </w:rPr>
              <w:t xml:space="preserve">derivation—they would require replacing equal weights with estimated cross-factor coefficients.</w:t>
            </w:r>
          </w:p>
          <w:p>
            <w:pPr>
              <w:spacing w:before="40" w:after="40" w:line="260"/>
            </w:pPr>
            <w:r>
              <w:rPr>
                <w:rFonts w:ascii="Times New Roman" w:cs="Times New Roman" w:eastAsia="Times New Roman" w:hAnsi="Times New Roman"/>
                <w:sz w:val="22"/>
                <w:szCs w:val="22"/>
              </w:rPr>
              <w:t xml:space="preserve">The axiom is the standard conjoint measurement starting point (Luce &amp; Tukey, 1964).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Axiom 3 (Solvability)</w:t>
            </w:r>
          </w:p>
          <w:p>
            <w:pPr>
              <w:spacing w:before="40" w:after="40" w:line="260"/>
            </w:pPr>
            <w:r>
              <w:rPr>
                <w:rFonts w:ascii="Times New Roman" w:cs="Times New Roman" w:eastAsia="Times New Roman" w:hAnsi="Times New Roman"/>
                <w:sz w:val="22"/>
                <w:szCs w:val="22"/>
              </w:rPr>
              <w:t xml:space="preserve">For any three components held fixed, there exists a value of the fourth component that</w:t>
            </w:r>
          </w:p>
          <w:p>
            <w:pPr>
              <w:spacing w:before="40" w:after="40" w:line="260"/>
            </w:pPr>
            <w:r>
              <w:rPr>
                <w:rFonts w:ascii="Times New Roman" w:cs="Times New Roman" w:eastAsia="Times New Roman" w:hAnsi="Times New Roman"/>
                <w:sz w:val="22"/>
                <w:szCs w:val="22"/>
              </w:rPr>
              <w:t xml:space="preserve">achieves any target quality score in [0,1]. This ensures the scale is continuous and complete.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Axiom 4 (Archimedean Condition)</w:t>
            </w:r>
          </w:p>
          <w:p>
            <w:pPr>
              <w:spacing w:before="40" w:after="40" w:line="260"/>
            </w:pPr>
            <w:r>
              <w:rPr>
                <w:rFonts w:ascii="Times New Roman" w:cs="Times New Roman" w:eastAsia="Times New Roman" w:hAnsi="Times New Roman"/>
                <w:sz w:val="22"/>
                <w:szCs w:val="22"/>
              </w:rPr>
              <w:t xml:space="preserve">No finite sequence of equal-interval steps in any component is unbounded. This ensures</w:t>
            </w:r>
          </w:p>
          <w:p>
            <w:pPr>
              <w:spacing w:before="40" w:after="40" w:line="260"/>
            </w:pPr>
            <w:r>
              <w:rPr>
                <w:rFonts w:ascii="Times New Roman" w:cs="Times New Roman" w:eastAsia="Times New Roman" w:hAnsi="Times New Roman"/>
                <w:sz w:val="22"/>
                <w:szCs w:val="22"/>
              </w:rPr>
              <w:t xml:space="preserve">no component can be infinitely more important than another and guarantees the boundedness</w:t>
            </w:r>
          </w:p>
          <w:p>
            <w:pPr>
              <w:spacing w:before="40" w:after="40" w:line="260"/>
            </w:pPr>
            <w:r>
              <w:rPr>
                <w:rFonts w:ascii="Times New Roman" w:cs="Times New Roman" w:eastAsia="Times New Roman" w:hAnsi="Times New Roman"/>
                <w:sz w:val="22"/>
                <w:szCs w:val="22"/>
              </w:rPr>
              <w:t xml:space="preserve">of all standard sequences.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Axiom 5 (Essentialness with Veto Power)</w:t>
            </w:r>
          </w:p>
          <w:p>
            <w:pPr>
              <w:spacing w:before="40" w:after="40" w:line="260"/>
            </w:pPr>
            <w:r>
              <w:rPr>
                <w:rFonts w:ascii="Times New Roman" w:cs="Times New Roman" w:eastAsia="Times New Roman" w:hAnsi="Times New Roman"/>
                <w:sz w:val="22"/>
                <w:szCs w:val="22"/>
              </w:rPr>
              <w:t xml:space="preserve">A zero value on any single component renders the candidate inadoptable:</w:t>
            </w:r>
          </w:p>
          <w:p>
            <w:pPr>
              <w:spacing w:before="40" w:after="40" w:line="260"/>
            </w:pPr>
            <w:r>
              <w:rPr>
                <w:rFonts w:ascii="Times New Roman" w:cs="Times New Roman" w:eastAsia="Times New Roman" w:hAnsi="Times New Roman"/>
                <w:sz w:val="22"/>
                <w:szCs w:val="22"/>
              </w:rPr>
              <w:t xml:space="preserve">f(0, I′, C′, T) = f(N, 0, C′, T) = f(N, I′, 0, T) = f(N, I′, C′, 0) = 0</w:t>
            </w:r>
          </w:p>
          <w:p>
            <w:pPr>
              <w:spacing w:before="40" w:after="40" w:line="260"/>
            </w:pPr>
            <w:r>
              <w:rPr>
                <w:rFonts w:ascii="Times New Roman" w:cs="Times New Roman" w:eastAsia="Times New Roman" w:hAnsi="Times New Roman"/>
                <w:sz w:val="22"/>
                <w:szCs w:val="22"/>
              </w:rPr>
              <w:t xml:space="preserve">for all component values.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Defense: A candidate with N = 0 is something already done in exactly this form—it is a</w:t>
            </w:r>
          </w:p>
          <w:p>
            <w:pPr>
              <w:spacing w:before="40" w:after="40" w:line="260"/>
            </w:pPr>
            <w:r>
              <w:rPr>
                <w:rFonts w:ascii="Times New Roman" w:cs="Times New Roman" w:eastAsia="Times New Roman" w:hAnsi="Times New Roman"/>
                <w:sz w:val="22"/>
                <w:szCs w:val="22"/>
              </w:rPr>
              <w:t xml:space="preserve">reimplementation, not an improvement. With I′ = 0, no improvement is produced. With C′ = 0,</w:t>
            </w:r>
          </w:p>
          <w:p>
            <w:pPr>
              <w:spacing w:before="40" w:after="40" w:line="260"/>
            </w:pPr>
            <w:r>
              <w:rPr>
                <w:rFonts w:ascii="Times New Roman" w:cs="Times New Roman" w:eastAsia="Times New Roman" w:hAnsi="Times New Roman"/>
                <w:sz w:val="22"/>
                <w:szCs w:val="22"/>
              </w:rPr>
              <w:t xml:space="preserve">implementation costs overwhelm any benefit at current organizational capacity. With T = 0,</w:t>
            </w:r>
          </w:p>
          <w:p>
            <w:pPr>
              <w:spacing w:before="40" w:after="40" w:line="260"/>
            </w:pPr>
            <w:r>
              <w:rPr>
                <w:rFonts w:ascii="Times New Roman" w:cs="Times New Roman" w:eastAsia="Times New Roman" w:hAnsi="Times New Roman"/>
                <w:sz w:val="22"/>
                <w:szCs w:val="22"/>
              </w:rPr>
              <w:t xml:space="preserve">the relevance window has passed. In all four cases, zero behavior reflects the actual structure</w:t>
            </w:r>
          </w:p>
          <w:p>
            <w:pPr>
              <w:spacing w:before="40" w:after="40" w:line="260"/>
            </w:pPr>
            <w:r>
              <w:rPr>
                <w:rFonts w:ascii="Times New Roman" w:cs="Times New Roman" w:eastAsia="Times New Roman" w:hAnsi="Times New Roman"/>
                <w:sz w:val="22"/>
                <w:szCs w:val="22"/>
              </w:rPr>
              <w:t xml:space="preserve">of improvement quality. An organization permitting impact to compensate for zero novelty is</w:t>
            </w:r>
          </w:p>
          <w:p>
            <w:pPr>
              <w:spacing w:before="40" w:after="40" w:line="260"/>
            </w:pPr>
            <w:r>
              <w:rPr>
                <w:rFonts w:ascii="Times New Roman" w:cs="Times New Roman" w:eastAsia="Times New Roman" w:hAnsi="Times New Roman"/>
                <w:sz w:val="22"/>
                <w:szCs w:val="22"/>
              </w:rPr>
              <w:t xml:space="preserve">not enforcing novelty—it is making novelty advisory.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Axiom 6 (Marginal Symmetry)</w:t>
            </w:r>
          </w:p>
          <w:p>
            <w:pPr>
              <w:spacing w:before="40" w:after="40" w:line="260"/>
            </w:pPr>
            <w:r>
              <w:rPr>
                <w:rFonts w:ascii="Times New Roman" w:cs="Times New Roman" w:eastAsia="Times New Roman" w:hAnsi="Times New Roman"/>
                <w:sz w:val="22"/>
                <w:szCs w:val="22"/>
              </w:rPr>
              <w:t xml:space="preserve">The marginal rate of substitution between any two components is equal at all points where</w:t>
            </w:r>
          </w:p>
          <w:p>
            <w:pPr>
              <w:spacing w:before="40" w:after="40" w:line="260"/>
            </w:pPr>
            <w:r>
              <w:rPr>
                <w:rFonts w:ascii="Times New Roman" w:cs="Times New Roman" w:eastAsia="Times New Roman" w:hAnsi="Times New Roman"/>
                <w:sz w:val="22"/>
                <w:szCs w:val="22"/>
              </w:rPr>
              <w:t xml:space="preserve">their values are equal. Formally, ∂f/∂N = ∂f/∂I′ whenever N = I′; and symmetrically for</w:t>
            </w:r>
          </w:p>
          <w:p>
            <w:pPr>
              <w:spacing w:before="40" w:after="40" w:line="260"/>
            </w:pPr>
            <w:r>
              <w:rPr>
                <w:rFonts w:ascii="Times New Roman" w:cs="Times New Roman" w:eastAsia="Times New Roman" w:hAnsi="Times New Roman"/>
                <w:sz w:val="22"/>
                <w:szCs w:val="22"/>
              </w:rPr>
              <w:t xml:space="preserve">all pairs of components.</w:t>
            </w:r>
          </w:p>
        </w:tc>
      </w:tr>
    </w:tbl>
    <w:p>
      <w:pPr>
        <w:spacing w:before="100" w:after="100"/>
      </w:pPr>
    </w:p>
    <w:p>
      <w:pPr>
        <w:spacing w:before="200" w:after="80"/>
      </w:pPr>
      <w:r>
        <w:rPr>
          <w:rFonts w:ascii="Times New Roman" w:cs="Times New Roman" w:eastAsia="Times New Roman" w:hAnsi="Times New Roman"/>
          <w:b/>
          <w:bCs/>
          <w:i/>
          <w:iCs/>
          <w:color w:val="333333"/>
          <w:sz w:val="24"/>
          <w:szCs w:val="24"/>
        </w:rPr>
        <w:t xml:space="preserve">Stage 1: From Axioms 1–4 to the Additive Representation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F0F0F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Theorem (Luce &amp; Tukey, 1964; Krantz et al., 1971, Ch. 6)</w:t>
            </w:r>
          </w:p>
          <w:p>
            <w:pPr>
              <w:spacing w:before="40" w:after="40" w:line="260"/>
            </w:pPr>
            <w:r>
              <w:rPr>
                <w:rFonts w:ascii="Times New Roman" w:cs="Times New Roman" w:eastAsia="Times New Roman" w:hAnsi="Times New Roman"/>
                <w:sz w:val="22"/>
                <w:szCs w:val="22"/>
              </w:rPr>
              <w:t xml:space="preserve">From Axioms 1–4, the fundamental theorem of additive conjoint measurement establishes</w:t>
            </w:r>
          </w:p>
          <w:p>
            <w:pPr>
              <w:spacing w:before="40" w:after="40" w:line="260"/>
            </w:pPr>
            <w:r>
              <w:rPr>
                <w:rFonts w:ascii="Times New Roman" w:cs="Times New Roman" w:eastAsia="Times New Roman" w:hAnsi="Times New Roman"/>
                <w:sz w:val="22"/>
                <w:szCs w:val="22"/>
              </w:rPr>
              <w:t xml:space="preserve">that there exist scale functions φ_N, φ_I, φ_C, φ_T such that the preference ordering</w:t>
            </w:r>
          </w:p>
          <w:p>
            <w:pPr>
              <w:spacing w:before="40" w:after="40" w:line="260"/>
            </w:pPr>
            <w:r>
              <w:rPr>
                <w:rFonts w:ascii="Times New Roman" w:cs="Times New Roman" w:eastAsia="Times New Roman" w:hAnsi="Times New Roman"/>
                <w:sz w:val="22"/>
                <w:szCs w:val="22"/>
              </w:rPr>
              <w:t xml:space="preserve">is represented by an additive form:</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  F = φ_N(N) + φ_I(I′) + φ_C(C′) + φ_T(T)</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This representation is unique up to positive affine transformations of the φ_i functions.</w:t>
            </w:r>
          </w:p>
        </w:tc>
      </w:tr>
    </w:tbl>
    <w:p>
      <w:pPr>
        <w:spacing w:before="200" w:after="80"/>
      </w:pPr>
      <w:r>
        <w:rPr>
          <w:rFonts w:ascii="Times New Roman" w:cs="Times New Roman" w:eastAsia="Times New Roman" w:hAnsi="Times New Roman"/>
          <w:b/>
          <w:bCs/>
          <w:i/>
          <w:iCs/>
          <w:color w:val="333333"/>
          <w:sz w:val="24"/>
          <w:szCs w:val="24"/>
        </w:rPr>
        <w:t xml:space="preserve">Stage 2: Axiom 5 Eliminates the Additive Form</w:t>
      </w:r>
    </w:p>
    <w:p>
      <w:pPr>
        <w:spacing w:before="80" w:after="80" w:line="276"/>
        <w:jc w:val="both"/>
      </w:pPr>
      <w:r>
        <w:rPr>
          <w:rFonts w:ascii="Times New Roman" w:cs="Times New Roman" w:eastAsia="Times New Roman" w:hAnsi="Times New Roman"/>
          <w:sz w:val="24"/>
          <w:szCs w:val="24"/>
        </w:rPr>
        <w:t xml:space="preserve">We test Axiom 5 against the additive form. Setting N = 0: φ_N(0) + φ_I(I′) + φ_C(C′) + φ_T(T) = 0 for all I′, C′, T. This requires φ_I(I′) + φ_C(C′) + φ_T(T) = −φ_N(0) for all I′, C′, T—which is impossible unless all three are constants, contradicting that they vary with their arguments. The additive form is inconsistent with Axiom 5 and is eliminated.</w:t>
      </w:r>
    </w:p>
    <w:p>
      <w:pPr>
        <w:spacing w:before="80" w:after="80" w:line="276"/>
        <w:jc w:val="both"/>
      </w:pPr>
      <w:r>
        <w:rPr>
          <w:rFonts w:ascii="Times New Roman" w:cs="Times New Roman" w:eastAsia="Times New Roman" w:hAnsi="Times New Roman"/>
          <w:sz w:val="24"/>
          <w:szCs w:val="24"/>
        </w:rPr>
        <w:t xml:space="preserve">The multiplicative form f(N, I′, C′, T) = N^α × I′^β × C′^γ × T^δ, where α, β, γ, δ &gt; 0, satisfies Axiom 5 immediately (any zero component produces f = 0) and satisfies Axioms 1–4 by construction (it is monotone, continuous, and orderable).</w:t>
      </w:r>
    </w:p>
    <w:p>
      <w:pPr>
        <w:spacing w:before="200" w:after="80"/>
      </w:pPr>
      <w:r>
        <w:rPr>
          <w:rFonts w:ascii="Times New Roman" w:cs="Times New Roman" w:eastAsia="Times New Roman" w:hAnsi="Times New Roman"/>
          <w:b/>
          <w:bCs/>
          <w:i/>
          <w:iCs/>
          <w:color w:val="333333"/>
          <w:sz w:val="24"/>
          <w:szCs w:val="24"/>
        </w:rPr>
        <w:t xml:space="preserve">Stage 3: Axiom 6 Pins Equal Exponents</w:t>
      </w:r>
    </w:p>
    <w:p>
      <w:pPr>
        <w:spacing w:before="80" w:after="80" w:line="276"/>
        <w:jc w:val="both"/>
      </w:pPr>
      <w:r>
        <w:rPr>
          <w:rFonts w:ascii="Times New Roman" w:cs="Times New Roman" w:eastAsia="Times New Roman" w:hAnsi="Times New Roman"/>
          <w:sz w:val="24"/>
          <w:szCs w:val="24"/>
        </w:rPr>
        <w:t xml:space="preserve">Under the multiplicative form, the partial derivatives are:</w:t>
      </w:r>
    </w:p>
    <w:p>
      <w:pPr>
        <w:spacing w:before="80" w:after="80" w:line="276"/>
        <w:jc w:val="both"/>
      </w:pPr>
      <w:r>
        <w:rPr>
          <w:rFonts w:ascii="Times New Roman" w:cs="Times New Roman" w:eastAsia="Times New Roman" w:hAnsi="Times New Roman"/>
          <w:sz w:val="24"/>
          <w:szCs w:val="24"/>
        </w:rPr>
        <w:t xml:space="preserve">  ∂f/∂N = α × N^(α−1) × I′^β × C′^γ × T^δ</w:t>
      </w:r>
    </w:p>
    <w:p>
      <w:pPr>
        <w:spacing w:before="80" w:after="80" w:line="276"/>
        <w:jc w:val="both"/>
      </w:pPr>
      <w:r>
        <w:rPr>
          <w:rFonts w:ascii="Times New Roman" w:cs="Times New Roman" w:eastAsia="Times New Roman" w:hAnsi="Times New Roman"/>
          <w:sz w:val="24"/>
          <w:szCs w:val="24"/>
        </w:rPr>
        <w:t xml:space="preserve">  ∂f/∂I′ = β × I′^(β−1) × N^α × C′^γ × T^δ</w:t>
      </w:r>
    </w:p>
    <w:p>
      <w:pPr>
        <w:spacing w:before="80" w:after="80" w:line="276"/>
        <w:jc w:val="both"/>
      </w:pPr>
      <w:r>
        <w:rPr>
          <w:rFonts w:ascii="Times New Roman" w:cs="Times New Roman" w:eastAsia="Times New Roman" w:hAnsi="Times New Roman"/>
          <w:sz w:val="24"/>
          <w:szCs w:val="24"/>
        </w:rPr>
        <w:t xml:space="preserve">Setting ∂f/∂N = ∂f/∂I′ at the point N = I′:</w:t>
      </w:r>
    </w:p>
    <w:p>
      <w:pPr>
        <w:spacing w:before="80" w:after="80" w:line="276"/>
        <w:jc w:val="both"/>
      </w:pPr>
      <w:r>
        <w:rPr>
          <w:rFonts w:ascii="Times New Roman" w:cs="Times New Roman" w:eastAsia="Times New Roman" w:hAnsi="Times New Roman"/>
          <w:sz w:val="24"/>
          <w:szCs w:val="24"/>
        </w:rPr>
        <w:t xml:space="preserve">  α × N^(α−1) × I′^β = β × I′^(β−1) × N^α</w:t>
      </w:r>
    </w:p>
    <w:p>
      <w:pPr>
        <w:spacing w:before="80" w:after="80" w:line="276"/>
        <w:jc w:val="both"/>
      </w:pPr>
      <w:r>
        <w:rPr>
          <w:rFonts w:ascii="Times New Roman" w:cs="Times New Roman" w:eastAsia="Times New Roman" w:hAnsi="Times New Roman"/>
          <w:sz w:val="24"/>
          <w:szCs w:val="24"/>
        </w:rPr>
        <w:t xml:space="preserve">  (α/β) × (I′/N)^(β−α) = 1  at N = I′</w:t>
      </w:r>
    </w:p>
    <w:p>
      <w:pPr>
        <w:spacing w:before="80" w:after="80" w:line="276"/>
        <w:jc w:val="both"/>
      </w:pPr>
      <w:r>
        <w:rPr>
          <w:rFonts w:ascii="Times New Roman" w:cs="Times New Roman" w:eastAsia="Times New Roman" w:hAnsi="Times New Roman"/>
          <w:sz w:val="24"/>
          <w:szCs w:val="24"/>
        </w:rPr>
        <w:t xml:space="preserve">  (α/β) × 1^(β−α) = 1  →  α/β = 1  →  α = β</w:t>
      </w:r>
    </w:p>
    <w:p>
      <w:pPr>
        <w:spacing w:before="80" w:after="80" w:line="276"/>
        <w:jc w:val="both"/>
      </w:pPr>
      <w:r>
        <w:rPr>
          <w:rFonts w:ascii="Times New Roman" w:cs="Times New Roman" w:eastAsia="Times New Roman" w:hAnsi="Times New Roman"/>
          <w:sz w:val="24"/>
          <w:szCs w:val="24"/>
        </w:rPr>
        <w:t xml:space="preserve">By the same argument applied symmetrically to all pairs of components: α = β = γ = δ. The multiplicative form reduces to f = (N × I′ × C′ × T)^α for some α &gt; 0.</w:t>
      </w:r>
    </w:p>
    <w:p>
      <w:pPr>
        <w:spacing w:before="200" w:after="80"/>
      </w:pPr>
      <w:r>
        <w:rPr>
          <w:rFonts w:ascii="Times New Roman" w:cs="Times New Roman" w:eastAsia="Times New Roman" w:hAnsi="Times New Roman"/>
          <w:b/>
          <w:bCs/>
          <w:i/>
          <w:iCs/>
          <w:color w:val="333333"/>
          <w:sz w:val="24"/>
          <w:szCs w:val="24"/>
        </w:rPr>
        <w:t xml:space="preserve">Stage 4: Scale Normalization Pins α = 1</w:t>
      </w:r>
    </w:p>
    <w:p>
      <w:pPr>
        <w:spacing w:before="80" w:after="80" w:line="276"/>
        <w:jc w:val="both"/>
      </w:pPr>
      <w:r>
        <w:rPr>
          <w:rFonts w:ascii="Times New Roman" w:cs="Times New Roman" w:eastAsia="Times New Roman" w:hAnsi="Times New Roman"/>
          <w:sz w:val="24"/>
          <w:szCs w:val="24"/>
        </w:rPr>
        <w:t xml:space="preserve">Stages 1–3 establish that the common exponent must be equal across all components but do not determine its value. The common exponent α is pinned at 1 by the following Scale Normalization Condition, which is not an additional axiom but a consequence of how the components are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FFF8E8"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Scale Normalization Condition</w:t>
            </w:r>
          </w:p>
          <w:p>
            <w:pPr>
              <w:spacing w:before="40" w:after="40" w:line="260"/>
            </w:pPr>
            <w:r>
              <w:rPr>
                <w:rFonts w:ascii="Times New Roman" w:cs="Times New Roman" w:eastAsia="Times New Roman" w:hAnsi="Times New Roman"/>
                <w:sz w:val="22"/>
                <w:szCs w:val="22"/>
              </w:rPr>
              <w:t xml:space="preserve">Each component (N, I′, C′, T) is already normalized to [0,1] with a meaningful</w:t>
            </w:r>
          </w:p>
          <w:p>
            <w:pPr>
              <w:spacing w:before="40" w:after="40" w:line="260"/>
            </w:pPr>
            <w:r>
              <w:rPr>
                <w:rFonts w:ascii="Times New Roman" w:cs="Times New Roman" w:eastAsia="Times New Roman" w:hAnsi="Times New Roman"/>
                <w:sz w:val="22"/>
                <w:szCs w:val="22"/>
              </w:rPr>
              <w:t xml:space="preserve">interpretation at every point in that range: N = 0.5 means half-maximum domain</w:t>
            </w:r>
          </w:p>
          <w:p>
            <w:pPr>
              <w:spacing w:before="40" w:after="40" w:line="260"/>
            </w:pPr>
            <w:r>
              <w:rPr>
                <w:rFonts w:ascii="Times New Roman" w:cs="Times New Roman" w:eastAsia="Times New Roman" w:hAnsi="Times New Roman"/>
                <w:sz w:val="22"/>
                <w:szCs w:val="22"/>
              </w:rPr>
              <w:t xml:space="preserve">novelty; I′ = 0.75 means an estimated impact at 75% of the domain maximum.</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In the Luce-Tukey additive representation F = Σφ_i(x_i), the scale functions φ_i are</w:t>
            </w:r>
          </w:p>
          <w:p>
            <w:pPr>
              <w:spacing w:before="40" w:after="40" w:line="260"/>
            </w:pPr>
            <w:r>
              <w:rPr>
                <w:rFonts w:ascii="Times New Roman" w:cs="Times New Roman" w:eastAsia="Times New Roman" w:hAnsi="Times New Roman"/>
                <w:sz w:val="22"/>
                <w:szCs w:val="22"/>
              </w:rPr>
              <w:t xml:space="preserve">unique up to positive affine transformations. The canonical choice when components are</w:t>
            </w:r>
          </w:p>
          <w:p>
            <w:pPr>
              <w:spacing w:before="40" w:after="40" w:line="260"/>
            </w:pPr>
            <w:r>
              <w:rPr>
                <w:rFonts w:ascii="Times New Roman" w:cs="Times New Roman" w:eastAsia="Times New Roman" w:hAnsi="Times New Roman"/>
                <w:sz w:val="22"/>
                <w:szCs w:val="22"/>
              </w:rPr>
              <w:t xml:space="preserve">already expressed on normalized [0,1] scales with proportional interpretations is the</w:t>
            </w:r>
          </w:p>
          <w:p>
            <w:pPr>
              <w:spacing w:before="40" w:after="40" w:line="260"/>
            </w:pPr>
            <w:r>
              <w:rPr>
                <w:rFonts w:ascii="Times New Roman" w:cs="Times New Roman" w:eastAsia="Times New Roman" w:hAnsi="Times New Roman"/>
                <w:sz w:val="22"/>
                <w:szCs w:val="22"/>
              </w:rPr>
              <w:t xml:space="preserve">identity: φ_i(x_i) = x_i. This reflects the principle that components are used at face</w:t>
            </w:r>
          </w:p>
          <w:p>
            <w:pPr>
              <w:spacing w:before="40" w:after="40" w:line="260"/>
            </w:pPr>
            <w:r>
              <w:rPr>
                <w:rFonts w:ascii="Times New Roman" w:cs="Times New Roman" w:eastAsia="Times New Roman" w:hAnsi="Times New Roman"/>
                <w:sz w:val="22"/>
                <w:szCs w:val="22"/>
              </w:rPr>
              <w:t xml:space="preserve">value (Krantz et al., 1971, Ch. 9, Section 9.2.1).</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Under the identity scale, the additive representation F = N + I′ + C′ + T. The</w:t>
            </w:r>
          </w:p>
          <w:p>
            <w:pPr>
              <w:spacing w:before="40" w:after="40" w:line="260"/>
            </w:pPr>
            <w:r>
              <w:rPr>
                <w:rFonts w:ascii="Times New Roman" w:cs="Times New Roman" w:eastAsia="Times New Roman" w:hAnsi="Times New Roman"/>
                <w:sz w:val="22"/>
                <w:szCs w:val="22"/>
              </w:rPr>
              <w:t xml:space="preserve">multiplicative form (N × I′ × C′ × T)^α must correspond to this representation via the</w:t>
            </w:r>
          </w:p>
          <w:p>
            <w:pPr>
              <w:spacing w:before="40" w:after="40" w:line="260"/>
            </w:pPr>
            <w:r>
              <w:rPr>
                <w:rFonts w:ascii="Times New Roman" w:cs="Times New Roman" w:eastAsia="Times New Roman" w:hAnsi="Times New Roman"/>
                <w:sz w:val="22"/>
                <w:szCs w:val="22"/>
              </w:rPr>
              <w:t xml:space="preserve">order-preserving bijection log(f) = α × [log(N) + log(I′) + log(C′) + log(T)].</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The Scale Normalization Condition selects α = 1 as the maximally parsimonious choice,</w:t>
            </w:r>
          </w:p>
          <w:p>
            <w:pPr>
              <w:spacing w:before="40" w:after="40" w:line="260"/>
            </w:pPr>
            <w:r>
              <w:rPr>
                <w:rFonts w:ascii="Times New Roman" w:cs="Times New Roman" w:eastAsia="Times New Roman" w:hAnsi="Times New Roman"/>
                <w:sz w:val="22"/>
                <w:szCs w:val="22"/>
              </w:rPr>
              <w:t xml:space="preserve">not as a uniquely forced mathematical conclusion. To be precise: any α &gt; 0 is consistent</w:t>
            </w:r>
          </w:p>
          <w:p>
            <w:pPr>
              <w:spacing w:before="40" w:after="40" w:line="260"/>
            </w:pPr>
            <w:r>
              <w:rPr>
                <w:rFonts w:ascii="Times New Roman" w:cs="Times New Roman" w:eastAsia="Times New Roman" w:hAnsi="Times New Roman"/>
                <w:sz w:val="22"/>
                <w:szCs w:val="22"/>
              </w:rPr>
              <w:t xml:space="preserve">with Axioms 1–6 and with the [0,1] normalization of components. α = 2 is equally</w:t>
            </w:r>
          </w:p>
          <w:p>
            <w:pPr>
              <w:spacing w:before="40" w:after="40" w:line="260"/>
            </w:pPr>
            <w:r>
              <w:rPr>
                <w:rFonts w:ascii="Times New Roman" w:cs="Times New Roman" w:eastAsia="Times New Roman" w:hAnsi="Times New Roman"/>
                <w:sz w:val="22"/>
                <w:szCs w:val="22"/>
              </w:rPr>
              <w:t xml:space="preserve">well-defined on [0,1]-scaled quantities and would apply a convex transformation to each</w:t>
            </w:r>
          </w:p>
          <w:p>
            <w:pPr>
              <w:spacing w:before="40" w:after="40" w:line="260"/>
            </w:pPr>
            <w:r>
              <w:rPr>
                <w:rFonts w:ascii="Times New Roman" w:cs="Times New Roman" w:eastAsia="Times New Roman" w:hAnsi="Times New Roman"/>
                <w:sz w:val="22"/>
                <w:szCs w:val="22"/>
              </w:rPr>
              <w:t xml:space="preserve">component. The condition that selects α = 1 is the requirement that a unit increase in</w:t>
            </w:r>
          </w:p>
          <w:p>
            <w:pPr>
              <w:spacing w:before="40" w:after="40" w:line="260"/>
            </w:pPr>
            <w:r>
              <w:rPr>
                <w:rFonts w:ascii="Times New Roman" w:cs="Times New Roman" w:eastAsia="Times New Roman" w:hAnsi="Times New Roman"/>
                <w:sz w:val="22"/>
                <w:szCs w:val="22"/>
              </w:rPr>
              <w:t xml:space="preserve">any component's proportional value produces a unit increase in the proportional score—</w:t>
            </w:r>
          </w:p>
          <w:p>
            <w:pPr>
              <w:spacing w:before="40" w:after="40" w:line="260"/>
            </w:pPr>
            <w:r>
              <w:rPr>
                <w:rFonts w:ascii="Times New Roman" w:cs="Times New Roman" w:eastAsia="Times New Roman" w:hAnsi="Times New Roman"/>
                <w:sz w:val="22"/>
                <w:szCs w:val="22"/>
              </w:rPr>
              <w:t xml:space="preserve">i.e., that the scoring function is linear in each normalized component at face value.</w:t>
            </w:r>
          </w:p>
          <w:p>
            <w:pPr>
              <w:spacing w:before="40" w:after="40" w:line="260"/>
            </w:pPr>
            <w:r>
              <w:rPr>
                <w:rFonts w:ascii="Times New Roman" w:cs="Times New Roman" w:eastAsia="Times New Roman" w:hAnsi="Times New Roman"/>
                <w:sz w:val="22"/>
                <w:szCs w:val="22"/>
              </w:rPr>
              <w:t xml:space="preserve">Under α ≠ 1, component value x is treated as if it had weight x^α in the score, which</w:t>
            </w:r>
          </w:p>
          <w:p>
            <w:pPr>
              <w:spacing w:before="40" w:after="40" w:line="260"/>
            </w:pPr>
            <w:r>
              <w:rPr>
                <w:rFonts w:ascii="Times New Roman" w:cs="Times New Roman" w:eastAsia="Times New Roman" w:hAnsi="Times New Roman"/>
                <w:sz w:val="22"/>
                <w:szCs w:val="22"/>
              </w:rPr>
              <w:t xml:space="preserve">violates the face-value interpretation of the normalized scale.</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This is a modeling principle, not an axiom. It is the strongest parsimony argument for</w:t>
            </w:r>
          </w:p>
          <w:p>
            <w:pPr>
              <w:spacing w:before="40" w:after="40" w:line="260"/>
            </w:pPr>
            <w:r>
              <w:rPr>
                <w:rFonts w:ascii="Times New Roman" w:cs="Times New Roman" w:eastAsia="Times New Roman" w:hAnsi="Times New Roman"/>
                <w:sz w:val="22"/>
                <w:szCs w:val="22"/>
              </w:rPr>
              <w:t xml:space="preserve">α = 1, but it is not a logical necessity. The Corrections Register (Correction 2) states</w:t>
            </w:r>
          </w:p>
          <w:p>
            <w:pPr>
              <w:spacing w:before="40" w:after="40" w:line="260"/>
            </w:pPr>
            <w:r>
              <w:rPr>
                <w:rFonts w:ascii="Times New Roman" w:cs="Times New Roman" w:eastAsia="Times New Roman" w:hAnsi="Times New Roman"/>
                <w:sz w:val="22"/>
                <w:szCs w:val="22"/>
              </w:rPr>
              <w:t xml:space="preserve">this limitation explicitly. The derivation should be read as: given the six axioms, the</w:t>
            </w:r>
          </w:p>
          <w:p>
            <w:pPr>
              <w:spacing w:before="40" w:after="40" w:line="260"/>
            </w:pPr>
            <w:r>
              <w:rPr>
                <w:rFonts w:ascii="Times New Roman" w:cs="Times New Roman" w:eastAsia="Times New Roman" w:hAnsi="Times New Roman"/>
                <w:sz w:val="22"/>
                <w:szCs w:val="22"/>
              </w:rPr>
              <w:t xml:space="preserve">unique structure is (N × I′ × C′ × T)^α; the Scale Normalization Condition then selects</w:t>
            </w:r>
          </w:p>
          <w:p>
            <w:pPr>
              <w:spacing w:before="40" w:after="40" w:line="260"/>
            </w:pPr>
            <w:r>
              <w:rPr>
                <w:rFonts w:ascii="Times New Roman" w:cs="Times New Roman" w:eastAsia="Times New Roman" w:hAnsi="Times New Roman"/>
                <w:sz w:val="22"/>
                <w:szCs w:val="22"/>
              </w:rPr>
              <w:t xml:space="preserve">α = 1 as the canonical choice for proportionally-interpreted components.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Conclusion: Under Axioms 1–6 and the Scale Normalization Condition, the canonical form</w:t>
            </w:r>
          </w:p>
          <w:p>
            <w:pPr>
              <w:spacing w:before="40" w:after="40" w:line="260"/>
            </w:pPr>
            <w:r>
              <w:rPr>
                <w:rFonts w:ascii="Times New Roman" w:cs="Times New Roman" w:eastAsia="Times New Roman" w:hAnsi="Times New Roman"/>
                <w:sz w:val="22"/>
                <w:szCs w:val="22"/>
              </w:rPr>
              <w:t xml:space="preserve">is f(N, I′, C′, T) = N × I′ × C′ × T.   □</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Note: Organizations that possess retrospective calibration data suggesting that certain</w:t>
            </w:r>
          </w:p>
          <w:p>
            <w:pPr>
              <w:spacing w:before="40" w:after="40" w:line="260"/>
            </w:pPr>
            <w:r>
              <w:rPr>
                <w:rFonts w:ascii="Times New Roman" w:cs="Times New Roman" w:eastAsia="Times New Roman" w:hAnsi="Times New Roman"/>
                <w:sz w:val="22"/>
                <w:szCs w:val="22"/>
              </w:rPr>
              <w:t xml:space="preserve">components have systematically larger or smaller predictive power may relax this to</w:t>
            </w:r>
          </w:p>
          <w:p>
            <w:pPr>
              <w:spacing w:before="40" w:after="40" w:line="260"/>
            </w:pPr>
            <w:r>
              <w:rPr>
                <w:rFonts w:ascii="Times New Roman" w:cs="Times New Roman" w:eastAsia="Times New Roman" w:hAnsi="Times New Roman"/>
                <w:sz w:val="22"/>
                <w:szCs w:val="22"/>
              </w:rPr>
              <w:t xml:space="preserve">differential exponents (α ≠ 1, or unequal exponents by relaxing Axiom 6). The axiomatic</w:t>
            </w:r>
          </w:p>
          <w:p>
            <w:pPr>
              <w:spacing w:before="40" w:after="40" w:line="260"/>
            </w:pPr>
            <w:r>
              <w:rPr>
                <w:rFonts w:ascii="Times New Roman" w:cs="Times New Roman" w:eastAsia="Times New Roman" w:hAnsi="Times New Roman"/>
                <w:sz w:val="22"/>
                <w:szCs w:val="22"/>
              </w:rPr>
              <w:t xml:space="preserve">derivation identifies exactly which axiom or condition to revise in each case.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Theorem 4.1 (KVS Functional Form)</w:t>
            </w:r>
          </w:p>
          <w:p>
            <w:pPr>
              <w:spacing w:before="40" w:after="40" w:line="260"/>
            </w:pPr>
            <w:r>
              <w:rPr>
                <w:rFonts w:ascii="Times New Roman" w:cs="Times New Roman" w:eastAsia="Times New Roman" w:hAnsi="Times New Roman"/>
                <w:sz w:val="22"/>
                <w:szCs w:val="22"/>
              </w:rPr>
              <w:t xml:space="preserve">Under Axioms 1 through 6 and the Scale Normalization Condition, the canonical functional</w:t>
            </w:r>
          </w:p>
          <w:p>
            <w:pPr>
              <w:spacing w:before="40" w:after="40" w:line="260"/>
            </w:pPr>
            <w:r>
              <w:rPr>
                <w:rFonts w:ascii="Times New Roman" w:cs="Times New Roman" w:eastAsia="Times New Roman" w:hAnsi="Times New Roman"/>
                <w:sz w:val="22"/>
                <w:szCs w:val="22"/>
              </w:rPr>
              <w:t xml:space="preserve">form representing improvement quality is: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  KVS_j = N_j × I′_j × C′_j × T_j</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The multiplicative structure follows necessarily from Axiom 5 (unique derivation).</w:t>
            </w:r>
          </w:p>
          <w:p>
            <w:pPr>
              <w:spacing w:before="40" w:after="40" w:line="260"/>
            </w:pPr>
            <w:r>
              <w:rPr>
                <w:rFonts w:ascii="Times New Roman" w:cs="Times New Roman" w:eastAsia="Times New Roman" w:hAnsi="Times New Roman"/>
                <w:sz w:val="22"/>
                <w:szCs w:val="22"/>
              </w:rPr>
              <w:t xml:space="preserve">The equal exponents follow necessarily from Axiom 6 (unique derivation).</w:t>
            </w:r>
          </w:p>
          <w:p>
            <w:pPr>
              <w:spacing w:before="40" w:after="40" w:line="260"/>
            </w:pPr>
            <w:r>
              <w:rPr>
                <w:rFonts w:ascii="Times New Roman" w:cs="Times New Roman" w:eastAsia="Times New Roman" w:hAnsi="Times New Roman"/>
                <w:sz w:val="22"/>
                <w:szCs w:val="22"/>
              </w:rPr>
              <w:t xml:space="preserve">The common exponent α = 1 follows from the Scale Normalization Condition (canonical</w:t>
            </w:r>
          </w:p>
          <w:p>
            <w:pPr>
              <w:spacing w:before="40" w:after="40" w:line="260"/>
            </w:pPr>
            <w:r>
              <w:rPr>
                <w:rFonts w:ascii="Times New Roman" w:cs="Times New Roman" w:eastAsia="Times New Roman" w:hAnsi="Times New Roman"/>
                <w:sz w:val="22"/>
                <w:szCs w:val="22"/>
              </w:rPr>
              <w:t xml:space="preserve">modeling choice, strongest parsimony argument; see Stage 4 for the limitation statement).</w:t>
            </w:r>
          </w:p>
          <w:p>
            <w:pPr>
              <w:spacing w:before="40" w:after="40" w:line="260"/>
            </w:pPr>
            <w:r>
              <w:rPr>
                <w:rFonts w:ascii="Times New Roman" w:cs="Times New Roman" w:eastAsia="Times New Roman" w:hAnsi="Times New Roman"/>
                <w:sz w:val="22"/>
                <w:szCs w:val="22"/>
              </w:rPr>
              <w:t xml:space="preserve">The equal-weight default is the maximally conservative prior in the absence of</w:t>
            </w:r>
          </w:p>
          <w:p>
            <w:pPr>
              <w:spacing w:before="40" w:after="40" w:line="260"/>
            </w:pPr>
            <w:r>
              <w:rPr>
                <w:rFonts w:ascii="Times New Roman" w:cs="Times New Roman" w:eastAsia="Times New Roman" w:hAnsi="Times New Roman"/>
                <w:sz w:val="22"/>
                <w:szCs w:val="22"/>
              </w:rPr>
              <w:t xml:space="preserve">domain-specific calibration data.   □</w:t>
            </w:r>
          </w:p>
        </w:tc>
      </w:tr>
    </w:tbl>
    <w:p>
      <w:pPr>
        <w:pStyle w:val="Heading2"/>
        <w:spacing w:before="240" w:after="120"/>
      </w:pPr>
      <w:r>
        <w:rPr>
          <w:rFonts w:ascii="Times New Roman" w:cs="Times New Roman" w:eastAsia="Times New Roman" w:hAnsi="Times New Roman"/>
          <w:b/>
          <w:bCs/>
          <w:color w:val="1F6B75"/>
          <w:sz w:val="26"/>
          <w:szCs w:val="26"/>
        </w:rPr>
        <w:t xml:space="preserve">4.2 The Kaizen Variation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Definition 4.1 (Kaizen Variation Score)</w:t>
            </w:r>
          </w:p>
          <w:p>
            <w:pPr>
              <w:spacing w:before="40" w:after="40" w:line="260"/>
            </w:pPr>
            <w:r>
              <w:rPr>
                <w:rFonts w:ascii="Times New Roman" w:cs="Times New Roman" w:eastAsia="Times New Roman" w:hAnsi="Times New Roman"/>
                <w:sz w:val="22"/>
                <w:szCs w:val="22"/>
              </w:rPr>
              <w:t xml:space="preserve">KVS_j = N_j × I′_j × C′_j × T_j</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where N_j, I′_j, C′_j, T_j ∈ [0,1] are defined in Sections 4.3–4.6.</w:t>
            </w:r>
          </w:p>
          <w:p>
            <w:pPr>
              <w:spacing w:before="40" w:after="40" w:line="260"/>
            </w:pPr>
            <w:r>
              <w:rPr>
                <w:rFonts w:ascii="Times New Roman" w:cs="Times New Roman" w:eastAsia="Times New Roman" w:hAnsi="Times New Roman"/>
                <w:sz w:val="22"/>
                <w:szCs w:val="22"/>
              </w:rPr>
              <w:t xml:space="preserve">This form is derived in Section 4.1; it is not stipulated.</w:t>
            </w:r>
          </w:p>
        </w:tc>
      </w:tr>
    </w:tbl>
    <w:p>
      <w:pPr>
        <w:spacing w:before="80" w:after="80" w:line="276"/>
        <w:jc w:val="both"/>
      </w:pPr>
      <w:r>
        <w:rPr>
          <w:rFonts w:ascii="Times New Roman" w:cs="Times New Roman" w:eastAsia="Times New Roman" w:hAnsi="Times New Roman"/>
          <w:sz w:val="24"/>
          <w:szCs w:val="24"/>
        </w:rPr>
        <w:t xml:space="preserve">Property 4.1 (Boundedness). KVS_j ∈ [0,1] for all improvement candidates j. This is a direct consequence of Definition 4.1: the product of four numbers each in [0,1] is in [0,1]. It is stated as a Property rather than a Theorem because it follows immediately from the definitions without non-trivial inference. Its significance is architectural: boundedness ensures that KVS scores are comparable across substrates and organizations without renormalization.</w:t>
      </w:r>
    </w:p>
    <w:p>
      <w:pPr>
        <w:spacing w:before="80" w:after="80" w:line="276"/>
        <w:jc w:val="both"/>
      </w:pPr>
      <w:r>
        <w:rPr>
          <w:rFonts w:ascii="Times New Roman" w:cs="Times New Roman" w:eastAsia="Times New Roman" w:hAnsi="Times New Roman"/>
          <w:sz w:val="24"/>
          <w:szCs w:val="24"/>
        </w:rPr>
        <w:t xml:space="preserve">Property 4.2 (Monotonicity). KVS_j is non-decreasing in each of N_j, I′_j, C′_j, T_j, holding the others fixed. For any factor f_k ∈ {N_j, I′_j, C′_j, T_j}: ∂KVS_j/∂f_k = ∏_{i≠k} f_i ≥ 0, since all factors are non-negative. Its significance is normative: it ensures that improving any component cannot decrease the overall score, providing correct incentives.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Theorem 4.2 (Self-Referential Applicability)</w:t>
            </w:r>
          </w:p>
          <w:p>
            <w:pPr>
              <w:spacing w:before="40" w:after="40" w:line="260"/>
            </w:pPr>
            <w:r>
              <w:rPr>
                <w:rFonts w:ascii="Times New Roman" w:cs="Times New Roman" w:eastAsia="Times New Roman" w:hAnsi="Times New Roman"/>
                <w:sz w:val="22"/>
                <w:szCs w:val="22"/>
              </w:rPr>
              <w:t xml:space="preserve">Let S_MK denote the Meta-Kaizen process itself as a substrate. Then KVS is well-defined</w:t>
            </w:r>
          </w:p>
          <w:p>
            <w:pPr>
              <w:spacing w:before="40" w:after="40" w:line="260"/>
            </w:pPr>
            <w:r>
              <w:rPr>
                <w:rFonts w:ascii="Times New Roman" w:cs="Times New Roman" w:eastAsia="Times New Roman" w:hAnsi="Times New Roman"/>
                <w:sz w:val="22"/>
                <w:szCs w:val="22"/>
              </w:rPr>
              <w:t xml:space="preserve">for improvement candidates targeting S_MK.</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Proof: S_MK satisfies the substrate definition S = (D, P, Ω, M):</w:t>
            </w:r>
          </w:p>
          <w:p>
            <w:pPr>
              <w:spacing w:before="40" w:after="40" w:line="260"/>
            </w:pPr>
            <w:r>
              <w:rPr>
                <w:rFonts w:ascii="Times New Roman" w:cs="Times New Roman" w:eastAsia="Times New Roman" w:hAnsi="Times New Roman"/>
                <w:sz w:val="22"/>
                <w:szCs w:val="22"/>
              </w:rPr>
              <w:t xml:space="preserve">  D = the KVS formula specification and rotation schedule</w:t>
            </w:r>
          </w:p>
          <w:p>
            <w:pPr>
              <w:spacing w:before="40" w:after="40" w:line="260"/>
            </w:pPr>
            <w:r>
              <w:rPr>
                <w:rFonts w:ascii="Times New Roman" w:cs="Times New Roman" w:eastAsia="Times New Roman" w:hAnsi="Times New Roman"/>
                <w:sz w:val="22"/>
                <w:szCs w:val="22"/>
              </w:rPr>
              <w:t xml:space="preserve">  P = the adopting organization's governance principals</w:t>
            </w:r>
          </w:p>
          <w:p>
            <w:pPr>
              <w:spacing w:before="40" w:after="40" w:line="260"/>
            </w:pPr>
            <w:r>
              <w:rPr>
                <w:rFonts w:ascii="Times New Roman" w:cs="Times New Roman" w:eastAsia="Times New Roman" w:hAnsi="Times New Roman"/>
                <w:sz w:val="22"/>
                <w:szCs w:val="22"/>
              </w:rPr>
              <w:t xml:space="preserve">  Ω = ranking fidelity of KVS against realized improvement quality</w:t>
            </w:r>
          </w:p>
          <w:p>
            <w:pPr>
              <w:spacing w:before="40" w:after="40" w:line="260"/>
            </w:pPr>
            <w:r>
              <w:rPr>
                <w:rFonts w:ascii="Times New Roman" w:cs="Times New Roman" w:eastAsia="Times New Roman" w:hAnsi="Times New Roman"/>
                <w:sz w:val="22"/>
                <w:szCs w:val="22"/>
              </w:rPr>
              <w:t xml:space="preserve">  M = the historical log of scored candidates versus outcomes</w:t>
            </w:r>
          </w:p>
          <w:p>
            <w:pPr>
              <w:spacing w:before="40" w:after="40" w:line="260"/>
            </w:pPr>
            <w:r>
              <w:rPr>
                <w:rFonts w:ascii="Times New Roman" w:cs="Times New Roman" w:eastAsia="Times New Roman" w:hAnsi="Times New Roman"/>
                <w:sz w:val="22"/>
                <w:szCs w:val="22"/>
              </w:rPr>
              <w:t xml:space="preserve">Therefore improvement candidates targeting S_MK have well-defined N, I′, C′, T values</w:t>
            </w:r>
          </w:p>
          <w:p>
            <w:pPr>
              <w:spacing w:before="40" w:after="40" w:line="260"/>
            </w:pPr>
            <w:r>
              <w:rPr>
                <w:rFonts w:ascii="Times New Roman" w:cs="Times New Roman" w:eastAsia="Times New Roman" w:hAnsi="Times New Roman"/>
                <w:sz w:val="22"/>
                <w:szCs w:val="22"/>
              </w:rPr>
              <w:t xml:space="preserve">under their respective definitions and KVS is computable.</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Note: This theorem establishes well-definedness, not convergence or optimality. It does not</w:t>
            </w:r>
          </w:p>
          <w:p>
            <w:pPr>
              <w:spacing w:before="40" w:after="40" w:line="260"/>
            </w:pPr>
            <w:r>
              <w:rPr>
                <w:rFonts w:ascii="Times New Roman" w:cs="Times New Roman" w:eastAsia="Times New Roman" w:hAnsi="Times New Roman"/>
                <w:sz w:val="22"/>
                <w:szCs w:val="22"/>
              </w:rPr>
              <w:t xml:space="preserve">claim that self-referential application of KVS converges to an optimal formula; convergence</w:t>
            </w:r>
          </w:p>
          <w:p>
            <w:pPr>
              <w:spacing w:before="40" w:after="40" w:line="260"/>
            </w:pPr>
            <w:r>
              <w:rPr>
                <w:rFonts w:ascii="Times New Roman" w:cs="Times New Roman" w:eastAsia="Times New Roman" w:hAnsi="Times New Roman"/>
                <w:sz w:val="22"/>
                <w:szCs w:val="22"/>
              </w:rPr>
              <w:t xml:space="preserve">is addressed in Paper 2 through the Governance Closure Theorem and its temporal resolution.  □</w:t>
            </w:r>
          </w:p>
        </w:tc>
      </w:tr>
    </w:tbl>
    <w:p>
      <w:pPr>
        <w:pStyle w:val="Heading2"/>
        <w:spacing w:before="240" w:after="120"/>
      </w:pPr>
      <w:r>
        <w:rPr>
          <w:rFonts w:ascii="Times New Roman" w:cs="Times New Roman" w:eastAsia="Times New Roman" w:hAnsi="Times New Roman"/>
          <w:b/>
          <w:bCs/>
          <w:color w:val="1F6B75"/>
          <w:sz w:val="26"/>
          <w:szCs w:val="26"/>
        </w:rPr>
        <w:t xml:space="preserve">4.3 Novelty Factor (N)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Definition 4.2 (Novelty Factor)</w:t>
            </w:r>
          </w:p>
          <w:p>
            <w:pPr>
              <w:spacing w:before="40" w:after="40" w:line="260"/>
            </w:pPr>
            <w:r>
              <w:rPr>
                <w:rFonts w:ascii="Times New Roman" w:cs="Times New Roman" w:eastAsia="Times New Roman" w:hAnsi="Times New Roman"/>
                <w:sz w:val="22"/>
                <w:szCs w:val="22"/>
              </w:rPr>
              <w:t xml:space="preserve">N_j = 1 − max_{τ ∈ {t−1, t−2, t−3, t−4}} Jaccard(K_j, K_τ)</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where Jaccard(A, B) = |A ∩ B| / |A ∪ B|</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The maximum (not mean) Jaccard similarity is used to prevent cycling through slightly</w:t>
            </w:r>
          </w:p>
          <w:p>
            <w:pPr>
              <w:spacing w:before="40" w:after="40" w:line="260"/>
            </w:pPr>
            <w:r>
              <w:rPr>
                <w:rFonts w:ascii="Times New Roman" w:cs="Times New Roman" w:eastAsia="Times New Roman" w:hAnsi="Times New Roman"/>
                <w:sz w:val="22"/>
                <w:szCs w:val="22"/>
              </w:rPr>
              <w:t xml:space="preserve">varied phrasings of the same domain. Operational target: E[N] ≥ 0.70 over a rolling</w:t>
            </w:r>
          </w:p>
          <w:p>
            <w:pPr>
              <w:spacing w:before="40" w:after="40" w:line="260"/>
            </w:pPr>
            <w:r>
              <w:rPr>
                <w:rFonts w:ascii="Times New Roman" w:cs="Times New Roman" w:eastAsia="Times New Roman" w:hAnsi="Times New Roman"/>
                <w:sz w:val="22"/>
                <w:szCs w:val="22"/>
              </w:rPr>
              <w:t xml:space="preserve">4-scan window.</w:t>
            </w:r>
          </w:p>
        </w:tc>
      </w:tr>
    </w:tbl>
    <w:p>
      <w:pPr>
        <w:spacing w:before="80" w:after="80" w:line="276"/>
        <w:jc w:val="both"/>
      </w:pPr>
      <w:r>
        <w:rPr>
          <w:rFonts w:ascii="Times New Roman" w:cs="Times New Roman" w:eastAsia="Times New Roman" w:hAnsi="Times New Roman"/>
          <w:i/>
          <w:iCs/>
          <w:color w:val="444444"/>
          <w:sz w:val="22"/>
          <w:szCs w:val="22"/>
        </w:rPr>
        <w:t xml:space="preserve">Why Jaccard? Three reasons: (1) It operates on discrete keyword sets, requiring no trained embedding model—preserving computational universality and auditability. (2) Boundedness in [0,1] follows directly from set theory. (3) For domain novelty enforcement—a structural question about whether conceptual domains overlap—keyword set intersection is more transparent than embedding-space geometry. Organizations requiring higher semantic precision may substitute cosine distance over TF-IDF vectors; the framework is agnostic to this substitution provided the metric is bounded and symmetric.</w:t>
      </w:r>
    </w:p>
    <w:p>
      <w:pPr>
        <w:pStyle w:val="Heading2"/>
        <w:spacing w:before="240" w:after="120"/>
      </w:pPr>
      <w:r>
        <w:rPr>
          <w:rFonts w:ascii="Times New Roman" w:cs="Times New Roman" w:eastAsia="Times New Roman" w:hAnsi="Times New Roman"/>
          <w:b/>
          <w:bCs/>
          <w:color w:val="1F6B75"/>
          <w:sz w:val="26"/>
          <w:szCs w:val="26"/>
        </w:rPr>
        <w:t xml:space="preserve">4.4 Normalized Impact (I′)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Definition 4.3 (Normalized Impact)</w:t>
            </w:r>
          </w:p>
          <w:p>
            <w:pPr>
              <w:spacing w:before="40" w:after="40" w:line="260"/>
            </w:pPr>
            <w:r>
              <w:rPr>
                <w:rFonts w:ascii="Times New Roman" w:cs="Times New Roman" w:eastAsia="Times New Roman" w:hAnsi="Times New Roman"/>
                <w:sz w:val="22"/>
                <w:szCs w:val="22"/>
              </w:rPr>
              <w:t xml:space="preserve">I′_j = min(1, μ_j / I_max)</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where μ_j is the administrator's point estimate of annualized improvement in the</w:t>
            </w:r>
          </w:p>
          <w:p>
            <w:pPr>
              <w:spacing w:before="40" w:after="40" w:line="260"/>
            </w:pPr>
            <w:r>
              <w:rPr>
                <w:rFonts w:ascii="Times New Roman" w:cs="Times New Roman" w:eastAsia="Times New Roman" w:hAnsi="Times New Roman"/>
                <w:sz w:val="22"/>
                <w:szCs w:val="22"/>
              </w:rPr>
              <w:t xml:space="preserve">substrate's primary outcome metric, and I_max is the pre-committed maximum plausible</w:t>
            </w:r>
          </w:p>
          <w:p>
            <w:pPr>
              <w:spacing w:before="40" w:after="40" w:line="260"/>
            </w:pPr>
            <w:r>
              <w:rPr>
                <w:rFonts w:ascii="Times New Roman" w:cs="Times New Roman" w:eastAsia="Times New Roman" w:hAnsi="Times New Roman"/>
                <w:sz w:val="22"/>
                <w:szCs w:val="22"/>
              </w:rPr>
              <w:t xml:space="preserve">improvement for the substrate.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80"/>
        <w:gridCol w:w="3480"/>
      </w:tblGrid>
      <w:tr>
        <w:tc>
          <w:tcPr>
            <w:tcW w:type="dxa" w:w="36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Substrate Domain</w:t>
            </w:r>
          </w:p>
        </w:tc>
        <w:tc>
          <w:tcPr>
            <w:tcW w:type="dxa" w:w="228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Recommended I_max</w:t>
            </w:r>
          </w:p>
        </w:tc>
        <w:tc>
          <w:tcPr>
            <w:tcW w:type="dxa" w:w="348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Units</w:t>
            </w:r>
          </w:p>
        </w:tc>
      </w:tr>
      <w:tr>
        <w:tc>
          <w:tcPr>
            <w:tcW w:type="dxa" w:w="36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Financial governance (IPS)</w:t>
            </w:r>
          </w:p>
        </w:tc>
        <w:tc>
          <w:tcPr>
            <w:tcW w:type="dxa" w:w="228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3.0</w:t>
            </w:r>
          </w:p>
        </w:tc>
        <w:tc>
          <w:tcPr>
            <w:tcW w:type="dxa" w:w="348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pp/yr annualized return improvement</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Clinical protocol</w:t>
            </w:r>
          </w:p>
        </w:tc>
        <w:tc>
          <w:tcPr>
            <w:tcW w:type="dxa" w:w="2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5.0</w:t>
            </w:r>
          </w:p>
        </w:tc>
        <w:tc>
          <w:tcPr>
            <w:tcW w:type="dxa" w:w="3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pp reduction in target adverse event rate</w:t>
            </w:r>
          </w:p>
        </w:tc>
      </w:tr>
      <w:tr>
        <w:tc>
          <w:tcPr>
            <w:tcW w:type="dxa" w:w="36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Software delivery (DORA)</w:t>
            </w:r>
          </w:p>
        </w:tc>
        <w:tc>
          <w:tcPr>
            <w:tcW w:type="dxa" w:w="228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50%</w:t>
            </w:r>
          </w:p>
        </w:tc>
        <w:tc>
          <w:tcPr>
            <w:tcW w:type="dxa" w:w="348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improvement in primary DORA metric</w:t>
            </w:r>
          </w:p>
        </w:tc>
      </w:tr>
      <w:tr>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Lean manufacturing</w:t>
            </w:r>
          </w:p>
        </w:tc>
        <w:tc>
          <w:tcPr>
            <w:tcW w:type="dxa" w:w="2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10%</w:t>
            </w:r>
          </w:p>
        </w:tc>
        <w:tc>
          <w:tcPr>
            <w:tcW w:type="dxa" w:w="34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reduction in target waste category</w:t>
            </w:r>
          </w:p>
        </w:tc>
      </w:tr>
    </w:tbl>
    <w:p>
      <w:pPr>
        <w:spacing w:before="100" w:after="100"/>
      </w:pPr>
    </w:p>
    <w:p>
      <w:pPr>
        <w:spacing w:before="80" w:after="80" w:line="276"/>
        <w:jc w:val="both"/>
      </w:pPr>
      <w:r>
        <w:rPr>
          <w:rFonts w:ascii="Times New Roman" w:cs="Times New Roman" w:eastAsia="Times New Roman" w:hAnsi="Times New Roman"/>
          <w:i/>
          <w:iCs/>
          <w:color w:val="444444"/>
          <w:sz w:val="22"/>
          <w:szCs w:val="22"/>
        </w:rPr>
        <w:t xml:space="preserve">On subjectivity: Administrator-estimated impact is real but bounded and governable. Three controls apply: (1) I_max is calibrated annually against realized historical improvements. (2) Impact estimates are logged at proposal time and compared to realized outcomes at annual review. (3) The principal gate provides an independent check. The framework makes subjectivity visible, bounded, and auditable—a substantial advance over implicit, unlogged judgment.</w:t>
      </w:r>
    </w:p>
    <w:p>
      <w:pPr>
        <w:pStyle w:val="Heading2"/>
        <w:spacing w:before="240" w:after="120"/>
      </w:pPr>
      <w:r>
        <w:rPr>
          <w:rFonts w:ascii="Times New Roman" w:cs="Times New Roman" w:eastAsia="Times New Roman" w:hAnsi="Times New Roman"/>
          <w:b/>
          <w:bCs/>
          <w:color w:val="1F6B75"/>
          <w:sz w:val="26"/>
          <w:szCs w:val="26"/>
        </w:rPr>
        <w:t xml:space="preserve">4.5 Normalized Inverse Complexity (C′)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Definition 4.4 (Normalized Inverse Complexity)</w:t>
            </w:r>
          </w:p>
          <w:p>
            <w:pPr>
              <w:spacing w:before="40" w:after="40" w:line="260"/>
            </w:pPr>
            <w:r>
              <w:rPr>
                <w:rFonts w:ascii="Times New Roman" w:cs="Times New Roman" w:eastAsia="Times New Roman" w:hAnsi="Times New Roman"/>
                <w:sz w:val="22"/>
                <w:szCs w:val="22"/>
              </w:rPr>
              <w:t xml:space="preserve">C′_j = (C_max − C_j) / (C_max − C_min) = (2.0 − C_j) / 1.0</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where C_j ∈ {1.0, 1.2, 1.4, 1.6, 1.8, 2.0}</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The linear rescaling maps [1.0, 2.0] bijectively onto [1.0, 0.0], fully spanning [0,1]</w:t>
            </w:r>
          </w:p>
          <w:p>
            <w:pPr>
              <w:spacing w:before="40" w:after="40" w:line="260"/>
            </w:pPr>
            <w:r>
              <w:rPr>
                <w:rFonts w:ascii="Times New Roman" w:cs="Times New Roman" w:eastAsia="Times New Roman" w:hAnsi="Times New Roman"/>
                <w:sz w:val="22"/>
                <w:szCs w:val="22"/>
              </w:rPr>
              <w:t xml:space="preserve">and reaching zero at maximum complexity. This corrects the 1/C formulation used in some</w:t>
            </w:r>
          </w:p>
          <w:p>
            <w:pPr>
              <w:spacing w:before="40" w:after="40" w:line="260"/>
            </w:pPr>
            <w:r>
              <w:rPr>
                <w:rFonts w:ascii="Times New Roman" w:cs="Times New Roman" w:eastAsia="Times New Roman" w:hAnsi="Times New Roman"/>
                <w:sz w:val="22"/>
                <w:szCs w:val="22"/>
              </w:rPr>
              <w:t xml:space="preserve">prior treatments, which maps [1.0, 2.0] to [1.0, 0.5]—a compressed range that never</w:t>
            </w:r>
          </w:p>
          <w:p>
            <w:pPr>
              <w:spacing w:before="40" w:after="40" w:line="260"/>
            </w:pPr>
            <w:r>
              <w:rPr>
                <w:rFonts w:ascii="Times New Roman" w:cs="Times New Roman" w:eastAsia="Times New Roman" w:hAnsi="Times New Roman"/>
                <w:sz w:val="22"/>
                <w:szCs w:val="22"/>
              </w:rPr>
              <w:t xml:space="preserve">reaches zero regardless of complexity.</w:t>
            </w:r>
          </w:p>
        </w:tc>
      </w:tr>
    </w:tbl>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tblGrid>
      <w:tr>
        <w:tc>
          <w:tcPr>
            <w:tcW w:type="dxa" w:w="12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Raw C</w:t>
            </w:r>
          </w:p>
        </w:tc>
        <w:tc>
          <w:tcPr>
            <w:tcW w:type="dxa" w:w="57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Operational Description</w:t>
            </w:r>
          </w:p>
        </w:tc>
        <w:tc>
          <w:tcPr>
            <w:tcW w:type="dxa" w:w="12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w:t>
            </w:r>
          </w:p>
        </w:tc>
      </w:tr>
      <w:tr>
        <w:tc>
          <w:tcPr>
            <w:tcW w:type="dxa" w:w="1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1.0</w:t>
            </w:r>
          </w:p>
        </w:tc>
        <w:tc>
          <w:tcPr>
            <w:tcW w:type="dxa" w:w="57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Zero additional operational steps or resources required</w:t>
            </w:r>
          </w:p>
        </w:tc>
        <w:tc>
          <w:tcPr>
            <w:tcW w:type="dxa" w:w="1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1.00</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1.2</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One new lightweight step; under 30 minutes per quarter</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0.80</w:t>
            </w:r>
          </w:p>
        </w:tc>
      </w:tr>
      <w:tr>
        <w:tc>
          <w:tcPr>
            <w:tcW w:type="dxa" w:w="1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1.4</w:t>
            </w:r>
          </w:p>
        </w:tc>
        <w:tc>
          <w:tcPr>
            <w:tcW w:type="dxa" w:w="57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Two new steps or one new data feed; under 2 hours per quarter</w:t>
            </w:r>
          </w:p>
        </w:tc>
        <w:tc>
          <w:tcPr>
            <w:tcW w:type="dxa" w:w="1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0.60</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1.6</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Moderate process redesign; involves 2–3 stakeholders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0.40</w:t>
            </w:r>
          </w:p>
        </w:tc>
      </w:tr>
      <w:tr>
        <w:tc>
          <w:tcPr>
            <w:tcW w:type="dxa" w:w="1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1.8</w:t>
            </w:r>
          </w:p>
        </w:tc>
        <w:tc>
          <w:tcPr>
            <w:tcW w:type="dxa" w:w="57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Significant systems, legal, or structural work required</w:t>
            </w:r>
          </w:p>
        </w:tc>
        <w:tc>
          <w:tcPr>
            <w:tcW w:type="dxa" w:w="1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0.20</w:t>
            </w:r>
          </w:p>
        </w:tc>
      </w:tr>
      <w:tr>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2.0</w:t>
            </w:r>
          </w:p>
        </w:tc>
        <w:tc>
          <w:tcPr>
            <w:tcW w:type="dxa" w:w="5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Major restructuring; capital, regulatory approval, or multi-year implementation</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0.00</w:t>
            </w:r>
          </w:p>
        </w:tc>
      </w:tr>
    </w:tbl>
    <w:p>
      <w:pPr>
        <w:pStyle w:val="Heading2"/>
        <w:spacing w:before="240" w:after="120"/>
      </w:pPr>
      <w:r>
        <w:rPr>
          <w:rFonts w:ascii="Times New Roman" w:cs="Times New Roman" w:eastAsia="Times New Roman" w:hAnsi="Times New Roman"/>
          <w:b/>
          <w:bCs/>
          <w:color w:val="1F6B75"/>
          <w:sz w:val="26"/>
          <w:szCs w:val="26"/>
        </w:rPr>
        <w:t xml:space="preserve">4.6 Timeliness Score (T)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Definition 4.5 (Timeliness Score)</w:t>
            </w:r>
          </w:p>
          <w:p>
            <w:pPr>
              <w:spacing w:before="40" w:after="40" w:line="260"/>
            </w:pPr>
            <w:r>
              <w:rPr>
                <w:rFonts w:ascii="Times New Roman" w:cs="Times New Roman" w:eastAsia="Times New Roman" w:hAnsi="Times New Roman"/>
                <w:sz w:val="22"/>
                <w:szCs w:val="22"/>
              </w:rPr>
              <w:t xml:space="preserve">T_j = max(0, 1 − h_j / H_max)</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where h_j = months to relevance; H_max = 60 (default).</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H_max = 60 months is the default and should be revisited at annual review for substrates</w:t>
            </w:r>
          </w:p>
          <w:p>
            <w:pPr>
              <w:spacing w:before="40" w:after="40" w:line="260"/>
            </w:pPr>
            <w:r>
              <w:rPr>
                <w:rFonts w:ascii="Times New Roman" w:cs="Times New Roman" w:eastAsia="Times New Roman" w:hAnsi="Times New Roman"/>
                <w:sz w:val="22"/>
                <w:szCs w:val="22"/>
              </w:rPr>
              <w:t xml:space="preserve">with materially different planning horizons (e.g., infrastructure projects with 10-year</w:t>
            </w:r>
          </w:p>
          <w:p>
            <w:pPr>
              <w:spacing w:before="40" w:after="40" w:line="260"/>
            </w:pPr>
            <w:r>
              <w:rPr>
                <w:rFonts w:ascii="Times New Roman" w:cs="Times New Roman" w:eastAsia="Times New Roman" w:hAnsi="Times New Roman"/>
                <w:sz w:val="22"/>
                <w:szCs w:val="22"/>
              </w:rPr>
              <w:t xml:space="preserve">cycles may adopt H_max = 120 months). Any revision requires principal approval and is logged.</w:t>
            </w:r>
          </w:p>
        </w:tc>
      </w:tr>
    </w:tbl>
    <w:p>
      <w:pPr>
        <w:pStyle w:val="Heading2"/>
        <w:spacing w:before="240" w:after="120"/>
      </w:pPr>
      <w:r>
        <w:rPr>
          <w:rFonts w:ascii="Times New Roman" w:cs="Times New Roman" w:eastAsia="Times New Roman" w:hAnsi="Times New Roman"/>
          <w:b/>
          <w:bCs/>
          <w:color w:val="1F6B75"/>
          <w:sz w:val="26"/>
          <w:szCs w:val="26"/>
        </w:rPr>
        <w:t xml:space="preserve">4.7 Approval Gate and Derived Threshold</w:t>
      </w:r>
    </w:p>
    <w:p>
      <w:pPr>
        <w:spacing w:before="80" w:after="80" w:line="276"/>
        <w:jc w:val="both"/>
      </w:pPr>
      <w:r>
        <w:rPr>
          <w:rFonts w:ascii="Times New Roman" w:cs="Times New Roman" w:eastAsia="Times New Roman" w:hAnsi="Times New Roman"/>
          <w:sz w:val="24"/>
          <w:szCs w:val="24"/>
        </w:rPr>
        <w:t xml:space="preserve">The adoption threshold κ = 0.50 is derived from Bayesian decision theory, not stipulated. Let L_FP denote the loss from a false positive (adopting a poor improvement candidate) and L_FN the loss from a false negative (rejecting a good one). Adopt the standard Bayesian decision framework (Duda, Hart &amp; Stork, 2001):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Theorem 4.3 (Threshold Optimality)</w:t>
            </w:r>
          </w:p>
          <w:p>
            <w:pPr>
              <w:spacing w:before="40" w:after="40" w:line="260"/>
            </w:pPr>
            <w:r>
              <w:rPr>
                <w:rFonts w:ascii="Times New Roman" w:cs="Times New Roman" w:eastAsia="Times New Roman" w:hAnsi="Times New Roman"/>
                <w:sz w:val="22"/>
                <w:szCs w:val="22"/>
              </w:rPr>
              <w:t xml:space="preserve">Setup: Let G = 'candidate is genuinely good,' P = 'candidate is genuinely poor.' Prior</w:t>
            </w:r>
          </w:p>
          <w:p>
            <w:pPr>
              <w:spacing w:before="40" w:after="40" w:line="260"/>
            </w:pPr>
            <w:r>
              <w:rPr>
                <w:rFonts w:ascii="Times New Roman" w:cs="Times New Roman" w:eastAsia="Times New Roman" w:hAnsi="Times New Roman"/>
                <w:sz w:val="22"/>
                <w:szCs w:val="22"/>
              </w:rPr>
              <w:t xml:space="preserve">π = P(G). Score s ∈ [0,1] is a noisy signal with continuous conditional densities p(s|G)</w:t>
            </w:r>
          </w:p>
          <w:p>
            <w:pPr>
              <w:spacing w:before="40" w:after="40" w:line="260"/>
            </w:pPr>
            <w:r>
              <w:rPr>
                <w:rFonts w:ascii="Times New Roman" w:cs="Times New Roman" w:eastAsia="Times New Roman" w:hAnsi="Times New Roman"/>
                <w:sz w:val="22"/>
                <w:szCs w:val="22"/>
              </w:rPr>
              <w:t xml:space="preserve">and p(s|P). Decision rule: adopt if s ≥ κ, reject otherwise. Expected loss: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  R(κ) = L_FP × P(s ≥ κ | P) × (1−π) + L_FN × P(s &lt; κ | G) × π</w:t>
            </w:r>
          </w:p>
          <w:p>
            <w:pPr>
              <w:spacing w:before="40" w:after="40" w:line="260"/>
            </w:pPr>
            <w:r>
              <w:rPr>
                <w:rFonts w:ascii="Times New Roman" w:cs="Times New Roman" w:eastAsia="Times New Roman" w:hAnsi="Times New Roman"/>
                <w:sz w:val="22"/>
                <w:szCs w:val="22"/>
              </w:rPr>
              <w:t xml:space="preserve">       = L_FP × (1 − F_P(κ)) × (1−π)  +  L_FN × F_G(κ) × π</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Differentiating: dR/dκ = −L_FP × p_P(κ) × (1−π) + L_FN × p_G(κ) × π</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The optimal threshold κ* satisfies the likelihood ratio condition:</w:t>
            </w:r>
          </w:p>
          <w:p>
            <w:pPr>
              <w:spacing w:before="40" w:after="40" w:line="260"/>
            </w:pPr>
            <w:r>
              <w:rPr>
                <w:rFonts w:ascii="Times New Roman" w:cs="Times New Roman" w:eastAsia="Times New Roman" w:hAnsi="Times New Roman"/>
                <w:sz w:val="22"/>
                <w:szCs w:val="22"/>
              </w:rPr>
              <w:t xml:space="preserve">  p_G(κ*) / p_P(κ*) = L_FP × (1−π) / (L_FN × π)</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SYMMETRIC SPECIAL CASE (κ* = 0.50): When L_FP = L_FN (symmetric losses), π = 0.5</w:t>
            </w:r>
          </w:p>
          <w:p>
            <w:pPr>
              <w:spacing w:before="40" w:after="40" w:line="260"/>
            </w:pPr>
            <w:r>
              <w:rPr>
                <w:rFonts w:ascii="Times New Roman" w:cs="Times New Roman" w:eastAsia="Times New Roman" w:hAnsi="Times New Roman"/>
                <w:sz w:val="22"/>
                <w:szCs w:val="22"/>
              </w:rPr>
              <w:t xml:space="preserve">(uniform prior over improvement quality), and the score distributions are symmetric</w:t>
            </w:r>
          </w:p>
          <w:p>
            <w:pPr>
              <w:spacing w:before="40" w:after="40" w:line="260"/>
            </w:pPr>
            <w:r>
              <w:rPr>
                <w:rFonts w:ascii="Times New Roman" w:cs="Times New Roman" w:eastAsia="Times New Roman" w:hAnsi="Times New Roman"/>
                <w:sz w:val="22"/>
                <w:szCs w:val="22"/>
              </w:rPr>
              <w:t xml:space="preserve">around κ = 0.5 so that p_G(0.5) = p_P(0.5), the likelihood ratio condition gives</w:t>
            </w:r>
          </w:p>
          <w:p>
            <w:pPr>
              <w:spacing w:before="40" w:after="40" w:line="260"/>
            </w:pPr>
            <w:r>
              <w:rPr>
                <w:rFonts w:ascii="Times New Roman" w:cs="Times New Roman" w:eastAsia="Times New Roman" w:hAnsi="Times New Roman"/>
                <w:sz w:val="22"/>
                <w:szCs w:val="22"/>
              </w:rPr>
              <w:t xml:space="preserve">LR = 1, so κ* = 0.50. This is the unique threshold optimal under symmetric losses</w:t>
            </w:r>
          </w:p>
          <w:p>
            <w:pPr>
              <w:spacing w:before="40" w:after="40" w:line="260"/>
            </w:pPr>
            <w:r>
              <w:rPr>
                <w:rFonts w:ascii="Times New Roman" w:cs="Times New Roman" w:eastAsia="Times New Roman" w:hAnsi="Times New Roman"/>
                <w:sz w:val="22"/>
                <w:szCs w:val="22"/>
              </w:rPr>
              <w:t xml:space="preserve">with a uniform quality prior.   □</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ASYMMETRIC CASE: When L_FP ≠ L_FN or π ≠ 0.5, the general formula κ* = L_FN/(L_FP + L_FN)</w:t>
            </w:r>
          </w:p>
          <w:p>
            <w:pPr>
              <w:spacing w:before="40" w:after="40" w:line="260"/>
            </w:pPr>
            <w:r>
              <w:rPr>
                <w:rFonts w:ascii="Times New Roman" w:cs="Times New Roman" w:eastAsia="Times New Roman" w:hAnsi="Times New Roman"/>
                <w:sz w:val="22"/>
                <w:szCs w:val="22"/>
              </w:rPr>
              <w:t xml:space="preserve">is a commonly cited approximation derived under the assumption of uniform score distributions</w:t>
            </w:r>
          </w:p>
          <w:p>
            <w:pPr>
              <w:spacing w:before="40" w:after="40" w:line="260"/>
            </w:pPr>
            <w:r>
              <w:rPr>
                <w:rFonts w:ascii="Times New Roman" w:cs="Times New Roman" w:eastAsia="Times New Roman" w:hAnsi="Times New Roman"/>
                <w:sz w:val="22"/>
                <w:szCs w:val="22"/>
              </w:rPr>
              <w:t xml:space="preserve">on [0,1]. Under uniform distributions F_G(κ) = F_P(κ) = κ, the minimization of R(κ) yields</w:t>
            </w:r>
          </w:p>
          <w:p>
            <w:pPr>
              <w:spacing w:before="40" w:after="40" w:line="260"/>
            </w:pPr>
            <w:r>
              <w:rPr>
                <w:rFonts w:ascii="Times New Roman" w:cs="Times New Roman" w:eastAsia="Times New Roman" w:hAnsi="Times New Roman"/>
                <w:sz w:val="22"/>
                <w:szCs w:val="22"/>
              </w:rPr>
              <w:t xml:space="preserve">  κ* = L_FP(1−π) / [L_FP(1−π) + L_FN×π]</w:t>
            </w:r>
          </w:p>
          <w:p>
            <w:pPr>
              <w:spacing w:before="40" w:after="40" w:line="260"/>
            </w:pPr>
            <w:r>
              <w:rPr>
                <w:rFonts w:ascii="Times New Roman" w:cs="Times New Roman" w:eastAsia="Times New Roman" w:hAnsi="Times New Roman"/>
                <w:sz w:val="22"/>
                <w:szCs w:val="22"/>
              </w:rPr>
              <w:t xml:space="preserve">For π = 0.5: κ* = L_FP / (L_FP + L_FN). For the inverse convention: κ* = L_FN/(L_FP + L_FN).</w:t>
            </w:r>
          </w:p>
          <w:p>
            <w:pPr>
              <w:spacing w:before="40" w:after="40" w:line="260"/>
            </w:pPr>
            <w:r>
              <w:rPr>
                <w:rFonts w:ascii="Times New Roman" w:cs="Times New Roman" w:eastAsia="Times New Roman" w:hAnsi="Times New Roman"/>
                <w:sz w:val="22"/>
                <w:szCs w:val="22"/>
              </w:rPr>
              <w:t xml:space="preserve">This derivation requires distributional assumptions not otherwise stated. Practitioners using</w:t>
            </w:r>
          </w:p>
          <w:p>
            <w:pPr>
              <w:spacing w:before="40" w:after="40" w:line="260"/>
            </w:pPr>
            <w:r>
              <w:rPr>
                <w:rFonts w:ascii="Times New Roman" w:cs="Times New Roman" w:eastAsia="Times New Roman" w:hAnsi="Times New Roman"/>
                <w:sz w:val="22"/>
                <w:szCs w:val="22"/>
              </w:rPr>
              <w:t xml:space="preserve">asymmetric thresholds should derive κ* from their specific loss ratio and score distributions.</w:t>
            </w:r>
          </w:p>
          <w:p>
            <w:pPr>
              <w:spacing w:before="40" w:after="40" w:line="260"/>
            </w:pPr>
            <w:r>
              <w:rPr>
                <w:rFonts w:ascii="Times New Roman" w:cs="Times New Roman" w:eastAsia="Times New Roman" w:hAnsi="Times New Roman"/>
                <w:sz w:val="22"/>
                <w:szCs w:val="22"/>
              </w:rPr>
              <w:t xml:space="preserve">The substrate-specific guidelines (κ* &gt; 0.50 for healthcare/aviation; κ* &lt; 0.50 for</w:t>
            </w:r>
          </w:p>
          <w:p>
            <w:pPr>
              <w:spacing w:before="40" w:after="40" w:line="260"/>
            </w:pPr>
            <w:r>
              <w:rPr>
                <w:rFonts w:ascii="Times New Roman" w:cs="Times New Roman" w:eastAsia="Times New Roman" w:hAnsi="Times New Roman"/>
                <w:sz w:val="22"/>
                <w:szCs w:val="22"/>
              </w:rPr>
              <w:t xml:space="preserve">competitive markets under disruption) provide directional guidance absent full distributional</w:t>
            </w:r>
          </w:p>
          <w:p>
            <w:pPr>
              <w:spacing w:before="40" w:after="40" w:line="260"/>
            </w:pPr>
            <w:r>
              <w:rPr>
                <w:rFonts w:ascii="Times New Roman" w:cs="Times New Roman" w:eastAsia="Times New Roman" w:hAnsi="Times New Roman"/>
                <w:sz w:val="22"/>
                <w:szCs w:val="22"/>
              </w:rPr>
              <w:t xml:space="preserve">knowledge.</w:t>
            </w:r>
          </w:p>
        </w:tc>
      </w:tr>
    </w:tbl>
    <w:p>
      <w:pPr>
        <w:spacing w:before="80" w:after="80" w:line="276"/>
        <w:jc w:val="both"/>
      </w:pPr>
      <w:r>
        <w:rPr>
          <w:rFonts w:ascii="Times New Roman" w:cs="Times New Roman" w:eastAsia="Times New Roman" w:hAnsi="Times New Roman"/>
          <w:sz w:val="24"/>
          <w:szCs w:val="24"/>
        </w:rPr>
        <w:t xml:space="preserve">Override protocol: The principal may override the gate in either direction. All overrides require: (1) a reason code from a pre-defined taxonomy; (2) a written rationale (minimum 50 words); (3) entry in the Master Decision Log with timestamp, override direction, and reason code; (4) review at the subsequent annual retrospective. Override is a feature, not a failure—it transforms invisible judgment calls into auditable governance decisions.</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5. Structural Simulation Analysis</w:t>
      </w:r>
    </w:p>
    <w:p>
      <w:pPr>
        <w:pStyle w:val="Heading2"/>
        <w:spacing w:before="240" w:after="120"/>
      </w:pPr>
      <w:r>
        <w:rPr>
          <w:rFonts w:ascii="Times New Roman" w:cs="Times New Roman" w:eastAsia="Times New Roman" w:hAnsi="Times New Roman"/>
          <w:b/>
          <w:bCs/>
          <w:color w:val="1F6B75"/>
          <w:sz w:val="26"/>
          <w:szCs w:val="26"/>
        </w:rPr>
        <w:t xml:space="preserve">5.1 What Simulation Can and Cannot Establish</w:t>
      </w:r>
    </w:p>
    <w:p>
      <w:pPr>
        <w:spacing w:before="80" w:after="80" w:line="276"/>
        <w:jc w:val="both"/>
      </w:pPr>
      <w:r>
        <w:rPr>
          <w:rFonts w:ascii="Times New Roman" w:cs="Times New Roman" w:eastAsia="Times New Roman" w:hAnsi="Times New Roman"/>
          <w:sz w:val="24"/>
          <w:szCs w:val="24"/>
        </w:rPr>
        <w:t xml:space="preserve">This section replaces an earlier draft's Monte Carlo analysis that (i) measured rank correlation between KVS and the arithmetic mean of its own inputs V* = (N + I′ + C′ + T)/4, calling V* 'an independent ground truth'—V* is not independent—and (ii) defined the multiplicative ground truth as Q_mult = KVS.copy(), making the recall test analytically circular with 100% recall by construction. Both errors have been corrected.</w:t>
      </w:r>
    </w:p>
    <w:p>
      <w:pPr>
        <w:spacing w:before="80" w:after="80" w:line="276"/>
        <w:jc w:val="both"/>
      </w:pPr>
      <w:r>
        <w:rPr>
          <w:rFonts w:ascii="Times New Roman" w:cs="Times New Roman" w:eastAsia="Times New Roman" w:hAnsi="Times New Roman"/>
          <w:sz w:val="24"/>
          <w:szCs w:val="24"/>
        </w:rPr>
        <w:t xml:space="preserve">The only test that would constitute genuine empirical validation is a prospective study comparing realized outcomes for KVS-selected improvements against a control condition across multiple organizations and substrates over multiple years. That data does not yet exist. Section 5.4 specifies the pre-registered empirical validation path.</w:t>
      </w:r>
    </w:p>
    <w:p>
      <w:pPr>
        <w:spacing w:before="80" w:after="80" w:line="276"/>
        <w:jc w:val="both"/>
      </w:pPr>
      <w:r>
        <w:rPr>
          <w:rFonts w:ascii="Times New Roman" w:cs="Times New Roman" w:eastAsia="Times New Roman" w:hAnsi="Times New Roman"/>
          <w:sz w:val="24"/>
          <w:szCs w:val="24"/>
        </w:rPr>
        <w:t xml:space="preserve">What simulation can and does establish: (1) Structural consistency—that KVS ranks candidates in ways stable under plausible input distribution assumptions. (2) Decision-theoretic characterization—how the multiplicative versus additive choice affects selection under hypothetical outcome functions. (3) Sensitivity analysis—how KVS scores respond across distributional parameter variants and selection thresholds.</w:t>
      </w:r>
    </w:p>
    <w:p>
      <w:pPr>
        <w:pStyle w:val="Heading2"/>
        <w:spacing w:before="240" w:after="120"/>
      </w:pPr>
      <w:r>
        <w:rPr>
          <w:rFonts w:ascii="Times New Roman" w:cs="Times New Roman" w:eastAsia="Times New Roman" w:hAnsi="Times New Roman"/>
          <w:b/>
          <w:bCs/>
          <w:color w:val="1F6B75"/>
          <w:sz w:val="26"/>
          <w:szCs w:val="26"/>
        </w:rPr>
        <w:t xml:space="preserve">5.2 Simulation Specification</w:t>
      </w:r>
    </w:p>
    <w:p>
      <w:pPr>
        <w:spacing w:before="80" w:after="80" w:line="276"/>
        <w:jc w:val="both"/>
      </w:pPr>
      <w:r>
        <w:rPr>
          <w:rFonts w:ascii="Times New Roman" w:cs="Times New Roman" w:eastAsia="Times New Roman" w:hAnsi="Times New Roman"/>
          <w:sz w:val="24"/>
          <w:szCs w:val="24"/>
        </w:rPr>
        <w:t xml:space="preserve">We draw 10,000 improvement candidates per run across 1,000 independent runs (numpy seed = 42). Two scoring rules are evaluated: KVS = N × I′ × C′ × T (multiplicative), and ADD = (N + I′ + C′ + T) / 4 (additive arithmetic mean). Both scorers rank all 10,000 candidates; top-5% recall is computed against each ground-truth outcome function from the identical candidate pool and the same 1,000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60"/>
        <w:gridCol w:w="4400"/>
      </w:tblGrid>
      <w:tr>
        <w:tc>
          <w:tcPr>
            <w:tcW w:type="dxa" w:w="22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Parameter</w:t>
            </w:r>
          </w:p>
        </w:tc>
        <w:tc>
          <w:tcPr>
            <w:tcW w:type="dxa" w:w="27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Distribution</w:t>
            </w:r>
          </w:p>
        </w:tc>
        <w:tc>
          <w:tcPr>
            <w:tcW w:type="dxa" w:w="44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Rationale</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N (Novelty)</w:t>
            </w:r>
          </w:p>
        </w:tc>
        <w:tc>
          <w:tcPr>
            <w:tcW w:type="dxa" w:w="27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Beta(2,2) on [0,1]</w:t>
            </w:r>
          </w:p>
        </w:tc>
        <w:tc>
          <w:tcPr>
            <w:tcW w:type="dxa" w:w="44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Symmetric; mean 0.5; moderate novelty under rotation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μ (raw impact)</w:t>
            </w:r>
          </w:p>
        </w:tc>
        <w:tc>
          <w:tcPr>
            <w:tcW w:type="dxa" w:w="2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Log-Normal(μ=0.6, σ=0.55)</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Right-skewed; most ideas modest impact; mode ≈ 1.2 units</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I′ = min(1, μ/I_max)</w:t>
            </w:r>
          </w:p>
        </w:tc>
        <w:tc>
          <w:tcPr>
            <w:tcW w:type="dxa" w:w="27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Derived; I_max = 3.0</w:t>
            </w:r>
          </w:p>
        </w:tc>
        <w:tc>
          <w:tcPr>
            <w:tcW w:type="dxa" w:w="44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Normalized; ≈18% of draws produce I′ = 1.0</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C (raw complexity)</w:t>
            </w:r>
          </w:p>
        </w:tc>
        <w:tc>
          <w:tcPr>
            <w:tcW w:type="dxa" w:w="2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Uniform[1.0, 2.0]</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Neutral prior over operational burden</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C′ = (2.0 − C)/1.0</w:t>
            </w:r>
          </w:p>
        </w:tc>
        <w:tc>
          <w:tcPr>
            <w:tcW w:type="dxa" w:w="27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Derived</w:t>
            </w:r>
          </w:p>
        </w:tc>
        <w:tc>
          <w:tcPr>
            <w:tcW w:type="dxa" w:w="44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Uniform[0,1] by derivation</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h (horizon, months)</w:t>
            </w:r>
          </w:p>
        </w:tc>
        <w:tc>
          <w:tcPr>
            <w:tcW w:type="dxa" w:w="2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Uniform[0, 72]</w:t>
            </w:r>
          </w:p>
        </w:tc>
        <w:tc>
          <w:tcPr>
            <w:tcW w:type="dxa" w:w="4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Spans beyond 60-month cutoff; ≈17% receive T = 0</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T = max(0, 1 − h/60)</w:t>
            </w:r>
          </w:p>
        </w:tc>
        <w:tc>
          <w:tcPr>
            <w:tcW w:type="dxa" w:w="27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Derived</w:t>
            </w:r>
          </w:p>
        </w:tc>
        <w:tc>
          <w:tcPr>
            <w:tcW w:type="dxa" w:w="44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Linear decay; truncated at zero</w:t>
            </w:r>
          </w:p>
        </w:tc>
      </w:tr>
    </w:tbl>
    <w:p>
      <w:pPr>
        <w:pStyle w:val="Heading2"/>
        <w:spacing w:before="240" w:after="120"/>
      </w:pPr>
      <w:r>
        <w:rPr>
          <w:rFonts w:ascii="Times New Roman" w:cs="Times New Roman" w:eastAsia="Times New Roman" w:hAnsi="Times New Roman"/>
          <w:b/>
          <w:bCs/>
          <w:color w:val="1F6B75"/>
          <w:sz w:val="26"/>
          <w:szCs w:val="26"/>
        </w:rPr>
        <w:t xml:space="preserve">5.3 Results</w:t>
      </w:r>
    </w:p>
    <w:p>
      <w:pPr>
        <w:spacing w:before="200" w:after="80"/>
      </w:pPr>
      <w:r>
        <w:rPr>
          <w:rFonts w:ascii="Times New Roman" w:cs="Times New Roman" w:eastAsia="Times New Roman" w:hAnsi="Times New Roman"/>
          <w:b/>
          <w:bCs/>
          <w:i/>
          <w:iCs/>
          <w:color w:val="333333"/>
          <w:sz w:val="24"/>
          <w:szCs w:val="24"/>
        </w:rPr>
        <w:t xml:space="preserve">Factor Dominance</w:t>
      </w:r>
    </w:p>
    <w:p>
      <w:pPr>
        <w:spacing w:before="80" w:after="80" w:line="276"/>
        <w:jc w:val="both"/>
      </w:pPr>
      <w:r>
        <w:rPr>
          <w:rFonts w:ascii="Times New Roman" w:cs="Times New Roman" w:eastAsia="Times New Roman" w:hAnsi="Times New Roman"/>
          <w:sz w:val="24"/>
          <w:szCs w:val="24"/>
        </w:rPr>
        <w:t xml:space="preserve">No single factor exceeds a dominance threshold of ρ &gt; 0.90. Timeliness (T) correlates with KVS at ρ = 0.740—substantially higher than other factors. This is a distributional artifact: approximately 17% of candidates receive T = 0, collapsing their KVS to zero regardless of other values, anchoring the lower end of the KVS ranking. Operational remedy: filter obsolete candidates (T = 0) before scoring. The equal-weight property holds for candidates with T &gt;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Factor</w:t>
            </w:r>
          </w:p>
        </w:tc>
        <w:tc>
          <w:tcPr>
            <w:tcW w:type="dxa" w:w="26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ρ with KVS</w:t>
            </w:r>
          </w:p>
        </w:tc>
        <w:tc>
          <w:tcPr>
            <w:tcW w:type="dxa" w:w="41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90% CI</w:t>
            </w:r>
          </w:p>
        </w:tc>
      </w:tr>
      <w:tr>
        <w:tc>
          <w:tcPr>
            <w:tcW w:type="dxa" w:w="26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N alone</w:t>
            </w:r>
          </w:p>
        </w:tc>
        <w:tc>
          <w:tcPr>
            <w:tcW w:type="dxa" w:w="26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0.258</w:t>
            </w:r>
          </w:p>
        </w:tc>
        <w:tc>
          <w:tcPr>
            <w:tcW w:type="dxa" w:w="41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[0.240, 0.272]</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I′ alone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0.217</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[0.202, 0.233]</w:t>
            </w:r>
          </w:p>
        </w:tc>
      </w:tr>
      <w:tr>
        <w:tc>
          <w:tcPr>
            <w:tcW w:type="dxa" w:w="26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C′ alone</w:t>
            </w:r>
          </w:p>
        </w:tc>
        <w:tc>
          <w:tcPr>
            <w:tcW w:type="dxa" w:w="26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0.385</w:t>
            </w:r>
          </w:p>
        </w:tc>
        <w:tc>
          <w:tcPr>
            <w:tcW w:type="dxa" w:w="41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[0.370, 0.400]</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 alone</w:t>
            </w:r>
          </w:p>
        </w:tc>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0.740</w:t>
            </w:r>
          </w:p>
        </w:tc>
        <w:tc>
          <w:tcPr>
            <w:tcW w:type="dxa" w:w="4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[0.730, 0.749]</w:t>
            </w:r>
          </w:p>
        </w:tc>
      </w:tr>
    </w:tbl>
    <w:p>
      <w:pPr>
        <w:spacing w:before="200" w:after="80"/>
      </w:pPr>
      <w:r>
        <w:rPr>
          <w:rFonts w:ascii="Times New Roman" w:cs="Times New Roman" w:eastAsia="Times New Roman" w:hAnsi="Times New Roman"/>
          <w:b/>
          <w:bCs/>
          <w:i/>
          <w:iCs/>
          <w:color w:val="333333"/>
          <w:sz w:val="24"/>
          <w:szCs w:val="24"/>
        </w:rPr>
        <w:t xml:space="preserve">Heterogeneity Overlap</w:t>
      </w:r>
    </w:p>
    <w:p>
      <w:pPr>
        <w:spacing w:before="80" w:after="80" w:line="276"/>
        <w:jc w:val="both"/>
      </w:pPr>
      <w:r>
        <w:rPr>
          <w:rFonts w:ascii="Times New Roman" w:cs="Times New Roman" w:eastAsia="Times New Roman" w:hAnsi="Times New Roman"/>
          <w:sz w:val="24"/>
          <w:szCs w:val="24"/>
        </w:rPr>
        <w:t xml:space="preserve">Under the above distributions, 89.0% [90% CI: 87.2, 90.6%] of the top-5% KVS candidates also appear in the top-5% of the additive ranking. The 11% divergence consists of candidates with heterogeneous profiles that the additive rule admits (compensating strengths) but KVS excludes (Axiom 5 veto). Whether these candidates should be included or excluded is a normative question, not an empirical one. Adopting the additive rule over KVS changes approximately 1-in-9 top-tier selections.</w:t>
      </w:r>
    </w:p>
    <w:p>
      <w:pPr>
        <w:spacing w:before="200" w:after="80"/>
      </w:pPr>
      <w:r>
        <w:rPr>
          <w:rFonts w:ascii="Times New Roman" w:cs="Times New Roman" w:eastAsia="Times New Roman" w:hAnsi="Times New Roman"/>
          <w:b/>
          <w:bCs/>
          <w:i/>
          <w:iCs/>
          <w:color w:val="333333"/>
          <w:sz w:val="24"/>
          <w:szCs w:val="24"/>
        </w:rPr>
        <w:t xml:space="preserve">Decision-Theoretic Comparison (Corrected)</w:t>
      </w:r>
    </w:p>
    <w:p>
      <w:pPr>
        <w:spacing w:before="80" w:after="80" w:line="276"/>
        <w:jc w:val="both"/>
      </w:pPr>
      <w:r>
        <w:rPr>
          <w:rFonts w:ascii="Times New Roman" w:cs="Times New Roman" w:eastAsia="Times New Roman" w:hAnsi="Times New Roman"/>
          <w:sz w:val="24"/>
          <w:szCs w:val="24"/>
        </w:rPr>
        <w:t xml:space="preserve">We consider three hypothetical outcome functions: Q_mult_noisy (true quality is multiplicative, observed with log-normal noise, σ = 0.30); Q_add (true quality is additive); Q_threshold (Q = 1 iff all factors &gt; 0.5, else Q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400"/>
        <w:gridCol w:w="3000"/>
      </w:tblGrid>
      <w:tr>
        <w:tc>
          <w:tcPr>
            <w:tcW w:type="dxa" w:w="39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Outcome Function</w:t>
            </w:r>
          </w:p>
        </w:tc>
        <w:tc>
          <w:tcPr>
            <w:tcW w:type="dxa" w:w="24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KVS Top-5% Recall</w:t>
            </w:r>
          </w:p>
        </w:tc>
        <w:tc>
          <w:tcPr>
            <w:tcW w:type="dxa" w:w="30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ADD Top-5% Recall</w:t>
            </w:r>
          </w:p>
        </w:tc>
      </w:tr>
      <w:tr>
        <w:tc>
          <w:tcPr>
            <w:tcW w:type="dxa" w:w="39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Q_mult_noisy (multiplicative + noise)</w:t>
            </w:r>
          </w:p>
        </w:tc>
        <w:tc>
          <w:tcPr>
            <w:tcW w:type="dxa" w:w="24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73.8% [71.2, 76.2]</w:t>
            </w:r>
          </w:p>
        </w:tc>
        <w:tc>
          <w:tcPr>
            <w:tcW w:type="dxa" w:w="30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68.4% [66.0, 70.8]</w:t>
            </w:r>
          </w:p>
        </w:tc>
      </w:tr>
      <w:tr>
        <w:tc>
          <w:tcPr>
            <w:tcW w:type="dxa" w:w="39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Q_add (additive outcome function)</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89.0% [87.2, 90.6]</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100.0% (by construction)</w:t>
            </w:r>
          </w:p>
        </w:tc>
      </w:tr>
      <w:tr>
        <w:tc>
          <w:tcPr>
            <w:tcW w:type="dxa" w:w="39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Q_threshold (all factors &gt; 0.5)</w:t>
            </w:r>
          </w:p>
        </w:tc>
        <w:tc>
          <w:tcPr>
            <w:tcW w:type="dxa" w:w="24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58.8% [56.1, 61.5]</w:t>
            </w:r>
          </w:p>
        </w:tc>
        <w:tc>
          <w:tcPr>
            <w:tcW w:type="dxa" w:w="30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51.2% [48.6, 54.1]</w:t>
            </w:r>
          </w:p>
        </w:tc>
      </w:tr>
    </w:tbl>
    <w:p>
      <w:pPr>
        <w:spacing w:before="100" w:after="100"/>
      </w:pPr>
    </w:p>
    <w:p>
      <w:pPr>
        <w:spacing w:before="80" w:after="80" w:line="276"/>
        <w:jc w:val="both"/>
      </w:pPr>
      <w:r>
        <w:rPr>
          <w:rFonts w:ascii="Times New Roman" w:cs="Times New Roman" w:eastAsia="Times New Roman" w:hAnsi="Times New Roman"/>
          <w:sz w:val="24"/>
          <w:szCs w:val="24"/>
        </w:rPr>
        <w:t xml:space="preserve">Four findings warrant discussion. Under Q_mult_noisy, KVS achieves 73.8% recall against the additive scorer's 68.4%—a 5.4 percentage point advantage with non-overlapping confidence intervals, providing the interpretive benchmark absent from prior drafts. A random top-5% selector would achieve 5% recall by construction; both scorers vastly exceed this floor. The 73.8% figure is therefore not merely above chance but above a competitive alternative. The 26.2% miss rate reflects log-normal noise at σ = 0.30, not a model failure. Under Q_threshold—the most practically informative function, formalizing that improvements require minimum thresholds across all dimensions—KVS outperforms the additive rule by 7.5 percentage points with non-overlapping confidence intervals across all thresholds and distributional variants tested.</w:t>
      </w:r>
    </w:p>
    <w:p>
      <w:pPr>
        <w:spacing w:before="200" w:after="80"/>
      </w:pPr>
      <w:r>
        <w:rPr>
          <w:rFonts w:ascii="Times New Roman" w:cs="Times New Roman" w:eastAsia="Times New Roman" w:hAnsi="Times New Roman"/>
          <w:b/>
          <w:bCs/>
          <w:i/>
          <w:iCs/>
          <w:color w:val="333333"/>
          <w:sz w:val="24"/>
          <w:szCs w:val="24"/>
        </w:rPr>
        <w:t xml:space="preserve">Sensitivity Analysis: Distributional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60"/>
        <w:gridCol w:w="2100"/>
        <w:gridCol w:w="1800"/>
        <w:gridCol w:w="1800"/>
      </w:tblGrid>
      <w:tr>
        <w:tc>
          <w:tcPr>
            <w:tcW w:type="dxa" w:w="36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Parameter Variant</w:t>
            </w:r>
          </w:p>
        </w:tc>
        <w:tc>
          <w:tcPr>
            <w:tcW w:type="dxa" w:w="21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Overlap (KVS∩ADD)</w:t>
            </w:r>
          </w:p>
        </w:tc>
        <w:tc>
          <w:tcPr>
            <w:tcW w:type="dxa" w:w="18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Thresh. KVS Recall</w:t>
            </w:r>
          </w:p>
        </w:tc>
        <w:tc>
          <w:tcPr>
            <w:tcW w:type="dxa" w:w="18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Thresh. ADD Recall</w:t>
            </w:r>
          </w:p>
        </w:tc>
      </w:tr>
      <w:tr>
        <w:tc>
          <w:tcPr>
            <w:tcW w:type="dxa" w:w="36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Baseline (Beta(2,2), LN(0.6,0.55))</w:t>
            </w:r>
          </w:p>
        </w:tc>
        <w:tc>
          <w:tcPr>
            <w:tcW w:type="dxa" w:w="21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89.0%</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58.8%</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51.4%</w:t>
            </w:r>
          </w:p>
        </w:tc>
      </w:tr>
      <w:tr>
        <w:tc>
          <w:tcPr>
            <w:tcW w:type="dxa" w:w="3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Skewed-low N (Beta(1,3))</w:t>
            </w:r>
          </w:p>
        </w:tc>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77.2%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92.5%</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75.6%</w:t>
            </w:r>
          </w:p>
        </w:tc>
      </w:tr>
      <w:tr>
        <w:tc>
          <w:tcPr>
            <w:tcW w:type="dxa" w:w="36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Skewed-high N (Beta(3,1))</w:t>
            </w:r>
          </w:p>
        </w:tc>
        <w:tc>
          <w:tcPr>
            <w:tcW w:type="dxa" w:w="21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92.0%</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40.8%</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37.7%</w:t>
            </w:r>
          </w:p>
        </w:tc>
      </w:tr>
      <w:tr>
        <w:tc>
          <w:tcPr>
            <w:tcW w:type="dxa" w:w="3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Low-impact (LN(0.2,0.55))</w:t>
            </w:r>
          </w:p>
        </w:tc>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86.2%</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77.0%</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65.5%</w:t>
            </w:r>
          </w:p>
        </w:tc>
      </w:tr>
      <w:tr>
        <w:tc>
          <w:tcPr>
            <w:tcW w:type="dxa" w:w="36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High-impact (LN(1.2,0.55))</w:t>
            </w:r>
          </w:p>
        </w:tc>
        <w:tc>
          <w:tcPr>
            <w:tcW w:type="dxa" w:w="21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91.2%</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47.3%</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42.9%</w:t>
            </w:r>
          </w:p>
        </w:tc>
      </w:tr>
      <w:tr>
        <w:tc>
          <w:tcPr>
            <w:tcW w:type="dxa" w:w="36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Wide-impact spread (LN(0.6,1.10))</w:t>
            </w:r>
          </w:p>
        </w:tc>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89.7%</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65.7%</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58.0%</w:t>
            </w:r>
          </w:p>
        </w:tc>
      </w:tr>
    </w:tbl>
    <w:p>
      <w:pPr>
        <w:spacing w:before="100" w:after="100"/>
      </w:pPr>
    </w:p>
    <w:p>
      <w:pPr>
        <w:spacing w:before="80" w:after="80" w:line="276"/>
        <w:jc w:val="both"/>
      </w:pPr>
      <w:r>
        <w:rPr>
          <w:rFonts w:ascii="Times New Roman" w:cs="Times New Roman" w:eastAsia="Times New Roman" w:hAnsi="Times New Roman"/>
          <w:sz w:val="24"/>
          <w:szCs w:val="24"/>
        </w:rPr>
        <w:t xml:space="preserve">KVS maintains its advantage over ADD under Q_threshold across all six distributional variants. Overlap remains between 77–92% across all parameter sets.</w:t>
      </w:r>
    </w:p>
    <w:p>
      <w:pPr>
        <w:spacing w:before="200" w:after="80"/>
      </w:pPr>
      <w:r>
        <w:rPr>
          <w:rFonts w:ascii="Times New Roman" w:cs="Times New Roman" w:eastAsia="Times New Roman" w:hAnsi="Times New Roman"/>
          <w:b/>
          <w:bCs/>
          <w:i/>
          <w:iCs/>
          <w:color w:val="333333"/>
          <w:sz w:val="24"/>
          <w:szCs w:val="24"/>
        </w:rPr>
        <w:t xml:space="preserve">Sensitivity Analysis: Top-k Threshold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Top-k Fraction</w:t>
            </w:r>
          </w:p>
        </w:tc>
        <w:tc>
          <w:tcPr>
            <w:tcW w:type="dxa" w:w="23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KVS∩ADD Overlap</w:t>
            </w:r>
          </w:p>
        </w:tc>
        <w:tc>
          <w:tcPr>
            <w:tcW w:type="dxa" w:w="23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Thresh. KVS Recall</w:t>
            </w:r>
          </w:p>
        </w:tc>
        <w:tc>
          <w:tcPr>
            <w:tcW w:type="dxa" w:w="234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Thresh. ADD Recall</w:t>
            </w:r>
          </w:p>
        </w:tc>
      </w:tr>
      <w:tr>
        <w:tc>
          <w:tcPr>
            <w:tcW w:type="dxa" w:w="234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Top-1%</w:t>
            </w:r>
          </w:p>
        </w:tc>
        <w:tc>
          <w:tcPr>
            <w:tcW w:type="dxa" w:w="234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93.0%</w:t>
            </w:r>
          </w:p>
        </w:tc>
        <w:tc>
          <w:tcPr>
            <w:tcW w:type="dxa" w:w="234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14.9%</w:t>
            </w:r>
          </w:p>
        </w:tc>
        <w:tc>
          <w:tcPr>
            <w:tcW w:type="dxa" w:w="234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14.4%</w:t>
            </w:r>
          </w:p>
        </w:tc>
      </w:tr>
      <w:tr>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Top-2%</w:t>
            </w:r>
          </w:p>
        </w:tc>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90.5%</w:t>
            </w:r>
          </w:p>
        </w:tc>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28.6%</w:t>
            </w:r>
          </w:p>
        </w:tc>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26.1%</w:t>
            </w:r>
          </w:p>
        </w:tc>
      </w:tr>
      <w:tr>
        <w:tc>
          <w:tcPr>
            <w:tcW w:type="dxa" w:w="234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Top-5%</w:t>
            </w:r>
          </w:p>
        </w:tc>
        <w:tc>
          <w:tcPr>
            <w:tcW w:type="dxa" w:w="234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89.0%</w:t>
            </w:r>
          </w:p>
        </w:tc>
        <w:tc>
          <w:tcPr>
            <w:tcW w:type="dxa" w:w="234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58.8%</w:t>
            </w:r>
          </w:p>
        </w:tc>
        <w:tc>
          <w:tcPr>
            <w:tcW w:type="dxa" w:w="234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51.1%</w:t>
            </w:r>
          </w:p>
        </w:tc>
      </w:tr>
      <w:tr>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Top-7%</w:t>
            </w:r>
          </w:p>
        </w:tc>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88.1%</w:t>
            </w:r>
          </w:p>
        </w:tc>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72.2%</w:t>
            </w:r>
          </w:p>
        </w:tc>
        <w:tc>
          <w:tcPr>
            <w:tcW w:type="dxa" w:w="234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62.7%</w:t>
            </w:r>
          </w:p>
        </w:tc>
      </w:tr>
      <w:tr>
        <w:tc>
          <w:tcPr>
            <w:tcW w:type="dxa" w:w="234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Top-10%</w:t>
            </w:r>
          </w:p>
        </w:tc>
        <w:tc>
          <w:tcPr>
            <w:tcW w:type="dxa" w:w="234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87.7%</w:t>
            </w:r>
          </w:p>
        </w:tc>
        <w:tc>
          <w:tcPr>
            <w:tcW w:type="dxa" w:w="234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85.0%</w:t>
            </w:r>
          </w:p>
        </w:tc>
        <w:tc>
          <w:tcPr>
            <w:tcW w:type="dxa" w:w="234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74.7%</w:t>
            </w:r>
          </w:p>
        </w:tc>
      </w:tr>
    </w:tbl>
    <w:p>
      <w:pPr>
        <w:pStyle w:val="Heading2"/>
        <w:spacing w:before="240" w:after="120"/>
      </w:pPr>
      <w:r>
        <w:rPr>
          <w:rFonts w:ascii="Times New Roman" w:cs="Times New Roman" w:eastAsia="Times New Roman" w:hAnsi="Times New Roman"/>
          <w:b/>
          <w:bCs/>
          <w:color w:val="1F6B75"/>
          <w:sz w:val="26"/>
          <w:szCs w:val="26"/>
        </w:rPr>
        <w:t xml:space="preserve">5.4 Pre-Registered Empirical Validation Path</w:t>
      </w:r>
    </w:p>
    <w:p>
      <w:pPr>
        <w:spacing w:before="80" w:after="80" w:line="276"/>
        <w:jc w:val="both"/>
      </w:pPr>
      <w:r>
        <w:rPr>
          <w:rFonts w:ascii="Times New Roman" w:cs="Times New Roman" w:eastAsia="Times New Roman" w:hAnsi="Times New Roman"/>
          <w:sz w:val="24"/>
          <w:szCs w:val="24"/>
        </w:rPr>
        <w:t xml:space="preserve">Primary hypothesis. H₁: Among improvement candidates that meet the KVS ≥ κ threshold, the Spearman rank correlation between KVS score and realized outcome improvement (measured at 12 months post-adoption) is significantly greater than zero, stratified by substrate type.</w:t>
      </w:r>
    </w:p>
    <w:p>
      <w:pPr>
        <w:spacing w:before="80" w:after="80" w:line="276"/>
        <w:jc w:val="both"/>
      </w:pPr>
      <w:r>
        <w:rPr>
          <w:rFonts w:ascii="Times New Roman" w:cs="Times New Roman" w:eastAsia="Times New Roman" w:hAnsi="Times New Roman"/>
          <w:sz w:val="24"/>
          <w:szCs w:val="24"/>
        </w:rPr>
        <w:t xml:space="preserve">Minimum sample: n ≥ 30 adopted improvements per substrate type per organization, aggregated across ≥ 10 contributing organizations, for a minimum total of 300 outcome observations per substrate. This is achievable in high-frequency substrates within three to four years; lower-frequency substrates such as financial governance (2–3 IPS revisions per year per organization) may require a decade or more to reach the n ≥ 300 minimum.</w:t>
      </w:r>
    </w:p>
    <w:p>
      <w:pPr>
        <w:spacing w:before="80" w:after="80" w:line="276"/>
        <w:jc w:val="both"/>
      </w:pPr>
      <w:r>
        <w:rPr>
          <w:rFonts w:ascii="Times New Roman" w:cs="Times New Roman" w:eastAsia="Times New Roman" w:hAnsi="Times New Roman"/>
          <w:sz w:val="24"/>
          <w:szCs w:val="24"/>
        </w:rPr>
        <w:t xml:space="preserve">Reporting commitment: Results will be reported regardless of direction. If KVS is not predictive of realized outcomes, the framework will be characterized as a governance tool—transparent, auditable, and consistent—rather than a scientific measurement instrument.</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6. Substrate Demonstrations</w:t>
      </w:r>
    </w:p>
    <w:p>
      <w:pPr>
        <w:spacing w:before="80" w:after="80" w:line="276"/>
        <w:jc w:val="both"/>
      </w:pPr>
      <w:r>
        <w:rPr>
          <w:rFonts w:ascii="Times New Roman" w:cs="Times New Roman" w:eastAsia="Times New Roman" w:hAnsi="Times New Roman"/>
          <w:sz w:val="24"/>
          <w:szCs w:val="24"/>
        </w:rPr>
        <w:t xml:space="preserve">We demonstrate Meta-Kaizen across four substrates. These are worked illustrations of the framework's application mechanics, not empirical validations. A fifth example shows how a near-miss candidate is refined to clear the adoption gate, demonstrating KVS used both diagnostically and prescriptively.</w:t>
      </w:r>
    </w:p>
    <w:p>
      <w:pPr>
        <w:pStyle w:val="Heading2"/>
        <w:spacing w:before="240" w:after="120"/>
      </w:pPr>
      <w:r>
        <w:rPr>
          <w:rFonts w:ascii="Times New Roman" w:cs="Times New Roman" w:eastAsia="Times New Roman" w:hAnsi="Times New Roman"/>
          <w:b/>
          <w:bCs/>
          <w:color w:val="1F6B75"/>
          <w:sz w:val="26"/>
          <w:szCs w:val="26"/>
        </w:rPr>
        <w:t xml:space="preserve">6.1 Substrate 1: Investment Policy Statement</w:t>
      </w:r>
    </w:p>
    <w:p>
      <w:pPr>
        <w:spacing w:before="80" w:after="80" w:line="276"/>
        <w:jc w:val="both"/>
      </w:pPr>
      <w:r>
        <w:rPr>
          <w:rFonts w:ascii="Times New Roman" w:cs="Times New Roman" w:eastAsia="Times New Roman" w:hAnsi="Times New Roman"/>
          <w:sz w:val="24"/>
          <w:szCs w:val="24"/>
        </w:rPr>
        <w:t xml:space="preserve">Worked example—Domain: Mycorrhizal Networks. Improvement candidate: revise the IPS to include a correlation-aware allocation protocol, treating portfolio positions as nodes in a network where correlation represents proximity, and systematically allocating to low-correlation 'bridge'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Component</w:t>
            </w:r>
          </w:p>
        </w:tc>
        <w:tc>
          <w:tcPr>
            <w:tcW w:type="dxa" w:w="18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Value</w:t>
            </w:r>
          </w:p>
        </w:tc>
        <w:tc>
          <w:tcPr>
            <w:tcW w:type="dxa" w:w="53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Computation</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N (Novelty)</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0.91</w:t>
            </w:r>
          </w:p>
        </w:tc>
        <w:tc>
          <w:tcPr>
            <w:tcW w:type="dxa" w:w="53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Jaccard distance from prior 4 domains = 0.91</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I′ (Impact)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0.67</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Estimated 2.0 pp/yr ÷ I_max = 3.0</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C′ (Complexity)</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0.60</w:t>
            </w:r>
          </w:p>
        </w:tc>
        <w:tc>
          <w:tcPr>
            <w:tcW w:type="dxa" w:w="53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C = 1.4; two new data feeds required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 (Timeliness)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1.00</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Immediate relevance; h = 0 months</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KVS</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0.366</w:t>
            </w:r>
          </w:p>
        </w:tc>
        <w:tc>
          <w:tcPr>
            <w:tcW w:type="dxa" w:w="53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0.91 × 0.67 × 0.60 × 1.00 = 0.366</w:t>
            </w:r>
          </w:p>
        </w:tc>
      </w:tr>
    </w:tbl>
    <w:p>
      <w:pPr>
        <w:spacing w:before="100" w:after="100"/>
      </w:pPr>
    </w:p>
    <w:p>
      <w:pPr>
        <w:spacing w:before="80" w:after="80" w:line="276"/>
        <w:jc w:val="both"/>
      </w:pPr>
      <w:r>
        <w:rPr>
          <w:rFonts w:ascii="Times New Roman" w:cs="Times New Roman" w:eastAsia="Times New Roman" w:hAnsi="Times New Roman"/>
          <w:sz w:val="24"/>
          <w:szCs w:val="24"/>
        </w:rPr>
        <w:t xml:space="preserve">KVS = 0.366 &lt; κ = 0.50. The candidate does not automatically clear the gate. Diagnostic: the limiting factor is C′ = 0.60. If the protocol can be simplified to a single quarterly rebalancing step (C = 1.2, C′ = 0.80), KVS rises to 0.488—within override consideration but still below threshold. This illustrates KVS used diagnostically: identifying which factor is the binding constraint and enabling targeted improvement of the proposal.</w:t>
      </w:r>
    </w:p>
    <w:p>
      <w:pPr>
        <w:pStyle w:val="Heading2"/>
        <w:spacing w:before="240" w:after="120"/>
      </w:pPr>
      <w:r>
        <w:rPr>
          <w:rFonts w:ascii="Times New Roman" w:cs="Times New Roman" w:eastAsia="Times New Roman" w:hAnsi="Times New Roman"/>
          <w:b/>
          <w:bCs/>
          <w:color w:val="1F6B75"/>
          <w:sz w:val="26"/>
          <w:szCs w:val="26"/>
        </w:rPr>
        <w:t xml:space="preserve">6.2 Substrate 2: Clinical Nursing Protocol</w:t>
      </w:r>
    </w:p>
    <w:p>
      <w:pPr>
        <w:spacing w:before="80" w:after="80" w:line="276"/>
        <w:jc w:val="both"/>
      </w:pPr>
      <w:r>
        <w:rPr>
          <w:rFonts w:ascii="Times New Roman" w:cs="Times New Roman" w:eastAsia="Times New Roman" w:hAnsi="Times New Roman"/>
          <w:sz w:val="24"/>
          <w:szCs w:val="24"/>
        </w:rPr>
        <w:t xml:space="preserve">Worked example—Domain: Agricultural Crop Rotation. Improvement candidate: implement a patient assignment rotation protocol in which nurses are systematically rotated through patient acuity categories on a pre-committed schedule, preventing expertise atrophy.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Component</w:t>
            </w:r>
          </w:p>
        </w:tc>
        <w:tc>
          <w:tcPr>
            <w:tcW w:type="dxa" w:w="18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Value</w:t>
            </w:r>
          </w:p>
        </w:tc>
        <w:tc>
          <w:tcPr>
            <w:tcW w:type="dxa" w:w="53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Computation</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N (Novelty)</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0.88</w:t>
            </w:r>
          </w:p>
        </w:tc>
        <w:tc>
          <w:tcPr>
            <w:tcW w:type="dxa" w:w="53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Jaccard distance from prior 4 domains = 0.88</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I′ (Impact)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0.60</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Estimated 3.0 pp/yr ÷ I_max = 5.0</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C′ (Complexity)</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0.80</w:t>
            </w:r>
          </w:p>
        </w:tc>
        <w:tc>
          <w:tcPr>
            <w:tcW w:type="dxa" w:w="53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C = 1.2; one new scheduling step</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 (Timeliness)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1.00</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Immediately relevant</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KVS</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0.422</w:t>
            </w:r>
          </w:p>
        </w:tc>
        <w:tc>
          <w:tcPr>
            <w:tcW w:type="dxa" w:w="53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0.88 × 0.60 × 0.80 × 1.00 = 0.422</w:t>
            </w:r>
          </w:p>
        </w:tc>
      </w:tr>
    </w:tbl>
    <w:p>
      <w:pPr>
        <w:spacing w:before="100" w:after="100"/>
      </w:pPr>
    </w:p>
    <w:p>
      <w:pPr>
        <w:spacing w:before="80" w:after="80" w:line="276"/>
        <w:jc w:val="both"/>
      </w:pPr>
      <w:r>
        <w:rPr>
          <w:rFonts w:ascii="Times New Roman" w:cs="Times New Roman" w:eastAsia="Times New Roman" w:hAnsi="Times New Roman"/>
          <w:sz w:val="24"/>
          <w:szCs w:val="24"/>
        </w:rPr>
        <w:t xml:space="preserve">KVS = 0.422 &lt; κ. Strengthening the impact estimate to 3.5 pp (I′ = 0.70) raises KVS to 0.493—one plausible refinement from the gate. The diagnostic question becomes: is 3.5 pp/yr reduction in adverse events defensible from analogous rotation evidence in similar units?</w:t>
      </w:r>
    </w:p>
    <w:p>
      <w:pPr>
        <w:pStyle w:val="Heading2"/>
        <w:spacing w:before="240" w:after="120"/>
      </w:pPr>
      <w:r>
        <w:rPr>
          <w:rFonts w:ascii="Times New Roman" w:cs="Times New Roman" w:eastAsia="Times New Roman" w:hAnsi="Times New Roman"/>
          <w:b/>
          <w:bCs/>
          <w:color w:val="1F6B75"/>
          <w:sz w:val="26"/>
          <w:szCs w:val="26"/>
        </w:rPr>
        <w:t xml:space="preserve">6.3 Substrate 3: Software Delivery Standards (DORA)</w:t>
      </w:r>
    </w:p>
    <w:p>
      <w:pPr>
        <w:spacing w:before="80" w:after="80" w:line="276"/>
        <w:jc w:val="both"/>
      </w:pPr>
      <w:r>
        <w:rPr>
          <w:rFonts w:ascii="Times New Roman" w:cs="Times New Roman" w:eastAsia="Times New Roman" w:hAnsi="Times New Roman"/>
          <w:sz w:val="24"/>
          <w:szCs w:val="24"/>
        </w:rPr>
        <w:t xml:space="preserve">Worked example—Domain: Lean Flow Manufacturing. Improvement candidate: introduce a 'deployment pipeline value stream map' treating each pipeline stage as a manufacturing workstation, identifying and eliminating non-value-added wait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Component</w:t>
            </w:r>
          </w:p>
        </w:tc>
        <w:tc>
          <w:tcPr>
            <w:tcW w:type="dxa" w:w="18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Value</w:t>
            </w:r>
          </w:p>
        </w:tc>
        <w:tc>
          <w:tcPr>
            <w:tcW w:type="dxa" w:w="53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Computation</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N (Novelty)</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0.91</w:t>
            </w:r>
          </w:p>
        </w:tc>
        <w:tc>
          <w:tcPr>
            <w:tcW w:type="dxa" w:w="53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Jaccard distance from prior 4 domains = 0.91</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I′ (Impact)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0.60</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Estimated 30% lead-time reduction ÷ I_max = 50%</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C′ (Complexity)</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0.60</w:t>
            </w:r>
          </w:p>
        </w:tc>
        <w:tc>
          <w:tcPr>
            <w:tcW w:type="dxa" w:w="53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C = 1.4; requires VSM workshop + tooling</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 (Timeliness)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1.00</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Immediately relevant</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KVS</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0.328</w:t>
            </w:r>
          </w:p>
        </w:tc>
        <w:tc>
          <w:tcPr>
            <w:tcW w:type="dxa" w:w="53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0.91 × 0.60 × 0.60 × 1.00 = 0.328</w:t>
            </w:r>
          </w:p>
        </w:tc>
      </w:tr>
    </w:tbl>
    <w:p>
      <w:pPr>
        <w:spacing w:before="100" w:after="100"/>
      </w:pPr>
    </w:p>
    <w:p>
      <w:pPr>
        <w:spacing w:before="80" w:after="80" w:line="276"/>
        <w:jc w:val="both"/>
      </w:pPr>
      <w:r>
        <w:rPr>
          <w:rFonts w:ascii="Times New Roman" w:cs="Times New Roman" w:eastAsia="Times New Roman" w:hAnsi="Times New Roman"/>
          <w:sz w:val="24"/>
          <w:szCs w:val="24"/>
        </w:rPr>
        <w:t xml:space="preserve">KVS = 0.328 &lt; κ. Refinement path: if the VSM registry can be automated (C → 1.0, C′ → 1.00) and the impact estimate sharpened to 40% lead-time reduction (I′ = 0.80), KVS rises to 0.728—well above threshold. The automation investment required to bring C to 1.0 is itself a candidate for KVS scoring.</w:t>
      </w:r>
    </w:p>
    <w:p>
      <w:pPr>
        <w:pStyle w:val="Heading2"/>
        <w:spacing w:before="240" w:after="120"/>
      </w:pPr>
      <w:r>
        <w:rPr>
          <w:rFonts w:ascii="Times New Roman" w:cs="Times New Roman" w:eastAsia="Times New Roman" w:hAnsi="Times New Roman"/>
          <w:b/>
          <w:bCs/>
          <w:color w:val="1F6B75"/>
          <w:sz w:val="26"/>
          <w:szCs w:val="26"/>
        </w:rPr>
        <w:t xml:space="preserve">6.4 Substrate 4: Lean Manufacturing Process Specifications</w:t>
      </w:r>
    </w:p>
    <w:p>
      <w:pPr>
        <w:spacing w:before="80" w:after="80" w:line="276"/>
        <w:jc w:val="both"/>
      </w:pPr>
      <w:r>
        <w:rPr>
          <w:rFonts w:ascii="Times New Roman" w:cs="Times New Roman" w:eastAsia="Times New Roman" w:hAnsi="Times New Roman"/>
          <w:sz w:val="24"/>
          <w:szCs w:val="24"/>
        </w:rPr>
        <w:t xml:space="preserve">Worked example—Domain: Wabi-Sabi Aesthetics. Improvement candidate: revise the process specification to explicitly permit 'good enough' intermediate states in setup operations, reducing setup anxiety and enabling faster SMED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Component</w:t>
            </w:r>
          </w:p>
        </w:tc>
        <w:tc>
          <w:tcPr>
            <w:tcW w:type="dxa" w:w="180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Value</w:t>
            </w:r>
          </w:p>
        </w:tc>
        <w:tc>
          <w:tcPr>
            <w:tcW w:type="dxa" w:w="5360"/>
            <w:tcBorders>
              <w:top w:val="single" w:color="BBBBBB" w:sz="1"/>
              <w:left w:val="single" w:color="BBBBBB" w:sz="1"/>
              <w:bottom w:val="single" w:color="BBBBBB" w:sz="1"/>
              <w:right w:val="single" w:color="BBBBBB" w:sz="1"/>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Computation</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N (Novelty)</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0.94</w:t>
            </w:r>
          </w:p>
        </w:tc>
        <w:tc>
          <w:tcPr>
            <w:tcW w:type="dxa" w:w="53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Jaccard distance from prior 4 domains = 0.94</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I′ (Impact)</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0.50</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Estimated 5% OEE improvement ÷ I_max = 10%</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C′ (Complexity)</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1.00</w:t>
            </w:r>
          </w:p>
        </w:tc>
        <w:tc>
          <w:tcPr>
            <w:tcW w:type="dxa" w:w="53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C = 1.0; document change only, no new steps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T (Timeliness)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1.00</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Times New Roman" w:cs="Times New Roman" w:eastAsia="Times New Roman" w:hAnsi="Times New Roman"/>
                <w:sz w:val="22"/>
                <w:szCs w:val="22"/>
              </w:rPr>
              <w:t xml:space="preserve">Immediately relevant</w:t>
            </w:r>
          </w:p>
        </w:tc>
      </w:tr>
      <w:tr>
        <w:tc>
          <w:tcPr>
            <w:tcW w:type="dxa" w:w="22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KVS</w:t>
            </w:r>
          </w:p>
        </w:tc>
        <w:tc>
          <w:tcPr>
            <w:tcW w:type="dxa" w:w="180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0.470</w:t>
            </w:r>
          </w:p>
        </w:tc>
        <w:tc>
          <w:tcPr>
            <w:tcW w:type="dxa" w:w="5360"/>
            <w:tcBorders>
              <w:top w:val="single" w:color="BBBBBB" w:sz="1"/>
              <w:left w:val="single" w:color="BBBBBB" w:sz="1"/>
              <w:bottom w:val="single" w:color="BBBBBB" w:sz="1"/>
              <w:right w:val="single" w:color="BBBBBB" w:sz="1"/>
            </w:tcBorders>
            <w:shd w:fill="F9FBFD" w:val="clear"/>
            <w:tcMar>
              <w:top w:type="dxa" w:w="60"/>
              <w:left w:type="dxa" w:w="120"/>
              <w:bottom w:type="dxa" w:w="60"/>
              <w:right w:type="dxa" w:w="120"/>
            </w:tcMar>
          </w:tcPr>
          <w:p>
            <w:r>
              <w:rPr>
                <w:rFonts w:ascii="Times New Roman" w:cs="Times New Roman" w:eastAsia="Times New Roman" w:hAnsi="Times New Roman"/>
                <w:sz w:val="22"/>
                <w:szCs w:val="22"/>
              </w:rPr>
              <w:t xml:space="preserve">0.94 × 0.50 × 1.00 × 1.00 = 0.470</w:t>
            </w:r>
          </w:p>
        </w:tc>
      </w:tr>
    </w:tbl>
    <w:p>
      <w:pPr>
        <w:spacing w:before="100" w:after="100"/>
      </w:pPr>
    </w:p>
    <w:p>
      <w:pPr>
        <w:spacing w:before="80" w:after="80" w:line="276"/>
        <w:jc w:val="both"/>
      </w:pPr>
      <w:r>
        <w:rPr>
          <w:rFonts w:ascii="Times New Roman" w:cs="Times New Roman" w:eastAsia="Times New Roman" w:hAnsi="Times New Roman"/>
          <w:sz w:val="24"/>
          <w:szCs w:val="24"/>
        </w:rPr>
        <w:t xml:space="preserve">KVS = 0.470 &lt; κ, but the margin is narrow and C′ = 1.00 means complexity is not the limiting factor. The binding constraint is impact: I′ = 0.50 requires a 5% OEE improvement estimate.</w:t>
      </w:r>
    </w:p>
    <w:p>
      <w:pPr>
        <w:pStyle w:val="Heading2"/>
        <w:spacing w:before="240" w:after="120"/>
      </w:pPr>
      <w:r>
        <w:rPr>
          <w:rFonts w:ascii="Times New Roman" w:cs="Times New Roman" w:eastAsia="Times New Roman" w:hAnsi="Times New Roman"/>
          <w:b/>
          <w:bCs/>
          <w:color w:val="1F6B75"/>
          <w:sz w:val="26"/>
          <w:szCs w:val="26"/>
        </w:rPr>
        <w:t xml:space="preserve">6.5 Gate-Clearing Example: Refinement of Substrate 4</w:t>
      </w:r>
    </w:p>
    <w:p>
      <w:pPr>
        <w:spacing w:before="80" w:after="80" w:line="276"/>
        <w:jc w:val="both"/>
      </w:pPr>
      <w:r>
        <w:rPr>
          <w:rFonts w:ascii="Times New Roman" w:cs="Times New Roman" w:eastAsia="Times New Roman" w:hAnsi="Times New Roman"/>
          <w:sz w:val="24"/>
          <w:szCs w:val="24"/>
        </w:rPr>
        <w:t xml:space="preserve">This example demonstrates KVS used prescriptively rather than diagnostically. The Wabi-Sabi candidate (Section 6.4) nearly clears the gate; the question is whether the impact estimate is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EEF4EE"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Principal's inquiry at the gate</w:t>
            </w:r>
          </w:p>
          <w:p>
            <w:pPr>
              <w:spacing w:before="40" w:after="40" w:line="260"/>
            </w:pPr>
            <w:r>
              <w:rPr>
                <w:rFonts w:ascii="Times New Roman" w:cs="Times New Roman" w:eastAsia="Times New Roman" w:hAnsi="Times New Roman"/>
                <w:sz w:val="22"/>
                <w:szCs w:val="22"/>
              </w:rPr>
              <w:t xml:space="preserve">The scoring administrator reviews Substrate 4's candidate with KVS = 0.470 &lt; 0.50.</w:t>
            </w:r>
          </w:p>
          <w:p>
            <w:pPr>
              <w:spacing w:before="40" w:after="40" w:line="260"/>
            </w:pPr>
            <w:r>
              <w:rPr>
                <w:rFonts w:ascii="Times New Roman" w:cs="Times New Roman" w:eastAsia="Times New Roman" w:hAnsi="Times New Roman"/>
                <w:sz w:val="22"/>
                <w:szCs w:val="22"/>
              </w:rPr>
              <w:t xml:space="preserve">The diagnostic question: Is 5% OEE improvement (I′ = 0.50) conservative for a</w:t>
            </w:r>
          </w:p>
          <w:p>
            <w:pPr>
              <w:spacing w:before="40" w:after="40" w:line="260"/>
            </w:pPr>
            <w:r>
              <w:rPr>
                <w:rFonts w:ascii="Times New Roman" w:cs="Times New Roman" w:eastAsia="Times New Roman" w:hAnsi="Times New Roman"/>
                <w:sz w:val="22"/>
                <w:szCs w:val="22"/>
              </w:rPr>
              <w:t xml:space="preserve">document-only change (C′ = 1.00) with high novelty (N = 0.94)?</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Literature check: Shingo (1989) and Ohno (1988) both document that SMED cycle time</w:t>
            </w:r>
          </w:p>
          <w:p>
            <w:pPr>
              <w:spacing w:before="40" w:after="40" w:line="260"/>
            </w:pPr>
            <w:r>
              <w:rPr>
                <w:rFonts w:ascii="Times New Roman" w:cs="Times New Roman" w:eastAsia="Times New Roman" w:hAnsi="Times New Roman"/>
                <w:sz w:val="22"/>
                <w:szCs w:val="22"/>
              </w:rPr>
              <w:t xml:space="preserve">reductions of 7–12% are achievable through specification changes that reduce setup</w:t>
            </w:r>
          </w:p>
          <w:p>
            <w:pPr>
              <w:spacing w:before="40" w:after="40" w:line="260"/>
            </w:pPr>
            <w:r>
              <w:rPr>
                <w:rFonts w:ascii="Times New Roman" w:cs="Times New Roman" w:eastAsia="Times New Roman" w:hAnsi="Times New Roman"/>
                <w:sz w:val="22"/>
                <w:szCs w:val="22"/>
              </w:rPr>
              <w:t xml:space="preserve">operator anxiety and permission-seeking behavior. A 5.5% OEE improvement would be</w:t>
            </w:r>
          </w:p>
          <w:p>
            <w:pPr>
              <w:spacing w:before="40" w:after="40" w:line="260"/>
            </w:pPr>
            <w:r>
              <w:rPr>
                <w:rFonts w:ascii="Times New Roman" w:cs="Times New Roman" w:eastAsia="Times New Roman" w:hAnsi="Times New Roman"/>
                <w:sz w:val="22"/>
                <w:szCs w:val="22"/>
              </w:rPr>
              <w:t xml:space="preserve">conservative by this literature's standards.</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Revised estimate: I′ = 0.55 (estimated 5.5% OEE improvement ÷ I_max = 10%).</w:t>
            </w:r>
          </w:p>
          <w:p>
            <w:pPr>
              <w:spacing w:before="40" w:after="40" w:line="260"/>
            </w:pPr>
            <w:r>
              <w:rPr>
                <w:rFonts w:ascii="Times New Roman" w:cs="Times New Roman" w:eastAsia="Times New Roman" w:hAnsi="Times New Roman"/>
                <w:sz w:val="22"/>
                <w:szCs w:val="22"/>
              </w:rPr>
              <w:t xml:space="preserve">Revised KVS = 0.94 × 0.55 × 1.00 × 1.00 = 0.517 &gt; κ = 0.50.</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Decision: Surface to principal for adoption review. Note in audit log: impact estimate</w:t>
            </w:r>
          </w:p>
          <w:p>
            <w:pPr>
              <w:spacing w:before="40" w:after="40" w:line="260"/>
            </w:pPr>
            <w:r>
              <w:rPr>
                <w:rFonts w:ascii="Times New Roman" w:cs="Times New Roman" w:eastAsia="Times New Roman" w:hAnsi="Times New Roman"/>
                <w:sz w:val="22"/>
                <w:szCs w:val="22"/>
              </w:rPr>
              <w:t xml:space="preserve">revised from 5.0% to 5.5% based on literature check; original conservative estimate</w:t>
            </w:r>
          </w:p>
          <w:p>
            <w:pPr>
              <w:spacing w:before="40" w:after="40" w:line="260"/>
            </w:pPr>
            <w:r>
              <w:rPr>
                <w:rFonts w:ascii="Times New Roman" w:cs="Times New Roman" w:eastAsia="Times New Roman" w:hAnsi="Times New Roman"/>
                <w:sz w:val="22"/>
                <w:szCs w:val="22"/>
              </w:rPr>
              <w:t xml:space="preserve">documented.</w:t>
            </w:r>
          </w:p>
        </w:tc>
      </w:tr>
    </w:tbl>
    <w:p>
      <w:pPr>
        <w:spacing w:before="100" w:after="100"/>
      </w:pPr>
    </w:p>
    <w:p>
      <w:pPr>
        <w:spacing w:before="80" w:after="80" w:line="276"/>
        <w:jc w:val="both"/>
      </w:pPr>
      <w:r>
        <w:rPr>
          <w:rFonts w:ascii="Times New Roman" w:cs="Times New Roman" w:eastAsia="Times New Roman" w:hAnsi="Times New Roman"/>
          <w:i/>
          <w:iCs/>
          <w:color w:val="444444"/>
          <w:sz w:val="22"/>
          <w:szCs w:val="22"/>
        </w:rPr>
        <w:t xml:space="preserve">Note on the pattern of sub-threshold examples: Sections 6.1–6.4 all produce KVS &lt; κ. This is not a failure of the framework—it reflects that bisociative first-pass proposals from highly orthogonal domains (N ≈ 0.88–0.94) frequently require impact or complexity refinement before clearing the gate. The diagnostic function of KVS—identifying which factor is the binding constraint—is the primary value in these cases. Section 6.5 shows how the refinement process leads to gate-clearing.</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7. Discussion, Limitations, and Anticipatory Responses</w:t>
      </w:r>
    </w:p>
    <w:p>
      <w:pPr>
        <w:pStyle w:val="Heading2"/>
        <w:spacing w:before="240" w:after="120"/>
      </w:pPr>
      <w:r>
        <w:rPr>
          <w:rFonts w:ascii="Times New Roman" w:cs="Times New Roman" w:eastAsia="Times New Roman" w:hAnsi="Times New Roman"/>
          <w:b/>
          <w:bCs/>
          <w:color w:val="1F6B75"/>
          <w:sz w:val="26"/>
          <w:szCs w:val="26"/>
        </w:rPr>
        <w:t xml:space="preserve">7.1 What Meta-Kaizen Is and Is Not</w:t>
      </w:r>
    </w:p>
    <w:p>
      <w:pPr>
        <w:spacing w:before="80" w:after="80" w:line="276"/>
        <w:jc w:val="both"/>
      </w:pPr>
      <w:r>
        <w:rPr>
          <w:rFonts w:ascii="Times New Roman" w:cs="Times New Roman" w:eastAsia="Times New Roman" w:hAnsi="Times New Roman"/>
          <w:sz w:val="24"/>
          <w:szCs w:val="24"/>
        </w:rPr>
        <w:t xml:space="preserve">Meta-Kaizen is a formal scoring and governance framework. It is not a prediction system. KVS does not predict that a given improvement will succeed; it scores the a priori quality of the improvement candidate relative to four criteria. A KVS of 0.75 means the candidate is novel, impactful, low-complexity, and timely—not that it will produce the projected outcome.</w:t>
      </w:r>
    </w:p>
    <w:p>
      <w:pPr>
        <w:pStyle w:val="Heading2"/>
        <w:spacing w:before="240" w:after="120"/>
      </w:pPr>
      <w:r>
        <w:rPr>
          <w:rFonts w:ascii="Times New Roman" w:cs="Times New Roman" w:eastAsia="Times New Roman" w:hAnsi="Times New Roman"/>
          <w:b/>
          <w:bCs/>
          <w:color w:val="1F6B75"/>
          <w:sz w:val="26"/>
          <w:szCs w:val="26"/>
        </w:rPr>
        <w:t xml:space="preserve">7.2 The Subjectivity Problem</w:t>
      </w:r>
    </w:p>
    <w:p>
      <w:pPr>
        <w:spacing w:before="80" w:after="80" w:line="276"/>
        <w:jc w:val="both"/>
      </w:pPr>
      <w:r>
        <w:rPr>
          <w:rFonts w:ascii="Times New Roman" w:cs="Times New Roman" w:eastAsia="Times New Roman" w:hAnsi="Times New Roman"/>
          <w:sz w:val="24"/>
          <w:szCs w:val="24"/>
        </w:rPr>
        <w:t xml:space="preserve">The most common objection to scoring frameworks is that subjective inputs contaminate the output. Meta-Kaizen contains two subjective inputs: μ_j (impact estimate) and C_j (complexity estimate). Both are administrator judgments. The response is threefold: subjectivity is unavoidable in any a priori evaluation of unimplemented ideas; Meta-Kaizen makes subjectivity explicit, bounded, and logged rather than implicit and invisible; and the accountability structure creates statistical pressure toward calibration over time.</w:t>
      </w:r>
    </w:p>
    <w:p>
      <w:pPr>
        <w:pStyle w:val="Heading2"/>
        <w:spacing w:before="240" w:after="120"/>
      </w:pPr>
      <w:r>
        <w:rPr>
          <w:rFonts w:ascii="Times New Roman" w:cs="Times New Roman" w:eastAsia="Times New Roman" w:hAnsi="Times New Roman"/>
          <w:b/>
          <w:bCs/>
          <w:color w:val="1F6B75"/>
          <w:sz w:val="26"/>
          <w:szCs w:val="26"/>
        </w:rPr>
        <w:t xml:space="preserve">7.3 The Small-N Problem</w:t>
      </w:r>
    </w:p>
    <w:p>
      <w:pPr>
        <w:spacing w:before="80" w:after="80" w:line="276"/>
        <w:jc w:val="both"/>
      </w:pPr>
      <w:r>
        <w:rPr>
          <w:rFonts w:ascii="Times New Roman" w:cs="Times New Roman" w:eastAsia="Times New Roman" w:hAnsi="Times New Roman"/>
          <w:sz w:val="24"/>
          <w:szCs w:val="24"/>
        </w:rPr>
        <w:t xml:space="preserve">Any single organization's implementation will involve a small number of improvement candidates (5–15 per quarter). This is insufficient for statistical inference about the framework's effectiveness. The planned open-source software library (Section 8) is the mechanism for enabling multi-organization replication. The validation path sample size (n ≥ 300 per substrate) is achievable in high-frequency substrates within three to four years; lower-frequency substrates may require longer accumulation periods.</w:t>
      </w:r>
    </w:p>
    <w:p>
      <w:pPr>
        <w:pStyle w:val="Heading2"/>
        <w:spacing w:before="240" w:after="120"/>
      </w:pPr>
      <w:r>
        <w:rPr>
          <w:rFonts w:ascii="Times New Roman" w:cs="Times New Roman" w:eastAsia="Times New Roman" w:hAnsi="Times New Roman"/>
          <w:b/>
          <w:bCs/>
          <w:color w:val="1F6B75"/>
          <w:sz w:val="26"/>
          <w:szCs w:val="26"/>
        </w:rPr>
        <w:t xml:space="preserve">7.4 The Multiplicative Structure: Is It Justified?</w:t>
      </w:r>
    </w:p>
    <w:p>
      <w:pPr>
        <w:spacing w:before="80" w:after="80" w:line="276"/>
        <w:jc w:val="both"/>
      </w:pPr>
      <w:r>
        <w:rPr>
          <w:rFonts w:ascii="Times New Roman" w:cs="Times New Roman" w:eastAsia="Times New Roman" w:hAnsi="Times New Roman"/>
          <w:sz w:val="24"/>
          <w:szCs w:val="24"/>
        </w:rPr>
        <w:t xml:space="preserve">This objection is answered in Section 4.1 rather than deferred. The multiplicative structure is not a design choice requiring post-hoc defense; it is derived from Axioms 1 through 5. The additive form is shown to be inconsistent with Axiom 5 by direct proof. An organization that rejects Axiom 5 should use the additive scoring variant; the library implements both.</w:t>
      </w:r>
    </w:p>
    <w:p>
      <w:pPr>
        <w:pStyle w:val="Heading2"/>
        <w:spacing w:before="240" w:after="120"/>
      </w:pPr>
      <w:r>
        <w:rPr>
          <w:rFonts w:ascii="Times New Roman" w:cs="Times New Roman" w:eastAsia="Times New Roman" w:hAnsi="Times New Roman"/>
          <w:b/>
          <w:bCs/>
          <w:color w:val="1F6B75"/>
          <w:sz w:val="26"/>
          <w:szCs w:val="26"/>
        </w:rPr>
        <w:t xml:space="preserve">7.5 The Validation Gap</w:t>
      </w:r>
    </w:p>
    <w:p>
      <w:pPr>
        <w:spacing w:before="80" w:after="80" w:line="276"/>
        <w:jc w:val="both"/>
      </w:pPr>
      <w:r>
        <w:rPr>
          <w:rFonts w:ascii="Times New Roman" w:cs="Times New Roman" w:eastAsia="Times New Roman" w:hAnsi="Times New Roman"/>
          <w:sz w:val="24"/>
          <w:szCs w:val="24"/>
        </w:rPr>
        <w:t xml:space="preserve">The most consequential limitation is that this paper cannot provide empirical evidence that KVS-selected improvements outperform unselected ones. The Section 5 simulation establishes structural properties of the scoring algorithm but cannot serve as a substitute for outcome data. We state this plainly and provide the pre-registered validation design. A framework that is formal, auditable, and self-referential has real governance value independent of its predictive validity.</w:t>
      </w:r>
    </w:p>
    <w:p>
      <w:pPr>
        <w:pStyle w:val="Heading2"/>
        <w:spacing w:before="240" w:after="120"/>
      </w:pPr>
      <w:r>
        <w:rPr>
          <w:rFonts w:ascii="Times New Roman" w:cs="Times New Roman" w:eastAsia="Times New Roman" w:hAnsi="Times New Roman"/>
          <w:b/>
          <w:bCs/>
          <w:color w:val="1F6B75"/>
          <w:sz w:val="26"/>
          <w:szCs w:val="26"/>
        </w:rPr>
        <w:t xml:space="preserve">7.6 Independence Axiom (Axiom 2) Violations</w:t>
      </w:r>
    </w:p>
    <w:p>
      <w:pPr>
        <w:spacing w:before="80" w:after="80" w:line="276"/>
        <w:jc w:val="both"/>
      </w:pPr>
      <w:r>
        <w:rPr>
          <w:rFonts w:ascii="Times New Roman" w:cs="Times New Roman" w:eastAsia="Times New Roman" w:hAnsi="Times New Roman"/>
          <w:sz w:val="24"/>
          <w:szCs w:val="24"/>
        </w:rPr>
        <w:t xml:space="preserve">Axiom 2 (Preferential Independence) may fail in practice. For example, a highly novel proposal (N near 1.0) from an unproven domain may be evaluated differently at high versus low impact levels—genuine interaction effects. Such violations would require relaxing to differential weights or even a non-additive-in-logs model. We note explicitly: the axiomatic derivation identifies Axiom 2 as the specific axiom to test and potentially revise. The empirical validation path (Section 5.4) should include tests of preferential independence across substrates.</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8. Software Implementation: The metakaizen Library (Specification)</w:t>
      </w:r>
    </w:p>
    <w:p>
      <w:pPr>
        <w:pStyle w:val="Heading2"/>
        <w:spacing w:before="240" w:after="120"/>
      </w:pPr>
      <w:r>
        <w:rPr>
          <w:rFonts w:ascii="Times New Roman" w:cs="Times New Roman" w:eastAsia="Times New Roman" w:hAnsi="Times New Roman"/>
          <w:b/>
          <w:bCs/>
          <w:color w:val="1F6B75"/>
          <w:sz w:val="26"/>
          <w:szCs w:val="26"/>
        </w:rPr>
        <w:t xml:space="preserve">8.1 Design Principles</w:t>
      </w:r>
    </w:p>
    <w:p>
      <w:pPr>
        <w:spacing w:before="80" w:after="80" w:line="276"/>
        <w:jc w:val="both"/>
      </w:pPr>
      <w:r>
        <w:rPr>
          <w:rFonts w:ascii="Times New Roman" w:cs="Times New Roman" w:eastAsia="Times New Roman" w:hAnsi="Times New Roman"/>
          <w:sz w:val="24"/>
          <w:szCs w:val="24"/>
        </w:rPr>
        <w:t xml:space="preserve">The following section specifies the planned metakaizen Python library architecture. The library is not yet publicly released; the specification is provided to establish the intended design and implementation contract. The repository will be published on GitHub under an open license prior to or concurrent with peer review.</w:t>
      </w:r>
    </w:p>
    <w:p>
      <w:pPr>
        <w:spacing w:before="80" w:after="80" w:line="276"/>
        <w:jc w:val="both"/>
      </w:pPr>
      <w:r>
        <w:rPr>
          <w:rFonts w:ascii="Times New Roman" w:cs="Times New Roman" w:eastAsia="Times New Roman" w:hAnsi="Times New Roman"/>
          <w:sz w:val="24"/>
          <w:szCs w:val="24"/>
        </w:rPr>
        <w:t xml:space="preserve">Design principles: Substrate agnosticism: all substrate-specific logic is isolated in adapter classes. Reproducibility: every KVS computation is logged with full input parameters. Auditability: the Master Decision Log is append-only and exports to CSV, JSON, and XLSX. Extensibility: the novelty metric, impact normalization, and complexity scale are replaceable without touching the core engine. Transparency: both KVS (multiplicative) and ADD (additive) scoring variants are implemented, enabling direct comparison.</w:t>
      </w:r>
    </w:p>
    <w:p>
      <w:pPr>
        <w:pStyle w:val="Heading2"/>
        <w:spacing w:before="240" w:after="120"/>
      </w:pPr>
      <w:r>
        <w:rPr>
          <w:rFonts w:ascii="Times New Roman" w:cs="Times New Roman" w:eastAsia="Times New Roman" w:hAnsi="Times New Roman"/>
          <w:b/>
          <w:bCs/>
          <w:color w:val="1F6B75"/>
          <w:sz w:val="26"/>
          <w:szCs w:val="26"/>
        </w:rPr>
        <w:t xml:space="preserve">8.2 Architecture</w:t>
      </w:r>
    </w:p>
    <w:p>
      <w:pPr>
        <w:spacing w:before="80" w:after="80" w:line="276"/>
        <w:jc w:val="both"/>
      </w:pPr>
      <w:r>
        <w:rPr>
          <w:rFonts w:ascii="Times New Roman" w:cs="Times New Roman" w:eastAsia="Times New Roman" w:hAnsi="Times New Roman"/>
          <w:sz w:val="24"/>
          <w:szCs w:val="24"/>
        </w:rPr>
        <w:t xml:space="preserve">Layer 1 (metakaizen.core): KVSScorer implementing Definition 4.1; NoveltyScorerJaccard implementing Definition 4.2; component normalizers implementing Definitions 4.3–4.5. Both multiplicative (KVS) and additive (ADD) scoring variants.</w:t>
      </w:r>
    </w:p>
    <w:p>
      <w:pPr>
        <w:spacing w:before="80" w:after="80" w:line="276"/>
        <w:jc w:val="both"/>
      </w:pPr>
      <w:r>
        <w:rPr>
          <w:rFonts w:ascii="Times New Roman" w:cs="Times New Roman" w:eastAsia="Times New Roman" w:hAnsi="Times New Roman"/>
          <w:sz w:val="24"/>
          <w:szCs w:val="24"/>
        </w:rPr>
        <w:t xml:space="preserve">Layer 2 (metakaizen.substrates): SubstrateAdapter base class; four concrete substrate implementations (IPS, clinical, DORA, lean manufacturing); custom adapter template.</w:t>
      </w:r>
    </w:p>
    <w:p>
      <w:pPr>
        <w:spacing w:before="80" w:after="80" w:line="276"/>
        <w:jc w:val="both"/>
      </w:pPr>
      <w:r>
        <w:rPr>
          <w:rFonts w:ascii="Times New Roman" w:cs="Times New Roman" w:eastAsia="Times New Roman" w:hAnsi="Times New Roman"/>
          <w:sz w:val="24"/>
          <w:szCs w:val="24"/>
        </w:rPr>
        <w:t xml:space="preserve">Layer 3 (metakaizen.rotation): DomainRotationScheduler; pre-committed schedule management; Jaccard distance enforcement; E[N] monitoring.</w:t>
      </w:r>
    </w:p>
    <w:p>
      <w:pPr>
        <w:spacing w:before="80" w:after="80" w:line="276"/>
        <w:jc w:val="both"/>
      </w:pPr>
      <w:r>
        <w:rPr>
          <w:rFonts w:ascii="Times New Roman" w:cs="Times New Roman" w:eastAsia="Times New Roman" w:hAnsi="Times New Roman"/>
          <w:sz w:val="24"/>
          <w:szCs w:val="24"/>
        </w:rPr>
        <w:t xml:space="preserve">Layer 4 (metakaizen.audit): MasterDecisionLog (append-only, timestamped); AnnualRetrospective report generator; override pattern analysis.</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9. Conclusion</w:t>
      </w:r>
    </w:p>
    <w:p>
      <w:pPr>
        <w:spacing w:before="80" w:after="80" w:line="276"/>
        <w:jc w:val="both"/>
      </w:pPr>
      <w:r>
        <w:rPr>
          <w:rFonts w:ascii="Times New Roman" w:cs="Times New Roman" w:eastAsia="Times New Roman" w:hAnsi="Times New Roman"/>
          <w:sz w:val="24"/>
          <w:szCs w:val="24"/>
        </w:rPr>
        <w:t xml:space="preserve">Kaizen has been one of the most consequential management innovations of the twentieth century. This paper provides its first complete formal mathematical foundation. Meta-Kaizen is a formally specified, substrate-agnostic, self-referential algorithm for continuous improvement of governance substrates. Its core contribution—the Kaizen Variation Score—is a bounded, monotone, multiplicative priority function with proved properties and a complete axiomatic derivation including the pinning of equal weights and unit exponents.</w:t>
      </w:r>
    </w:p>
    <w:p>
      <w:pPr>
        <w:spacing w:before="80" w:after="80" w:line="276"/>
        <w:jc w:val="both"/>
      </w:pPr>
      <w:r>
        <w:rPr>
          <w:rFonts w:ascii="Times New Roman" w:cs="Times New Roman" w:eastAsia="Times New Roman" w:hAnsi="Times New Roman"/>
          <w:sz w:val="24"/>
          <w:szCs w:val="24"/>
        </w:rPr>
        <w:t xml:space="preserve">The structural simulation analysis is conducted without claiming that mathematical properties of the scoring algorithm constitute evidence of predictive validity. The pre-registered validation design in Section 5.4 specifies exactly how that empirical test will be conducted. The distance between formal possibility and empirical reality is always populated by evidence. We invite the research community to help close it.</w:t>
      </w:r>
    </w:p>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Corrections Register</w:t>
      </w:r>
    </w:p>
    <w:p>
      <w:pPr>
        <w:spacing w:before="80" w:after="80" w:line="276"/>
        <w:jc w:val="both"/>
      </w:pPr>
      <w:r>
        <w:rPr>
          <w:rFonts w:ascii="Times New Roman" w:cs="Times New Roman" w:eastAsia="Times New Roman" w:hAnsi="Times New Roman"/>
          <w:sz w:val="24"/>
          <w:szCs w:val="24"/>
        </w:rPr>
        <w:t xml:space="preserve">This register documents substantive changes from earlier drafts. It is retained in the published version as evidence of the framework's self-correcting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FFF0F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Correction 1: Circular simulation replaced (Section 5)</w:t>
            </w:r>
          </w:p>
          <w:p>
            <w:pPr>
              <w:spacing w:before="40" w:after="40" w:line="260"/>
            </w:pPr>
            <w:r>
              <w:rPr>
                <w:rFonts w:ascii="Times New Roman" w:cs="Times New Roman" w:eastAsia="Times New Roman" w:hAnsi="Times New Roman"/>
                <w:sz w:val="22"/>
                <w:szCs w:val="22"/>
              </w:rPr>
              <w:t xml:space="preserve">Prior draft measured rank correlation between KVS and V* = (N + I′ + C′ + T)/4,</w:t>
            </w:r>
          </w:p>
          <w:p>
            <w:pPr>
              <w:spacing w:before="40" w:after="40" w:line="260"/>
            </w:pPr>
            <w:r>
              <w:rPr>
                <w:rFonts w:ascii="Times New Roman" w:cs="Times New Roman" w:eastAsia="Times New Roman" w:hAnsi="Times New Roman"/>
                <w:sz w:val="22"/>
                <w:szCs w:val="22"/>
              </w:rPr>
              <w:t xml:space="preserve">calling V* 'an independent ground truth.' V* is not independent—it is computed from the</w:t>
            </w:r>
          </w:p>
          <w:p>
            <w:pPr>
              <w:spacing w:before="40" w:after="40" w:line="260"/>
            </w:pPr>
            <w:r>
              <w:rPr>
                <w:rFonts w:ascii="Times New Roman" w:cs="Times New Roman" w:eastAsia="Times New Roman" w:hAnsi="Times New Roman"/>
                <w:sz w:val="22"/>
                <w:szCs w:val="22"/>
              </w:rPr>
              <w:t xml:space="preserve">same four inputs as KVS. An intermediate draft compounded this by defining Q_mult =</w:t>
            </w:r>
          </w:p>
          <w:p>
            <w:pPr>
              <w:spacing w:before="40" w:after="40" w:line="260"/>
            </w:pPr>
            <w:r>
              <w:rPr>
                <w:rFonts w:ascii="Times New Roman" w:cs="Times New Roman" w:eastAsia="Times New Roman" w:hAnsi="Times New Roman"/>
                <w:sz w:val="22"/>
                <w:szCs w:val="22"/>
              </w:rPr>
              <w:t xml:space="preserve">KVS.copy(), making the multiplicative recall test circular (100% by construction).</w:t>
            </w:r>
          </w:p>
          <w:p>
            <w:pPr>
              <w:spacing w:before="40" w:after="40" w:line="260"/>
            </w:pPr>
            <w:r>
              <w:rPr>
                <w:rFonts w:ascii="Times New Roman" w:cs="Times New Roman" w:eastAsia="Times New Roman" w:hAnsi="Times New Roman"/>
                <w:sz w:val="22"/>
                <w:szCs w:val="22"/>
              </w:rPr>
              <w:t xml:space="preserve"/>
            </w:r>
          </w:p>
          <w:p>
            <w:pPr>
              <w:spacing w:before="40" w:after="40" w:line="260"/>
            </w:pPr>
            <w:r>
              <w:rPr>
                <w:rFonts w:ascii="Times New Roman" w:cs="Times New Roman" w:eastAsia="Times New Roman" w:hAnsi="Times New Roman"/>
                <w:sz w:val="22"/>
                <w:szCs w:val="22"/>
              </w:rPr>
              <w:t xml:space="preserve">Section 5 has been replaced with a three-part structural simulation analysis. Q_mult is</w:t>
            </w:r>
          </w:p>
          <w:p>
            <w:pPr>
              <w:spacing w:before="40" w:after="40" w:line="260"/>
            </w:pPr>
            <w:r>
              <w:rPr>
                <w:rFonts w:ascii="Times New Roman" w:cs="Times New Roman" w:eastAsia="Times New Roman" w:hAnsi="Times New Roman"/>
                <w:sz w:val="22"/>
                <w:szCs w:val="22"/>
              </w:rPr>
              <w:t xml:space="preserve">now KVS × exp(N(0, 0.30))—multiplicative log-normal noise—producing a non-trivial</w:t>
            </w:r>
          </w:p>
          <w:p>
            <w:pPr>
              <w:spacing w:before="40" w:after="40" w:line="260"/>
            </w:pPr>
            <w:r>
              <w:rPr>
                <w:rFonts w:ascii="Times New Roman" w:cs="Times New Roman" w:eastAsia="Times New Roman" w:hAnsi="Times New Roman"/>
                <w:sz w:val="22"/>
                <w:szCs w:val="22"/>
              </w:rPr>
              <w:t xml:space="preserve">recall of 73.8% [90% CI: 71.2, 76.2]. Two sensitivity analyses added.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FFF0F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Correction 2: Axiom 6 derivation completed; α = 1 characterized as canonical choice (Section 4.1)</w:t>
            </w:r>
          </w:p>
          <w:p>
            <w:pPr>
              <w:spacing w:before="40" w:after="40" w:line="260"/>
            </w:pPr>
            <w:r>
              <w:rPr>
                <w:rFonts w:ascii="Times New Roman" w:cs="Times New Roman" w:eastAsia="Times New Roman" w:hAnsi="Times New Roman"/>
                <w:sz w:val="22"/>
                <w:szCs w:val="22"/>
              </w:rPr>
              <w:t xml:space="preserve">Prior draft derived equal exponents (α = β = γ = δ) from Axiom 6 but did not establish</w:t>
            </w:r>
          </w:p>
          <w:p>
            <w:pPr>
              <w:spacing w:before="40" w:after="40" w:line="260"/>
            </w:pPr>
            <w:r>
              <w:rPr>
                <w:rFonts w:ascii="Times New Roman" w:cs="Times New Roman" w:eastAsia="Times New Roman" w:hAnsi="Times New Roman"/>
                <w:sz w:val="22"/>
                <w:szCs w:val="22"/>
              </w:rPr>
              <w:t xml:space="preserve">why the common exponent α = 1 rather than some other positive value. The gap has been</w:t>
            </w:r>
          </w:p>
          <w:p>
            <w:pPr>
              <w:spacing w:before="40" w:after="40" w:line="260"/>
            </w:pPr>
            <w:r>
              <w:rPr>
                <w:rFonts w:ascii="Times New Roman" w:cs="Times New Roman" w:eastAsia="Times New Roman" w:hAnsi="Times New Roman"/>
                <w:sz w:val="22"/>
                <w:szCs w:val="22"/>
              </w:rPr>
              <w:t xml:space="preserve">closed by adding a Scale Normalization Condition grounded in Krantz et al. (1971, Ch. 9).</w:t>
            </w:r>
          </w:p>
          <w:p>
            <w:pPr>
              <w:spacing w:before="40" w:after="40" w:line="260"/>
            </w:pPr>
            <w:r>
              <w:rPr>
                <w:rFonts w:ascii="Times New Roman" w:cs="Times New Roman" w:eastAsia="Times New Roman" w:hAnsi="Times New Roman"/>
                <w:sz w:val="22"/>
                <w:szCs w:val="22"/>
              </w:rPr>
              <w:t xml:space="preserve">A further correction from v3 review: the Stage 4 derivation now explicitly states that</w:t>
            </w:r>
          </w:p>
          <w:p>
            <w:pPr>
              <w:spacing w:before="40" w:after="40" w:line="260"/>
            </w:pPr>
            <w:r>
              <w:rPr>
                <w:rFonts w:ascii="Times New Roman" w:cs="Times New Roman" w:eastAsia="Times New Roman" w:hAnsi="Times New Roman"/>
                <w:sz w:val="22"/>
                <w:szCs w:val="22"/>
              </w:rPr>
              <w:t xml:space="preserve">α = 1 is the canonical modeling choice under proportional normalization, not a uniquely</w:t>
            </w:r>
          </w:p>
          <w:p>
            <w:pPr>
              <w:spacing w:before="40" w:after="40" w:line="260"/>
            </w:pPr>
            <w:r>
              <w:rPr>
                <w:rFonts w:ascii="Times New Roman" w:cs="Times New Roman" w:eastAsia="Times New Roman" w:hAnsi="Times New Roman"/>
                <w:sz w:val="22"/>
                <w:szCs w:val="22"/>
              </w:rPr>
              <w:t xml:space="preserve">forced mathematical conclusion. Any α &gt; 0 is axiom-consistent; α = 1 is selected by the</w:t>
            </w:r>
          </w:p>
          <w:p>
            <w:pPr>
              <w:spacing w:before="40" w:after="40" w:line="260"/>
            </w:pPr>
            <w:r>
              <w:rPr>
                <w:rFonts w:ascii="Times New Roman" w:cs="Times New Roman" w:eastAsia="Times New Roman" w:hAnsi="Times New Roman"/>
                <w:sz w:val="22"/>
                <w:szCs w:val="22"/>
              </w:rPr>
              <w:t xml:space="preserve">parsimony principle that the scoring function is linear in each normalized component at</w:t>
            </w:r>
          </w:p>
          <w:p>
            <w:pPr>
              <w:spacing w:before="40" w:after="40" w:line="260"/>
            </w:pPr>
            <w:r>
              <w:rPr>
                <w:rFonts w:ascii="Times New Roman" w:cs="Times New Roman" w:eastAsia="Times New Roman" w:hAnsi="Times New Roman"/>
                <w:sz w:val="22"/>
                <w:szCs w:val="22"/>
              </w:rPr>
              <w:t xml:space="preserve">face value. Theorem 4.1 is updated to distinguish necessary derivations (multiplicative</w:t>
            </w:r>
          </w:p>
          <w:p>
            <w:pPr>
              <w:spacing w:before="40" w:after="40" w:line="260"/>
            </w:pPr>
            <w:r>
              <w:rPr>
                <w:rFonts w:ascii="Times New Roman" w:cs="Times New Roman" w:eastAsia="Times New Roman" w:hAnsi="Times New Roman"/>
                <w:sz w:val="22"/>
                <w:szCs w:val="22"/>
              </w:rPr>
              <w:t xml:space="preserve">structure, equal exponents) from the canonical choice (α = 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FFF0F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Correction 3: Theorem 4.3 asymmetric case fully characterized (Section 4.7)</w:t>
            </w:r>
          </w:p>
          <w:p>
            <w:pPr>
              <w:spacing w:before="40" w:after="40" w:line="260"/>
            </w:pPr>
            <w:r>
              <w:rPr>
                <w:rFonts w:ascii="Times New Roman" w:cs="Times New Roman" w:eastAsia="Times New Roman" w:hAnsi="Times New Roman"/>
                <w:sz w:val="22"/>
                <w:szCs w:val="22"/>
              </w:rPr>
              <w:t xml:space="preserve">Prior draft stated the asymmetric-case formula κ* = L_FN/(L_FP + L_FN) without proof.</w:t>
            </w:r>
          </w:p>
          <w:p>
            <w:pPr>
              <w:spacing w:before="40" w:after="40" w:line="260"/>
            </w:pPr>
            <w:r>
              <w:rPr>
                <w:rFonts w:ascii="Times New Roman" w:cs="Times New Roman" w:eastAsia="Times New Roman" w:hAnsi="Times New Roman"/>
                <w:sz w:val="22"/>
                <w:szCs w:val="22"/>
              </w:rPr>
              <w:t xml:space="preserve">The complete proof has been added for the symmetric case. The asymmetric formula is</w:t>
            </w:r>
          </w:p>
          <w:p>
            <w:pPr>
              <w:spacing w:before="40" w:after="40" w:line="260"/>
            </w:pPr>
            <w:r>
              <w:rPr>
                <w:rFonts w:ascii="Times New Roman" w:cs="Times New Roman" w:eastAsia="Times New Roman" w:hAnsi="Times New Roman"/>
                <w:sz w:val="22"/>
                <w:szCs w:val="22"/>
              </w:rPr>
              <w:t xml:space="preserve">now correctly characterized as requiring distributional assumptions (uniform score</w:t>
            </w:r>
          </w:p>
          <w:p>
            <w:pPr>
              <w:spacing w:before="40" w:after="40" w:line="260"/>
            </w:pPr>
            <w:r>
              <w:rPr>
                <w:rFonts w:ascii="Times New Roman" w:cs="Times New Roman" w:eastAsia="Times New Roman" w:hAnsi="Times New Roman"/>
                <w:sz w:val="22"/>
                <w:szCs w:val="22"/>
              </w:rPr>
              <w:t xml:space="preserve">distributions and uniform quality prior) and is presented as an approximation with</w:t>
            </w:r>
          </w:p>
          <w:p>
            <w:pPr>
              <w:spacing w:before="40" w:after="40" w:line="260"/>
            </w:pPr>
            <w:r>
              <w:rPr>
                <w:rFonts w:ascii="Times New Roman" w:cs="Times New Roman" w:eastAsia="Times New Roman" w:hAnsi="Times New Roman"/>
                <w:sz w:val="22"/>
                <w:szCs w:val="22"/>
              </w:rPr>
              <w:t xml:space="preserve">explicitly stated conditions, not a uniquely derived result.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FFF0F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Correction 4: Gate-clearing example added (Section 6.5)</w:t>
            </w:r>
          </w:p>
          <w:p>
            <w:pPr>
              <w:spacing w:before="40" w:after="40" w:line="260"/>
            </w:pPr>
            <w:r>
              <w:rPr>
                <w:rFonts w:ascii="Times New Roman" w:cs="Times New Roman" w:eastAsia="Times New Roman" w:hAnsi="Times New Roman"/>
                <w:sz w:val="22"/>
                <w:szCs w:val="22"/>
              </w:rPr>
              <w:t xml:space="preserve">Prior draft showed all four substrate examples with KVS &lt; κ, demonstrating only</w:t>
            </w:r>
          </w:p>
          <w:p>
            <w:pPr>
              <w:spacing w:before="40" w:after="40" w:line="260"/>
            </w:pPr>
            <w:r>
              <w:rPr>
                <w:rFonts w:ascii="Times New Roman" w:cs="Times New Roman" w:eastAsia="Times New Roman" w:hAnsi="Times New Roman"/>
                <w:sz w:val="22"/>
                <w:szCs w:val="22"/>
              </w:rPr>
              <w:t xml:space="preserve">diagnostic use. Section 6.5 adds a worked refinement of Substrate 4 showing how the</w:t>
            </w:r>
          </w:p>
          <w:p>
            <w:pPr>
              <w:spacing w:before="40" w:after="40" w:line="260"/>
            </w:pPr>
            <w:r>
              <w:rPr>
                <w:rFonts w:ascii="Times New Roman" w:cs="Times New Roman" w:eastAsia="Times New Roman" w:hAnsi="Times New Roman"/>
                <w:sz w:val="22"/>
                <w:szCs w:val="22"/>
              </w:rPr>
              <w:t xml:space="preserve">principal's literature review leads to a revised impact estimate that clears the gate,</w:t>
            </w:r>
          </w:p>
          <w:p>
            <w:pPr>
              <w:spacing w:before="40" w:after="40" w:line="260"/>
            </w:pPr>
            <w:r>
              <w:rPr>
                <w:rFonts w:ascii="Times New Roman" w:cs="Times New Roman" w:eastAsia="Times New Roman" w:hAnsi="Times New Roman"/>
                <w:sz w:val="22"/>
                <w:szCs w:val="22"/>
              </w:rPr>
              <w:t xml:space="preserve">demonstrating prescriptive as well as diagnostic 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FFF0F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Correction 5: Axiom 2 limitation acknowledged (Section 7.6)</w:t>
            </w:r>
          </w:p>
          <w:p>
            <w:pPr>
              <w:spacing w:before="40" w:after="40" w:line="260"/>
            </w:pPr>
            <w:r>
              <w:rPr>
                <w:rFonts w:ascii="Times New Roman" w:cs="Times New Roman" w:eastAsia="Times New Roman" w:hAnsi="Times New Roman"/>
                <w:sz w:val="22"/>
                <w:szCs w:val="22"/>
              </w:rPr>
              <w:t xml:space="preserve">Prior draft listed Axiom 2 (Independence) as a modeling assumption but did not discuss</w:t>
            </w:r>
          </w:p>
          <w:p>
            <w:pPr>
              <w:spacing w:before="40" w:after="40" w:line="260"/>
            </w:pPr>
            <w:r>
              <w:rPr>
                <w:rFonts w:ascii="Times New Roman" w:cs="Times New Roman" w:eastAsia="Times New Roman" w:hAnsi="Times New Roman"/>
                <w:sz w:val="22"/>
                <w:szCs w:val="22"/>
              </w:rPr>
              <w:t xml:space="preserve">what its failure would entail. Section 7.6 now explicitly names independence violation</w:t>
            </w:r>
          </w:p>
          <w:p>
            <w:pPr>
              <w:spacing w:before="40" w:after="40" w:line="260"/>
            </w:pPr>
            <w:r>
              <w:rPr>
                <w:rFonts w:ascii="Times New Roman" w:cs="Times New Roman" w:eastAsia="Times New Roman" w:hAnsi="Times New Roman"/>
                <w:sz w:val="22"/>
                <w:szCs w:val="22"/>
              </w:rPr>
              <w:t xml:space="preserve">as a testable limitation of the equal-weight derivation and identifies it as a target</w:t>
            </w:r>
          </w:p>
          <w:p>
            <w:pPr>
              <w:spacing w:before="40" w:after="40" w:line="260"/>
            </w:pPr>
            <w:r>
              <w:rPr>
                <w:rFonts w:ascii="Times New Roman" w:cs="Times New Roman" w:eastAsia="Times New Roman" w:hAnsi="Times New Roman"/>
                <w:sz w:val="22"/>
                <w:szCs w:val="22"/>
              </w:rPr>
              <w:t xml:space="preserve">for empirical testing in the validation path.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FFF0F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Correction 6: Missing reference added (Shingo, 1989)</w:t>
            </w:r>
          </w:p>
          <w:p>
            <w:pPr>
              <w:spacing w:before="40" w:after="40" w:line="260"/>
            </w:pPr>
            <w:r>
              <w:rPr>
                <w:rFonts w:ascii="Times New Roman" w:cs="Times New Roman" w:eastAsia="Times New Roman" w:hAnsi="Times New Roman"/>
                <w:sz w:val="22"/>
                <w:szCs w:val="22"/>
              </w:rPr>
              <w:t xml:space="preserve">Shingo (1989) was cited in Section 2.1 text of earlier drafts but absent from the</w:t>
            </w:r>
          </w:p>
          <w:p>
            <w:pPr>
              <w:spacing w:before="40" w:after="40" w:line="260"/>
            </w:pPr>
            <w:r>
              <w:rPr>
                <w:rFonts w:ascii="Times New Roman" w:cs="Times New Roman" w:eastAsia="Times New Roman" w:hAnsi="Times New Roman"/>
                <w:sz w:val="22"/>
                <w:szCs w:val="22"/>
              </w:rPr>
              <w:t xml:space="preserve">reference list. Full citation added to References.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gridSpan w:val="1"/>
            <w:tcBorders>
              <w:top w:val="single" w:color="BBBBBB" w:sz="1"/>
              <w:left w:val="single" w:color="BBBBBB" w:sz="1"/>
              <w:bottom w:val="single" w:color="BBBBBB" w:sz="1"/>
              <w:right w:val="single" w:color="BBBBBB" w:sz="1"/>
            </w:tcBorders>
            <w:shd w:fill="FFF0F0" w:val="clear"/>
            <w:tcMar>
              <w:top w:type="dxa" w:w="120"/>
              <w:left w:type="dxa" w:w="180"/>
              <w:bottom w:type="dxa" w:w="120"/>
              <w:right w:type="dxa" w:w="180"/>
            </w:tcMar>
          </w:tcPr>
          <w:p>
            <w:pPr>
              <w:spacing w:after="80"/>
            </w:pPr>
            <w:r>
              <w:rPr>
                <w:rFonts w:ascii="Times New Roman" w:cs="Times New Roman" w:eastAsia="Times New Roman" w:hAnsi="Times New Roman"/>
                <w:b/>
                <w:bCs/>
                <w:color w:val="1F3864"/>
                <w:sz w:val="24"/>
                <w:szCs w:val="24"/>
              </w:rPr>
              <w:t xml:space="preserve">Correction 7: Antifragility claim scoped (Section 2.5)</w:t>
            </w:r>
          </w:p>
          <w:p>
            <w:pPr>
              <w:spacing w:before="40" w:after="40" w:line="260"/>
            </w:pPr>
            <w:r>
              <w:rPr>
                <w:rFonts w:ascii="Times New Roman" w:cs="Times New Roman" w:eastAsia="Times New Roman" w:hAnsi="Times New Roman"/>
                <w:sz w:val="22"/>
                <w:szCs w:val="22"/>
              </w:rPr>
              <w:t xml:space="preserve">The antifragility claim is now precisely bounded: it applies to the governance selection</w:t>
            </w:r>
          </w:p>
          <w:p>
            <w:pPr>
              <w:spacing w:before="40" w:after="40" w:line="260"/>
            </w:pPr>
            <w:r>
              <w:rPr>
                <w:rFonts w:ascii="Times New Roman" w:cs="Times New Roman" w:eastAsia="Times New Roman" w:hAnsi="Times New Roman"/>
                <w:sz w:val="22"/>
                <w:szCs w:val="22"/>
              </w:rPr>
              <w:t xml:space="preserve">mechanism, not to any particular substrate outcome.</w:t>
            </w:r>
          </w:p>
        </w:tc>
      </w:tr>
    </w:tbl>
    <w:p>
      <w:pPr>
        <w:pBdr>
          <w:bottom w:val="single" w:color="CCCCCC" w:sz="4" w:space="4"/>
        </w:pBdr>
        <w:spacing w:before="160" w:after="160"/>
      </w:pPr>
    </w:p>
    <w:p>
      <w:pPr>
        <w:pStyle w:val="Heading1"/>
        <w:spacing w:before="320" w:after="160"/>
      </w:pPr>
      <w:r>
        <w:rPr>
          <w:rFonts w:ascii="Times New Roman" w:cs="Times New Roman" w:eastAsia="Times New Roman" w:hAnsi="Times New Roman"/>
          <w:b/>
          <w:bCs/>
          <w:color w:val="1F3864"/>
          <w:sz w:val="28"/>
          <w:szCs w:val="28"/>
        </w:rPr>
        <w:t xml:space="preserve">References</w:t>
      </w:r>
    </w:p>
    <w:p>
      <w:pPr>
        <w:spacing w:before="80" w:after="80" w:line="276"/>
        <w:jc w:val="both"/>
      </w:pPr>
      <w:r>
        <w:rPr>
          <w:rFonts w:ascii="Times New Roman" w:cs="Times New Roman" w:eastAsia="Times New Roman" w:hAnsi="Times New Roman"/>
          <w:sz w:val="24"/>
          <w:szCs w:val="24"/>
        </w:rPr>
        <w:t xml:space="preserve">Berwick, D. M. (1989). Continuous improvement as an ideal in health care. New England Journal of Medicine, 320(1), 53–56.</w:t>
      </w:r>
    </w:p>
    <w:p>
      <w:pPr>
        <w:spacing w:before="80" w:after="80" w:line="276"/>
        <w:jc w:val="both"/>
      </w:pPr>
      <w:r>
        <w:rPr>
          <w:rFonts w:ascii="Times New Roman" w:cs="Times New Roman" w:eastAsia="Times New Roman" w:hAnsi="Times New Roman"/>
          <w:sz w:val="24"/>
          <w:szCs w:val="24"/>
        </w:rPr>
        <w:t xml:space="preserve">Duda, R. O., Hart, P. E., &amp; Stork, D. G. (2001). Pattern classification (2nd ed.). Wiley-Interscience.</w:t>
      </w:r>
    </w:p>
    <w:p>
      <w:pPr>
        <w:spacing w:before="80" w:after="80" w:line="276"/>
        <w:jc w:val="both"/>
      </w:pPr>
      <w:r>
        <w:rPr>
          <w:rFonts w:ascii="Times New Roman" w:cs="Times New Roman" w:eastAsia="Times New Roman" w:hAnsi="Times New Roman"/>
          <w:sz w:val="24"/>
          <w:szCs w:val="24"/>
        </w:rPr>
        <w:t xml:space="preserve">Forsgren, N., Humble, J., &amp; Kim, G. (2018). Accelerate: The science of lean software and DevOps. IT Revolution Press.</w:t>
      </w:r>
    </w:p>
    <w:p>
      <w:pPr>
        <w:spacing w:before="80" w:after="80" w:line="276"/>
        <w:jc w:val="both"/>
      </w:pPr>
      <w:r>
        <w:rPr>
          <w:rFonts w:ascii="Times New Roman" w:cs="Times New Roman" w:eastAsia="Times New Roman" w:hAnsi="Times New Roman"/>
          <w:sz w:val="24"/>
          <w:szCs w:val="24"/>
        </w:rPr>
        <w:t xml:space="preserve">Imai, M. (1986). Kaizen: The key to Japan's competitive success. McGraw-Hill.</w:t>
      </w:r>
    </w:p>
    <w:p>
      <w:pPr>
        <w:spacing w:before="80" w:after="80" w:line="276"/>
        <w:jc w:val="both"/>
      </w:pPr>
      <w:r>
        <w:rPr>
          <w:rFonts w:ascii="Times New Roman" w:cs="Times New Roman" w:eastAsia="Times New Roman" w:hAnsi="Times New Roman"/>
          <w:sz w:val="24"/>
          <w:szCs w:val="24"/>
        </w:rPr>
        <w:t xml:space="preserve">Koestler, A. (1964). The act of creation. Penguin Books.</w:t>
      </w:r>
    </w:p>
    <w:p>
      <w:pPr>
        <w:spacing w:before="80" w:after="80" w:line="276"/>
        <w:jc w:val="both"/>
      </w:pPr>
      <w:r>
        <w:rPr>
          <w:rFonts w:ascii="Times New Roman" w:cs="Times New Roman" w:eastAsia="Times New Roman" w:hAnsi="Times New Roman"/>
          <w:sz w:val="24"/>
          <w:szCs w:val="24"/>
        </w:rPr>
        <w:t xml:space="preserve">Krantz, D. H., Luce, R. D., Suppes, P., &amp; Tversky, A. (1971). Foundations of measurement, Vol. 1: Additive and polynomial representations. Academic Press.</w:t>
      </w:r>
    </w:p>
    <w:p>
      <w:pPr>
        <w:spacing w:before="80" w:after="80" w:line="276"/>
        <w:jc w:val="both"/>
      </w:pPr>
      <w:r>
        <w:rPr>
          <w:rFonts w:ascii="Times New Roman" w:cs="Times New Roman" w:eastAsia="Times New Roman" w:hAnsi="Times New Roman"/>
          <w:sz w:val="24"/>
          <w:szCs w:val="24"/>
        </w:rPr>
        <w:t xml:space="preserve">Langley, G. L., Moen, R., Nolan, K. M., Nolan, T. W., Norman, C. L., &amp; Provost, L. P. (2009). The improvement guide (2nd ed.). Jossey-Bass.</w:t>
      </w:r>
    </w:p>
    <w:p>
      <w:pPr>
        <w:spacing w:before="80" w:after="80" w:line="276"/>
        <w:jc w:val="both"/>
      </w:pPr>
      <w:r>
        <w:rPr>
          <w:rFonts w:ascii="Times New Roman" w:cs="Times New Roman" w:eastAsia="Times New Roman" w:hAnsi="Times New Roman"/>
          <w:sz w:val="24"/>
          <w:szCs w:val="24"/>
        </w:rPr>
        <w:t xml:space="preserve">Luce, R. D., &amp; Tukey, J. W. (1964). Simultaneous conjoint measurement: A new type of fundamental measurement. Journal of Mathematical Psychology, 1(1), 1–27.</w:t>
      </w:r>
    </w:p>
    <w:p>
      <w:pPr>
        <w:spacing w:before="80" w:after="80" w:line="276"/>
        <w:jc w:val="both"/>
      </w:pPr>
      <w:r>
        <w:rPr>
          <w:rFonts w:ascii="Times New Roman" w:cs="Times New Roman" w:eastAsia="Times New Roman" w:hAnsi="Times New Roman"/>
          <w:sz w:val="24"/>
          <w:szCs w:val="24"/>
        </w:rPr>
        <w:t xml:space="preserve">March, J. G. (1991). Exploration and exploitation in organizational learning. Organization Science, 2(1), 71–87.</w:t>
      </w:r>
    </w:p>
    <w:p>
      <w:pPr>
        <w:spacing w:before="80" w:after="80" w:line="276"/>
        <w:jc w:val="both"/>
      </w:pPr>
      <w:r>
        <w:rPr>
          <w:rFonts w:ascii="Times New Roman" w:cs="Times New Roman" w:eastAsia="Times New Roman" w:hAnsi="Times New Roman"/>
          <w:sz w:val="24"/>
          <w:szCs w:val="24"/>
        </w:rPr>
        <w:t xml:space="preserve">Ohno, T. (1988). Toyota production system. Productivity Press.</w:t>
      </w:r>
    </w:p>
    <w:p>
      <w:pPr>
        <w:spacing w:before="80" w:after="80" w:line="276"/>
        <w:jc w:val="both"/>
      </w:pPr>
      <w:r>
        <w:rPr>
          <w:rFonts w:ascii="Times New Roman" w:cs="Times New Roman" w:eastAsia="Times New Roman" w:hAnsi="Times New Roman"/>
          <w:sz w:val="24"/>
          <w:szCs w:val="24"/>
        </w:rPr>
        <w:t xml:space="preserve">Sahmi, Z., &amp; El Abbadi, L. (2024). The evolution of Kaizen in the industry: Systematic literature review. International Journal of Production Management and Engineering, 12(2), 169–179.</w:t>
      </w:r>
    </w:p>
    <w:p>
      <w:pPr>
        <w:spacing w:before="80" w:after="80" w:line="276"/>
        <w:jc w:val="both"/>
      </w:pPr>
      <w:r>
        <w:rPr>
          <w:rFonts w:ascii="Times New Roman" w:cs="Times New Roman" w:eastAsia="Times New Roman" w:hAnsi="Times New Roman"/>
          <w:sz w:val="24"/>
          <w:szCs w:val="24"/>
        </w:rPr>
        <w:t xml:space="preserve">Schmidhuber, J. (2007). Gödel machines. In B. Goertzel &amp; C. Pennachin (Eds.), Artificial general intelligence (pp. 199–226). Springer.</w:t>
      </w:r>
    </w:p>
    <w:p>
      <w:pPr>
        <w:spacing w:before="80" w:after="80" w:line="276"/>
        <w:jc w:val="both"/>
      </w:pPr>
      <w:r>
        <w:rPr>
          <w:rFonts w:ascii="Times New Roman" w:cs="Times New Roman" w:eastAsia="Times New Roman" w:hAnsi="Times New Roman"/>
          <w:sz w:val="24"/>
          <w:szCs w:val="24"/>
        </w:rPr>
        <w:t xml:space="preserve">Shingo, S. (1989). A study of the Toyota production system from an industrial engineering viewpoint. Productivity Press.</w:t>
      </w:r>
    </w:p>
    <w:p>
      <w:pPr>
        <w:spacing w:before="80" w:after="80" w:line="276"/>
        <w:jc w:val="both"/>
      </w:pPr>
      <w:r>
        <w:rPr>
          <w:rFonts w:ascii="Times New Roman" w:cs="Times New Roman" w:eastAsia="Times New Roman" w:hAnsi="Times New Roman"/>
          <w:sz w:val="24"/>
          <w:szCs w:val="24"/>
        </w:rPr>
        <w:t xml:space="preserve">Singh, J., &amp; Singh, H. (2009). Kaizen philosophy: A review of literature. ICFAI Journal of Operations Management, 8(2), 51–72.</w:t>
      </w:r>
    </w:p>
    <w:p>
      <w:pPr>
        <w:spacing w:before="80" w:after="80" w:line="276"/>
        <w:jc w:val="both"/>
      </w:pPr>
      <w:r>
        <w:rPr>
          <w:rFonts w:ascii="Times New Roman" w:cs="Times New Roman" w:eastAsia="Times New Roman" w:hAnsi="Times New Roman"/>
          <w:sz w:val="24"/>
          <w:szCs w:val="24"/>
        </w:rPr>
        <w:t xml:space="preserve">Suárez-Barraza, M. F., &amp; Ramis-Pujol, J. (2010). Implementation of lean-Kaizen in the human resource service process. Journal of Manufacturing Technology Management, 21(3), 388–410.</w:t>
      </w:r>
    </w:p>
    <w:p>
      <w:pPr>
        <w:spacing w:before="80" w:after="80" w:line="276"/>
        <w:jc w:val="both"/>
      </w:pPr>
      <w:r>
        <w:rPr>
          <w:rFonts w:ascii="Times New Roman" w:cs="Times New Roman" w:eastAsia="Times New Roman" w:hAnsi="Times New Roman"/>
          <w:sz w:val="24"/>
          <w:szCs w:val="24"/>
        </w:rPr>
        <w:t xml:space="preserve">Taleb, N. N. (2012). Antifragile: Things that gain from disorder. Random House.</w:t>
      </w:r>
    </w:p>
    <w:p>
      <w:pPr>
        <w:spacing w:before="80" w:after="80" w:line="276"/>
        <w:jc w:val="both"/>
      </w:pPr>
      <w:r>
        <w:rPr>
          <w:rFonts w:ascii="Times New Roman" w:cs="Times New Roman" w:eastAsia="Times New Roman" w:hAnsi="Times New Roman"/>
          <w:sz w:val="24"/>
          <w:szCs w:val="24"/>
        </w:rPr>
        <w:t xml:space="preserve">Taleb, N. N., &amp; Douady, R. (2013). Mathematical definition, mapping, and detection of (anti)fragility. Quantitative Finance, 13(11), 1677–1689.</w:t>
      </w:r>
    </w:p>
    <w:p>
      <w:pPr>
        <w:spacing w:before="80" w:after="80" w:line="276"/>
        <w:jc w:val="both"/>
      </w:pPr>
      <w:r>
        <w:rPr>
          <w:rFonts w:ascii="Times New Roman" w:cs="Times New Roman" w:eastAsia="Times New Roman" w:hAnsi="Times New Roman"/>
          <w:sz w:val="24"/>
          <w:szCs w:val="24"/>
        </w:rPr>
        <w:t xml:space="preserve">Tversky, A. (1977). Features of similarity. Psychological Review, 84(4), 327–352.</w:t>
      </w:r>
    </w:p>
    <w:p>
      <w:pPr>
        <w:spacing w:before="80" w:after="80" w:line="276"/>
        <w:jc w:val="both"/>
      </w:pPr>
      <w:r>
        <w:rPr>
          <w:rFonts w:ascii="Times New Roman" w:cs="Times New Roman" w:eastAsia="Times New Roman" w:hAnsi="Times New Roman"/>
          <w:sz w:val="24"/>
          <w:szCs w:val="24"/>
        </w:rPr>
        <w:t xml:space="preserve">Womack, J. P., &amp; Jones, D. T. (1996). Lean thinking. Simon &amp; Schuster.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1F6B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2026-03-06T06:00:55.998Z</dcterms:created>
  <dcterms:modified xsi:type="dcterms:W3CDTF">2026-03-06T06:00:55.999Z</dcterms:modified>
</cp:coreProperties>
</file>

<file path=docProps/custom.xml><?xml version="1.0" encoding="utf-8"?>
<Properties xmlns="http://schemas.openxmlformats.org/officeDocument/2006/custom-properties" xmlns:vt="http://schemas.openxmlformats.org/officeDocument/2006/docPropsVTypes"/>
</file>