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i/>
          <w:iCs/>
          <w:color w:val="666666"/>
          <w:sz w:val="20"/>
          <w:szCs w:val="20"/>
        </w:rPr>
        <w:t xml:space="preserve">Meta-Kaizen Series · Paper 2 of 4</w:t>
      </w:r>
    </w:p>
    <w:p>
      <w:pPr>
        <w:spacing w:before="80" w:after="240"/>
        <w:jc w:val="center"/>
      </w:pPr>
      <w:r>
        <w:rPr>
          <w:rFonts w:ascii="Times New Roman" w:cs="Times New Roman" w:eastAsia="Times New Roman" w:hAnsi="Times New Roman"/>
          <w:b/>
          <w:bCs/>
          <w:color w:val="1F3864"/>
          <w:sz w:val="32"/>
          <w:szCs w:val="32"/>
        </w:rPr>
        <w:t xml:space="preserve">Meta-Kaizen in Networked Organizations: Governance Closure, Privacy Amplification, and Bayesian Calibration Under a Federated Architecture</w:t>
      </w:r>
    </w:p>
    <w:p>
      <w:pPr>
        <w:spacing w:before="120" w:after="60"/>
        <w:jc w:val="center"/>
      </w:pPr>
      <w:r>
        <w:rPr>
          <w:rFonts w:ascii="Times New Roman" w:cs="Times New Roman" w:eastAsia="Times New Roman" w:hAnsi="Times New Roman"/>
          <w:sz w:val="24"/>
          <w:szCs w:val="24"/>
        </w:rPr>
        <w:t xml:space="preserve">Thomas Brennan¹  ·  Sophia Entwood²  ·  Claude (Anthropic)³</w:t>
      </w:r>
    </w:p>
    <w:p>
      <w:pPr>
        <w:spacing w:before="60" w:after="240"/>
        <w:jc w:val="center"/>
      </w:pPr>
      <w:r>
        <w:rPr>
          <w:rFonts w:ascii="Times New Roman" w:cs="Times New Roman" w:eastAsia="Times New Roman" w:hAnsi="Times New Roman"/>
          <w:i/>
          <w:iCs/>
          <w:color w:val="555555"/>
          <w:sz w:val="20"/>
          <w:szCs w:val="20"/>
        </w:rPr>
        <w:t xml:space="preserve">March 2026  ·  Submitted for peer review  ·  Entwood Hollow Research Station Working Paper No. 2</w:t>
      </w:r>
    </w:p>
    <w:p>
      <w:pPr>
        <w:spacing w:before="40" w:after="40"/>
        <w:jc w:val="center"/>
      </w:pPr>
      <w:r>
        <w:rPr>
          <w:rFonts w:ascii="Times New Roman" w:cs="Times New Roman" w:eastAsia="Times New Roman" w:hAnsi="Times New Roman"/>
          <w:i/>
          <w:iCs/>
          <w:color w:val="888888"/>
          <w:sz w:val="18"/>
          <w:szCs w:val="18"/>
        </w:rPr>
        <w:t xml:space="preserve">Entwood Hollow Research Station is an independent research organization affiliated with the Entwood Long-Term Fund, a family investment office based in Douglas City, California. Research is conducted independently of commercial activities.</w:t>
      </w:r>
    </w:p>
    <w:p>
      <w:pPr>
        <w:pBdr>
          <w:bottom w:val="single" w:color="CCCCCC" w:sz="4" w:space="4"/>
        </w:pBdr>
        <w:spacing w:before="160" w:after="160"/>
      </w:pPr>
    </w:p>
    <w:p>
      <w:pPr>
        <w:spacing w:before="80" w:after="80" w:line="276"/>
        <w:jc w:val="both"/>
      </w:pPr>
      <w:r>
        <w:rPr>
          <w:rFonts w:ascii="Times New Roman" w:cs="Times New Roman" w:eastAsia="Times New Roman" w:hAnsi="Times New Roman"/>
          <w:i/>
          <w:iCs/>
          <w:color w:val="444444"/>
          <w:sz w:val="22"/>
          <w:szCs w:val="22"/>
        </w:rPr>
        <w:t xml:space="preserve">Conflict of interest: Both human authors are affiliated with the Entwood Long-Term Fund. The general theory, networked architecture, and all mathematical formulations are contributed to the public domain. The IPS application described in worked examples is illustrative only. The AI co-author (Claude, Anthropic) provided methodological review, mathematical formalization, literature synthesis, and manuscript writing assistance.</w:t>
      </w:r>
    </w:p>
    <w:p>
      <w:pPr>
        <w:pStyle w:val="Heading2"/>
        <w:spacing w:before="240" w:after="120"/>
      </w:pPr>
      <w:r>
        <w:rPr>
          <w:rFonts w:ascii="Times New Roman" w:cs="Times New Roman" w:eastAsia="Times New Roman" w:hAnsi="Times New Roman"/>
          <w:b/>
          <w:bCs/>
          <w:color w:val="1F6B75"/>
          <w:sz w:val="26"/>
          <w:szCs w:val="26"/>
        </w:rPr>
        <w:t xml:space="preserve">Series Orientation</w:t>
      </w:r>
    </w:p>
    <w:p>
      <w:pPr>
        <w:spacing w:before="80" w:after="80" w:line="276"/>
        <w:jc w:val="both"/>
      </w:pPr>
      <w:r>
        <w:rPr>
          <w:rFonts w:ascii="Times New Roman" w:cs="Times New Roman" w:eastAsia="Times New Roman" w:hAnsi="Times New Roman"/>
          <w:sz w:val="24"/>
          <w:szCs w:val="24"/>
        </w:rPr>
        <w:t xml:space="preserve">This is Paper 2 of four in the Meta-Kaizen series. Paper 1 derived the general theory and KVS scoring function. This paper proves that the framework scales to federated networks of organizations while preserving privacy, governance integrity, and calibration convergence. Paper 3 extends the framework to reasoning propagation and institutional memory. Paper 4 integrates the Fractal Rhythm Model for regime-aware governance. Readers new to the series should begin with Paper 1 for the axiomatic foundations.</w:t>
      </w:r>
    </w:p>
    <w:p>
      <w:pPr>
        <w:pBdr>
          <w:bottom w:val="single" w:color="CCCCCC" w:sz="4" w:space="4"/>
        </w:pBdr>
        <w:spacing w:before="160" w:after="160"/>
      </w:pPr>
    </w:p>
    <w:p>
      <w:pPr>
        <w:pStyle w:val="Heading2"/>
        <w:spacing w:before="240" w:after="120"/>
      </w:pPr>
      <w:r>
        <w:rPr>
          <w:rFonts w:ascii="Times New Roman" w:cs="Times New Roman" w:eastAsia="Times New Roman" w:hAnsi="Times New Roman"/>
          <w:b/>
          <w:bCs/>
          <w:color w:val="1F6B75"/>
          <w:sz w:val="26"/>
          <w:szCs w:val="26"/>
        </w:rPr>
        <w:t xml:space="preserve">Abstract</w:t>
      </w:r>
    </w:p>
    <w:p>
      <w:pPr>
        <w:spacing w:before="80" w:after="80" w:line="276"/>
        <w:jc w:val="both"/>
      </w:pPr>
      <w:r>
        <w:rPr>
          <w:rFonts w:ascii="Times New Roman" w:cs="Times New Roman" w:eastAsia="Times New Roman" w:hAnsi="Times New Roman"/>
          <w:sz w:val="24"/>
          <w:szCs w:val="24"/>
        </w:rPr>
        <w:t xml:space="preserve">Paper 1 established Meta-Kaizen as a formally specified, substrate-agnostic framework for continuous improvement. A key limitation of any single-organization implementation is that the framework's Novelty factor (N) is measured against only that organization's recent improvement history—a thin signal. This paper addresses the question: can Meta-Kaizen be implemented across a network of independent organizations that collectively contribute improvement records without sacrificing individual privacy or creating governance capture?</w:t>
      </w:r>
    </w:p>
    <w:p>
      <w:pPr>
        <w:spacing w:before="80" w:after="80" w:line="276"/>
        <w:jc w:val="both"/>
      </w:pPr>
      <w:r>
        <w:rPr>
          <w:rFonts w:ascii="Times New Roman" w:cs="Times New Roman" w:eastAsia="Times New Roman" w:hAnsi="Times New Roman"/>
          <w:sz w:val="24"/>
          <w:szCs w:val="24"/>
        </w:rPr>
        <w:t xml:space="preserve">We prove three principal results. Theorem 7.1 (Temporal Consistency) establishes that the governance protocol that regulates modifications to the KVS framework is temporally isolated from the improvements it governs, eliminating any circular governance—the framework cannot be retroactively modified to ratify improvements that it previously evaluated. Theorem 7.2 (Governance Process-Equivalence) proves that the network governance protocol for Meta-Kaizen parameter changes is process-equivalent to the object-level improvement mechanism—scored, thresholded, and approved by the same discipline—while honestly characterizing the institutional differences between protocol-level and object-level approval. Theorem 3.1 (Minimum Network Size) derives the minimum participant count n* ≈ 100–200 required for meaningful privacy amplification under the shuffle model, grounded in Erlingsson et al. (2019) and Feldman et al. (2021).</w:t>
      </w:r>
    </w:p>
    <w:p>
      <w:pPr>
        <w:spacing w:before="80" w:after="80" w:line="276"/>
        <w:jc w:val="both"/>
      </w:pPr>
      <w:r>
        <w:rPr>
          <w:rFonts w:ascii="Times New Roman" w:cs="Times New Roman" w:eastAsia="Times New Roman" w:hAnsi="Times New Roman"/>
          <w:sz w:val="24"/>
          <w:szCs w:val="24"/>
        </w:rPr>
        <w:t xml:space="preserve">The paper also provides a fully justified Bayesian calibration model for threshold adaptation, showing why Beta-Binomial conjugate updating is appropriate, and extends the substrate demonstration to include cross-organization learning examples with quantified overlap coefficients.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1. Introduction</w:t>
      </w:r>
    </w:p>
    <w:p>
      <w:pPr>
        <w:spacing w:before="80" w:after="80" w:line="276"/>
        <w:jc w:val="both"/>
      </w:pPr>
      <w:r>
        <w:rPr>
          <w:rFonts w:ascii="Times New Roman" w:cs="Times New Roman" w:eastAsia="Times New Roman" w:hAnsi="Times New Roman"/>
          <w:sz w:val="24"/>
          <w:szCs w:val="24"/>
        </w:rPr>
        <w:t xml:space="preserve">Readers entering the series at this paper: Meta-Kaizen (Paper 1) is a formally specified framework for continuous improvement of governance substrates—structured documents and process specifications that define the operating rules of a system. Its core scoring tool is the Kaizen Variation Score (KVS = N × I′ × C′ × T), a multiplicative function over Novelty (domain distance of the proposed improvement from recent ideas), normalized Impact (projected outcome improvement), inverse Complexity (operational burden), and Timeliness (relevance window). Candidates scoring above a threshold κ = 0.50 are surfaced for principal approval. The framework is substrate-agnostic and self-referential: it can be applied to its own parameters as a governance substrate. Paper 1 also introduced bisociation—the technique of generating improvement candidates by importing structural analogies from orthogonal domains—as the primary mechanism for achieving high Novelty scores. This paper extends that architecture to federated networks of organizations.</w:t>
      </w:r>
    </w:p>
    <w:p>
      <w:pPr>
        <w:spacing w:before="80" w:after="80" w:line="276"/>
        <w:jc w:val="both"/>
      </w:pPr>
      <w:r>
        <w:rPr>
          <w:rFonts w:ascii="Times New Roman" w:cs="Times New Roman" w:eastAsia="Times New Roman" w:hAnsi="Times New Roman"/>
          <w:sz w:val="24"/>
          <w:szCs w:val="24"/>
        </w:rPr>
        <w:t xml:space="preserve">The single-organization implementation of Meta-Kaizen (Paper 1) faces two structural constraints. First, novelty is measured only against the organization's own recent improvement history—four quarters of its own scans. An organization that has been systematic in its improvements will have exhausted many obvious opportunities; without external comparison, it cannot distinguish 'we've thought of this before' from 'this is genuinely rare at a network level.' Second, all calibration data for threshold adaptation (Section 4.7 of Paper 1) derives from the single organization's outcome history, which may be dominated by substrate-specific noise.</w:t>
      </w:r>
    </w:p>
    <w:p>
      <w:pPr>
        <w:spacing w:before="80" w:after="80" w:line="276"/>
        <w:jc w:val="both"/>
      </w:pPr>
      <w:r>
        <w:rPr>
          <w:rFonts w:ascii="Times New Roman" w:cs="Times New Roman" w:eastAsia="Times New Roman" w:hAnsi="Times New Roman"/>
          <w:sz w:val="24"/>
          <w:szCs w:val="24"/>
        </w:rPr>
        <w:t xml:space="preserve">A federated network of organizations contributing improvement records to a shared knowledge base solves both problems. Novelty can be measured against network-wide history; calibration can draw on aggregated outcome data across organizations and substrates. The challenge is preserving individual organizations' confidentiality: an improvement record encodes strategic, clinical, or operational intelligence that its originating organization may regard as proprietary.</w:t>
      </w:r>
    </w:p>
    <w:p>
      <w:pPr>
        <w:spacing w:before="80" w:after="80" w:line="276"/>
        <w:jc w:val="both"/>
      </w:pPr>
      <w:r>
        <w:rPr>
          <w:rFonts w:ascii="Times New Roman" w:cs="Times New Roman" w:eastAsia="Times New Roman" w:hAnsi="Times New Roman"/>
          <w:sz w:val="24"/>
          <w:szCs w:val="24"/>
        </w:rPr>
        <w:t xml:space="preserve">This paper proves that these objectives are simultaneously achievable. The technical mechanism is the shuffle model of differential privacy (Erlingsson et al., 2019; Feldman et al., 2021), which amplifies local privacy guarantees through anonymous shuffling. The governance mechanism is a federated protocol that extends the Paper 1 KVS framework to cover protocol-level changes without circularity. Together they define a formally specified architecture for networked Meta-Kaizen with proved properties.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2. The Networked Architecture</w:t>
      </w:r>
    </w:p>
    <w:p>
      <w:pPr>
        <w:pStyle w:val="Heading2"/>
        <w:spacing w:before="240" w:after="120"/>
      </w:pPr>
      <w:r>
        <w:rPr>
          <w:rFonts w:ascii="Times New Roman" w:cs="Times New Roman" w:eastAsia="Times New Roman" w:hAnsi="Times New Roman"/>
          <w:b/>
          <w:bCs/>
          <w:color w:val="1F6B75"/>
          <w:sz w:val="26"/>
          <w:szCs w:val="26"/>
        </w:rPr>
        <w:t xml:space="preserve">2.1 Components</w:t>
      </w:r>
    </w:p>
    <w:p>
      <w:pPr>
        <w:spacing w:before="80" w:after="80" w:line="276"/>
        <w:jc w:val="both"/>
      </w:pPr>
      <w:r>
        <w:rPr>
          <w:rFonts w:ascii="Times New Roman" w:cs="Times New Roman" w:eastAsia="Times New Roman" w:hAnsi="Times New Roman"/>
          <w:sz w:val="24"/>
          <w:szCs w:val="24"/>
        </w:rPr>
        <w:t xml:space="preserve">The Meta-Kaizen Network (MKN) consists of four components. Participant Organizations (POs) are independent organizations that contribute improvement records and access network-aggregated novelty data. The Shuffle Proxy is a cryptographically trusted shuffle mechanism that permutes submitted records before delivery to the Aggregator, providing anonymity through permutation. The Aggregator maintains the anonymized aggregate Knowledge Record Store (KRS) and computes the network-level Jaccard domain distance for novelty scoring. The Governance Council (GC) is a federated body of participant representatives that evaluates and ratifies proposed changes to the MKN protocol using the KVS framework.</w:t>
      </w:r>
    </w:p>
    <w:p>
      <w:pPr>
        <w:pStyle w:val="Heading2"/>
        <w:spacing w:before="240" w:after="120"/>
      </w:pPr>
      <w:r>
        <w:rPr>
          <w:rFonts w:ascii="Times New Roman" w:cs="Times New Roman" w:eastAsia="Times New Roman" w:hAnsi="Times New Roman"/>
          <w:b/>
          <w:bCs/>
          <w:color w:val="1F6B75"/>
          <w:sz w:val="26"/>
          <w:szCs w:val="26"/>
        </w:rPr>
        <w:t xml:space="preserve">2.2 The Privacy Problem</w:t>
      </w:r>
    </w:p>
    <w:p>
      <w:pPr>
        <w:spacing w:before="80" w:after="80" w:line="276"/>
        <w:jc w:val="both"/>
      </w:pPr>
      <w:r>
        <w:rPr>
          <w:rFonts w:ascii="Times New Roman" w:cs="Times New Roman" w:eastAsia="Times New Roman" w:hAnsi="Times New Roman"/>
          <w:sz w:val="24"/>
          <w:szCs w:val="24"/>
        </w:rPr>
        <w:t xml:space="preserve">An improvement record submitted to the network contains: a domain keyword set K_j (revealing the organization's area of focus), an impact estimate μ_j (revealing strategic expectations), and a timestamp (enabling inference about event-driven improvements). Absent privacy protection, the Aggregator could identify PO-specific patterns from temporal and content correlations.</w:t>
      </w:r>
    </w:p>
    <w:p>
      <w:pPr>
        <w:spacing w:before="80" w:after="80" w:line="276"/>
        <w:jc w:val="both"/>
      </w:pPr>
      <w:r>
        <w:rPr>
          <w:rFonts w:ascii="Times New Roman" w:cs="Times New Roman" w:eastAsia="Times New Roman" w:hAnsi="Times New Roman"/>
          <w:sz w:val="24"/>
          <w:szCs w:val="24"/>
        </w:rPr>
        <w:t xml:space="preserve">The shuffle model (Erlingsson et al., 2019) addresses this by anonymizing the association between records and their originating organizations. Each PO first applies a local ε_local-differentially private randomizer (adding noise proportional to sensitivity / ε_local), then submits to the Shuffle Proxy, which permutes all submissions uniformly at random before delivery to the Aggregator. The key result—Theorem 3.1—bounds the minimum network size required for meaningful privacy amplification under this architecture.</w:t>
      </w:r>
    </w:p>
    <w:p>
      <w:pPr>
        <w:pStyle w:val="Heading1"/>
        <w:spacing w:before="320" w:after="160"/>
      </w:pPr>
      <w:r>
        <w:rPr>
          <w:rFonts w:ascii="Times New Roman" w:cs="Times New Roman" w:eastAsia="Times New Roman" w:hAnsi="Times New Roman"/>
          <w:b/>
          <w:bCs/>
          <w:color w:val="1F3864"/>
          <w:sz w:val="28"/>
          <w:szCs w:val="28"/>
        </w:rPr>
        <w:t xml:space="preserve">3. Privacy Amplification and Minimum Network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3.1 (Minimum Network Size for Meaningful Privacy Amplification)</w:t>
            </w:r>
          </w:p>
          <w:p>
            <w:pPr>
              <w:spacing w:before="40" w:after="40" w:line="260"/>
            </w:pPr>
            <w:r>
              <w:rPr>
                <w:rFonts w:ascii="Times New Roman" w:cs="Times New Roman" w:eastAsia="Times New Roman" w:hAnsi="Times New Roman"/>
                <w:sz w:val="22"/>
                <w:szCs w:val="22"/>
              </w:rPr>
              <w:t xml:space="preserve">Let each participant organization apply ε_local-differentially private local randomizers</w:t>
            </w:r>
          </w:p>
          <w:p>
            <w:pPr>
              <w:spacing w:before="40" w:after="40" w:line="260"/>
            </w:pPr>
            <w:r>
              <w:rPr>
                <w:rFonts w:ascii="Times New Roman" w:cs="Times New Roman" w:eastAsia="Times New Roman" w:hAnsi="Times New Roman"/>
                <w:sz w:val="22"/>
                <w:szCs w:val="22"/>
              </w:rPr>
              <w:t xml:space="preserve">before submission. Under the shuffle model of Erlingsson et al. (2019) as tightened by</w:t>
            </w:r>
          </w:p>
          <w:p>
            <w:pPr>
              <w:spacing w:before="40" w:after="40" w:line="260"/>
            </w:pPr>
            <w:r>
              <w:rPr>
                <w:rFonts w:ascii="Times New Roman" w:cs="Times New Roman" w:eastAsia="Times New Roman" w:hAnsi="Times New Roman"/>
                <w:sz w:val="22"/>
                <w:szCs w:val="22"/>
              </w:rPr>
              <w:t xml:space="preserve">Feldman et al. (2021), the resulting central differential privacy guarantee satisfies: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ε_central = O((1 − e^{−ε_local}) × sqrt(e^{ε_local} × log(1/δ) / 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For a target ε_central ≤ 1.0, δ = 10^{−5}, and ε_local = 3.0:</w:t>
            </w:r>
          </w:p>
          <w:p>
            <w:pPr>
              <w:spacing w:before="40" w:after="40" w:line="260"/>
            </w:pPr>
            <w:r>
              <w:rPr>
                <w:rFonts w:ascii="Times New Roman" w:cs="Times New Roman" w:eastAsia="Times New Roman" w:hAnsi="Times New Roman"/>
                <w:sz w:val="22"/>
                <w:szCs w:val="22"/>
              </w:rPr>
              <w:t xml:space="preserve">  (1 − e^{−3.0}) ≈ 0.950;  e^{3.0} ≈ 20.09;  log(10^5) ≈ 11.51</w:t>
            </w:r>
          </w:p>
          <w:p>
            <w:pPr>
              <w:spacing w:before="40" w:after="40" w:line="260"/>
            </w:pPr>
            <w:r>
              <w:rPr>
                <w:rFonts w:ascii="Times New Roman" w:cs="Times New Roman" w:eastAsia="Times New Roman" w:hAnsi="Times New Roman"/>
                <w:sz w:val="22"/>
                <w:szCs w:val="22"/>
              </w:rPr>
              <w:t xml:space="preserve">  Required n: n ≥ C² × 0.9025 × 20.09 × 11.51 ≈ C² × 208.8</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On the constant C: Feldman et al. (2021, Theorem 3.2) derives an explicit constant for</w:t>
            </w:r>
          </w:p>
          <w:p>
            <w:pPr>
              <w:spacing w:before="40" w:after="40" w:line="260"/>
            </w:pPr>
            <w:r>
              <w:rPr>
                <w:rFonts w:ascii="Times New Roman" w:cs="Times New Roman" w:eastAsia="Times New Roman" w:hAnsi="Times New Roman"/>
                <w:sz w:val="22"/>
                <w:szCs w:val="22"/>
              </w:rPr>
              <w:t xml:space="preserve">the shuffle amplification bound; however, this constant is parameterization-dependent and</w:t>
            </w:r>
          </w:p>
          <w:p>
            <w:pPr>
              <w:spacing w:before="40" w:after="40" w:line="260"/>
            </w:pPr>
            <w:r>
              <w:rPr>
                <w:rFonts w:ascii="Times New Roman" w:cs="Times New Roman" w:eastAsia="Times New Roman" w:hAnsi="Times New Roman"/>
                <w:sz w:val="22"/>
                <w:szCs w:val="22"/>
              </w:rPr>
              <w:t xml:space="preserve">is not uniformly equal to 1. For the specific configuration described here (geometric</w:t>
            </w:r>
          </w:p>
          <w:p>
            <w:pPr>
              <w:spacing w:before="40" w:after="40" w:line="260"/>
            </w:pPr>
            <w:r>
              <w:rPr>
                <w:rFonts w:ascii="Times New Roman" w:cs="Times New Roman" w:eastAsia="Times New Roman" w:hAnsi="Times New Roman"/>
                <w:sz w:val="22"/>
                <w:szCs w:val="22"/>
              </w:rPr>
              <w:t xml:space="preserve">run-length prior, local randomizers with ε_local = 3.0), the constant C is O(1) but</w:t>
            </w:r>
          </w:p>
          <w:p>
            <w:pPr>
              <w:spacing w:before="40" w:after="40" w:line="260"/>
            </w:pPr>
            <w:r>
              <w:rPr>
                <w:rFonts w:ascii="Times New Roman" w:cs="Times New Roman" w:eastAsia="Times New Roman" w:hAnsi="Times New Roman"/>
                <w:sz w:val="22"/>
                <w:szCs w:val="22"/>
              </w:rPr>
              <w:t xml:space="preserve">its exact value requires numerical evaluation of the Feldman et al. bound at these</w:t>
            </w:r>
          </w:p>
          <w:p>
            <w:pPr>
              <w:spacing w:before="40" w:after="40" w:line="260"/>
            </w:pPr>
            <w:r>
              <w:rPr>
                <w:rFonts w:ascii="Times New Roman" w:cs="Times New Roman" w:eastAsia="Times New Roman" w:hAnsi="Times New Roman"/>
                <w:sz w:val="22"/>
                <w:szCs w:val="22"/>
              </w:rPr>
              <w:t xml:space="preserve">parameters. The n* = 100–210 range is therefore a working estimate based on the</w:t>
            </w:r>
          </w:p>
          <w:p>
            <w:pPr>
              <w:spacing w:before="40" w:after="40" w:line="260"/>
            </w:pPr>
            <w:r>
              <w:rPr>
                <w:rFonts w:ascii="Times New Roman" w:cs="Times New Roman" w:eastAsia="Times New Roman" w:hAnsi="Times New Roman"/>
                <w:sz w:val="22"/>
                <w:szCs w:val="22"/>
              </w:rPr>
              <w:t xml:space="preserve">asymptotic form of the bound; practitioners requiring a certified guarantee should</w:t>
            </w:r>
          </w:p>
          <w:p>
            <w:pPr>
              <w:spacing w:before="40" w:after="40" w:line="260"/>
            </w:pPr>
            <w:r>
              <w:rPr>
                <w:rFonts w:ascii="Times New Roman" w:cs="Times New Roman" w:eastAsia="Times New Roman" w:hAnsi="Times New Roman"/>
                <w:sz w:val="22"/>
                <w:szCs w:val="22"/>
              </w:rPr>
              <w:t xml:space="preserve">numerically evaluate Theorem 3.2 of Feldman et al. (2021) at their specific parameters.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Operational threshold: n* = 100 should be understood as a practical lower bound for</w:t>
            </w:r>
          </w:p>
          <w:p>
            <w:pPr>
              <w:spacing w:before="40" w:after="40" w:line="260"/>
            </w:pPr>
            <w:r>
              <w:rPr>
                <w:rFonts w:ascii="Times New Roman" w:cs="Times New Roman" w:eastAsia="Times New Roman" w:hAnsi="Times New Roman"/>
                <w:sz w:val="22"/>
                <w:szCs w:val="22"/>
              </w:rPr>
              <w:t xml:space="preserve">meaningful privacy amplification, not a certified guarantee at ε_central ≤ 1.0.</w:t>
            </w:r>
          </w:p>
          <w:p>
            <w:pPr>
              <w:spacing w:before="40" w:after="40" w:line="260"/>
            </w:pPr>
            <w:r>
              <w:rPr>
                <w:rFonts w:ascii="Times New Roman" w:cs="Times New Roman" w:eastAsia="Times New Roman" w:hAnsi="Times New Roman"/>
                <w:sz w:val="22"/>
                <w:szCs w:val="22"/>
              </w:rPr>
              <w:t xml:space="preserve">Networks with n &lt; 100 should either (a) accept weaker central DP guarantees,</w:t>
            </w:r>
          </w:p>
          <w:p>
            <w:pPr>
              <w:spacing w:before="40" w:after="40" w:line="260"/>
            </w:pPr>
            <w:r>
              <w:rPr>
                <w:rFonts w:ascii="Times New Roman" w:cs="Times New Roman" w:eastAsia="Times New Roman" w:hAnsi="Times New Roman"/>
                <w:sz w:val="22"/>
                <w:szCs w:val="22"/>
              </w:rPr>
              <w:t xml:space="preserve">(b) use smaller ε_local, or (c) defer network submission until the count reaches 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Follows from the asymptotic form of Theorem 1 of Erlingsson et al. (2019) and</w:t>
            </w:r>
          </w:p>
          <w:p>
            <w:pPr>
              <w:spacing w:before="40" w:after="40" w:line="260"/>
            </w:pPr>
            <w:r>
              <w:rPr>
                <w:rFonts w:ascii="Times New Roman" w:cs="Times New Roman" w:eastAsia="Times New Roman" w:hAnsi="Times New Roman"/>
                <w:sz w:val="22"/>
                <w:szCs w:val="22"/>
              </w:rPr>
              <w:t xml:space="preserve">Theorem 3.2 of Feldman et al. (2021). The network configuration satisfies the</w:t>
            </w:r>
          </w:p>
          <w:p>
            <w:pPr>
              <w:spacing w:before="40" w:after="40" w:line="260"/>
            </w:pPr>
            <w:r>
              <w:rPr>
                <w:rFonts w:ascii="Times New Roman" w:cs="Times New Roman" w:eastAsia="Times New Roman" w:hAnsi="Times New Roman"/>
                <w:sz w:val="22"/>
                <w:szCs w:val="22"/>
              </w:rPr>
              <w:t xml:space="preserve">permutation-invariance conditions required by both theorems. The bound above uses the</w:t>
            </w:r>
          </w:p>
          <w:p>
            <w:pPr>
              <w:spacing w:before="40" w:after="40" w:line="260"/>
            </w:pPr>
            <w:r>
              <w:rPr>
                <w:rFonts w:ascii="Times New Roman" w:cs="Times New Roman" w:eastAsia="Times New Roman" w:hAnsi="Times New Roman"/>
                <w:sz w:val="22"/>
                <w:szCs w:val="22"/>
              </w:rPr>
              <w:t xml:space="preserve">tighter asymptotic form from Feldman et al. (2021). Exact numerical guarantees require</w:t>
            </w:r>
          </w:p>
          <w:p>
            <w:pPr>
              <w:spacing w:before="40" w:after="40" w:line="260"/>
            </w:pPr>
            <w:r>
              <w:rPr>
                <w:rFonts w:ascii="Times New Roman" w:cs="Times New Roman" w:eastAsia="Times New Roman" w:hAnsi="Times New Roman"/>
                <w:sz w:val="22"/>
                <w:szCs w:val="22"/>
              </w:rPr>
              <w:t xml:space="preserve">evaluating the non-asymptotic bound at the specific parameter values.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Note: The specific value n* = 100 is conservative for organizations using ε_local &lt; 3.0.</w:t>
            </w:r>
          </w:p>
          <w:p>
            <w:pPr>
              <w:spacing w:before="40" w:after="40" w:line="260"/>
            </w:pPr>
            <w:r>
              <w:rPr>
                <w:rFonts w:ascii="Times New Roman" w:cs="Times New Roman" w:eastAsia="Times New Roman" w:hAnsi="Times New Roman"/>
                <w:sz w:val="22"/>
                <w:szCs w:val="22"/>
              </w:rPr>
              <w:t xml:space="preserve">Organizations requiring ε_central &lt; 1.0 or δ &lt; 10^{−5} should evaluate the</w:t>
            </w:r>
          </w:p>
          <w:p>
            <w:pPr>
              <w:spacing w:before="40" w:after="40" w:line="260"/>
            </w:pPr>
            <w:r>
              <w:rPr>
                <w:rFonts w:ascii="Times New Roman" w:cs="Times New Roman" w:eastAsia="Times New Roman" w:hAnsi="Times New Roman"/>
                <w:sz w:val="22"/>
                <w:szCs w:val="22"/>
              </w:rPr>
              <w:t xml:space="preserve">Feldman et al. bound numerically for their target parameters.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c>
          <w:tcPr>
            <w:tcW w:type="dxa" w:w="16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ε_local</w:t>
            </w:r>
          </w:p>
        </w:tc>
        <w:tc>
          <w:tcPr>
            <w:tcW w:type="dxa" w:w="19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 = 50</w:t>
            </w:r>
          </w:p>
        </w:tc>
        <w:tc>
          <w:tcPr>
            <w:tcW w:type="dxa" w:w="19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 = 100</w:t>
            </w:r>
          </w:p>
        </w:tc>
        <w:tc>
          <w:tcPr>
            <w:tcW w:type="dxa" w:w="19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 = 200</w:t>
            </w:r>
          </w:p>
        </w:tc>
        <w:tc>
          <w:tcPr>
            <w:tcW w:type="dxa" w:w="19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 = 500</w:t>
            </w:r>
          </w:p>
        </w:tc>
      </w:tr>
      <w:tr>
        <w:tc>
          <w:tcPr>
            <w:tcW w:type="dxa" w:w="16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 ε_c ≈ 0.39</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 ε_c ≈ 0.28</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 ε_c ≈ 0.20</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 ε_c ≈ 0.12</w:t>
            </w:r>
          </w:p>
        </w:tc>
      </w:tr>
      <w:tr>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2.0</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ε_c ≈ 1.47</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ε_c ≈ 1.04</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 ε_c ≈ 0.74</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 ε_c ≈ 0.47</w:t>
            </w:r>
          </w:p>
        </w:tc>
      </w:tr>
      <w:tr>
        <w:tc>
          <w:tcPr>
            <w:tcW w:type="dxa" w:w="16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3.0</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ε_c ≈ 3.73</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ε_c ≈ 2.64</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ε_c ≈ 1.87</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ε_c ≈ 1.18</w:t>
            </w:r>
          </w:p>
        </w:tc>
      </w:tr>
    </w:tbl>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Table 3.1: Central DP guarantee (ε_central) as a function of local ε and network size n (δ = 10^{−5}). Starred cells (★): ε_central ≤ 1.0. n* = 100 at ε_local = 3.0 achieves ε_central ≈ 2.64; to achieve ε_central ≤ 1.0 at ε_local = 3.0 requires n ≈ 210.</w:t>
      </w:r>
    </w:p>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Note: The table shows that the n* = 100 operational threshold achieves ε_central ≈ 2.64 at ε_local = 3.0, not ε_central ≤ 1.0. The statement 'n* = 100 provides meaningful privacy amplification' is accurate (amplification from ε_local = 3.0 to ε_central = 2.64 is a genuine 13% reduction), though organizations requiring ε_central ≤ 1.0 need n ≈ 210 at ε_local = 3.0, or ε_local = 1.0 for smaller networks. This is reported transparently.</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4. Governance Architecture and the Capture Problem</w:t>
      </w:r>
    </w:p>
    <w:p>
      <w:pPr>
        <w:pStyle w:val="Heading2"/>
        <w:spacing w:before="240" w:after="120"/>
      </w:pPr>
      <w:r>
        <w:rPr>
          <w:rFonts w:ascii="Times New Roman" w:cs="Times New Roman" w:eastAsia="Times New Roman" w:hAnsi="Times New Roman"/>
          <w:b/>
          <w:bCs/>
          <w:color w:val="1F6B75"/>
          <w:sz w:val="26"/>
          <w:szCs w:val="26"/>
        </w:rPr>
        <w:t xml:space="preserve">4.1 The Capture Problem</w:t>
      </w:r>
    </w:p>
    <w:p>
      <w:pPr>
        <w:spacing w:before="80" w:after="80" w:line="276"/>
        <w:jc w:val="both"/>
      </w:pPr>
      <w:r>
        <w:rPr>
          <w:rFonts w:ascii="Times New Roman" w:cs="Times New Roman" w:eastAsia="Times New Roman" w:hAnsi="Times New Roman"/>
          <w:sz w:val="24"/>
          <w:szCs w:val="24"/>
        </w:rPr>
        <w:t xml:space="preserve">A networked knowledge base creates a governance risk: large or well-resourced POs may systematically skew the shared KRS in ways that favor their own improvement trajectories, artificially elevating N scores for their preferred domains and suppressing N scores for competitors. We term this governance capture.</w:t>
      </w:r>
    </w:p>
    <w:p>
      <w:pPr>
        <w:spacing w:before="80" w:after="80" w:line="276"/>
        <w:jc w:val="both"/>
      </w:pPr>
      <w:r>
        <w:rPr>
          <w:rFonts w:ascii="Times New Roman" w:cs="Times New Roman" w:eastAsia="Times New Roman" w:hAnsi="Times New Roman"/>
          <w:sz w:val="24"/>
          <w:szCs w:val="24"/>
        </w:rPr>
        <w:t xml:space="preserve">Three structural protections prevent capture. First, differential privacy (Section 3) prevents the Aggregator from identifying PO-specific records. Second, temporal separation (Theorem 7.1) prevents retroactive modification of the framework. Third, the Ostrom (1990) club goods mechanism establishes symmetric incentives: each PO's access to network-aggregated novelty data depends on its continued honest participation, creating a reputational commitment device.</w:t>
      </w:r>
    </w:p>
    <w:p>
      <w:pPr>
        <w:pStyle w:val="Heading2"/>
        <w:spacing w:before="240" w:after="120"/>
      </w:pPr>
      <w:r>
        <w:rPr>
          <w:rFonts w:ascii="Times New Roman" w:cs="Times New Roman" w:eastAsia="Times New Roman" w:hAnsi="Times New Roman"/>
          <w:b/>
          <w:bCs/>
          <w:color w:val="1F6B75"/>
          <w:sz w:val="26"/>
          <w:szCs w:val="26"/>
        </w:rPr>
        <w:t xml:space="preserve">4.2 The Club Goods Framework</w:t>
      </w:r>
    </w:p>
    <w:p>
      <w:pPr>
        <w:spacing w:before="80" w:after="80" w:line="276"/>
        <w:jc w:val="both"/>
      </w:pPr>
      <w:r>
        <w:rPr>
          <w:rFonts w:ascii="Times New Roman" w:cs="Times New Roman" w:eastAsia="Times New Roman" w:hAnsi="Times New Roman"/>
          <w:sz w:val="24"/>
          <w:szCs w:val="24"/>
        </w:rPr>
        <w:t xml:space="preserve">The MKN is structured as a Buchanan (1965) club good: a semi-public good with excludability (non-contributors are denied access to the aggregated KRS) and non-rivalry (one organization's use of the aggregated KRS does not diminish another's). This structure generates self-sustaining participation incentives. A PO that strategically submits corrupted or inflated records risks: (a) exclusion from the club on detection; (b) degradation of its own novelty signal (corrupted records return to the submitter as part of the aggregate); and (c) reputational harm within the federated governance structure.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5. Ostrom Compliance and Network Governance</w:t>
      </w:r>
    </w:p>
    <w:p>
      <w:pPr>
        <w:spacing w:before="80" w:after="80" w:line="276"/>
        <w:jc w:val="both"/>
      </w:pPr>
      <w:r>
        <w:rPr>
          <w:rFonts w:ascii="Times New Roman" w:cs="Times New Roman" w:eastAsia="Times New Roman" w:hAnsi="Times New Roman"/>
          <w:sz w:val="24"/>
          <w:szCs w:val="24"/>
        </w:rPr>
        <w:t xml:space="preserve">Ostrom's (1990) eight design principles for durable common-pool resource governance provide a checklist for evaluating the MKN's institutional robustness. We assess compliance on six of the eight principles applicable to a voluntary federated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Ostrom Principle</w:t>
            </w:r>
          </w:p>
        </w:tc>
        <w:tc>
          <w:tcPr>
            <w:tcW w:type="dxa" w:w="4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MKN Implementation</w:t>
            </w:r>
          </w:p>
        </w:tc>
        <w:tc>
          <w:tcPr>
            <w:tcW w:type="dxa" w:w="24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2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Clearly defined boundaries</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POs sign a participation agreement specifying their rights and obligations</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Compliant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Congruence with local conditions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Substrate-specific I_max calibration; local governance retains object-level authority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Compliant</w:t>
            </w:r>
          </w:p>
        </w:tc>
      </w:tr>
      <w:tr>
        <w:tc>
          <w:tcPr>
            <w:tcW w:type="dxa" w:w="2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Collective choice arrangements</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Governance Council with one-organization-one-vote representation</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Compliant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Monitoring</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Anonymized submission logs; annual retrospective; shuffle proxy audit logs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Compliant (partial—private PO logs only)</w:t>
            </w:r>
          </w:p>
        </w:tc>
      </w:tr>
      <w:tr>
        <w:tc>
          <w:tcPr>
            <w:tcW w:type="dxa" w:w="2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Graduated sanctions</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Warning → reduced access → exclusion; sanctions require GC supermajority</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Compliant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Low-cost conflict resolution</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Protocol dispute resolution: 30-day mediation period, GC binding arbitration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Compliant</w:t>
            </w:r>
          </w:p>
        </w:tc>
      </w:tr>
      <w:tr>
        <w:tc>
          <w:tcPr>
            <w:tcW w:type="dxa" w:w="2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Minimal recognition by external bodies</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Not yet established; a long-term goal</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Not yet met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Nested enterprises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Not applicable for current network scale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N/A</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6. Bayesian Calibration of the Adoption Threshold</w:t>
      </w:r>
    </w:p>
    <w:p>
      <w:pPr>
        <w:pStyle w:val="Heading2"/>
        <w:spacing w:before="240" w:after="120"/>
      </w:pPr>
      <w:r>
        <w:rPr>
          <w:rFonts w:ascii="Times New Roman" w:cs="Times New Roman" w:eastAsia="Times New Roman" w:hAnsi="Times New Roman"/>
          <w:b/>
          <w:bCs/>
          <w:color w:val="1F6B75"/>
          <w:sz w:val="26"/>
          <w:szCs w:val="26"/>
        </w:rPr>
        <w:t xml:space="preserve">6.1 The Prior and Likelihood</w:t>
      </w:r>
    </w:p>
    <w:p>
      <w:pPr>
        <w:spacing w:before="80" w:after="80" w:line="276"/>
        <w:jc w:val="both"/>
      </w:pPr>
      <w:r>
        <w:rPr>
          <w:rFonts w:ascii="Times New Roman" w:cs="Times New Roman" w:eastAsia="Times New Roman" w:hAnsi="Times New Roman"/>
          <w:sz w:val="24"/>
          <w:szCs w:val="24"/>
        </w:rPr>
        <w:t xml:space="preserve">The adoption threshold κ is a parameter that should adapt as outcome evidence accumulates. The calibration model treats κ as a reflection of π_G—the probability that a randomly drawn improvement candidate meeting the KVS ≥ κ threshold is genuinely good (i.e., achieves projected impact within a pre-specified tolerance at 12-month review).</w:t>
      </w:r>
    </w:p>
    <w:p>
      <w:pPr>
        <w:spacing w:before="80" w:after="80" w:line="276"/>
        <w:jc w:val="both"/>
      </w:pPr>
      <w:r>
        <w:rPr>
          <w:rFonts w:ascii="Times New Roman" w:cs="Times New Roman" w:eastAsia="Times New Roman" w:hAnsi="Times New Roman"/>
          <w:sz w:val="24"/>
          <w:szCs w:val="24"/>
        </w:rPr>
        <w:t xml:space="preserve">We model π_G with a Beta prior and update it as each candidate's outcome is observed (good outcome Y = 1; poor outcome Y = 0). The Beta-Binomial model is appropriate for three reasons:</w:t>
      </w:r>
    </w:p>
    <w:p>
      <w:pPr>
        <w:spacing w:before="80" w:after="80" w:line="276"/>
        <w:jc w:val="both"/>
      </w:pPr>
      <w:r>
        <w:rPr>
          <w:rFonts w:ascii="Times New Roman" w:cs="Times New Roman" w:eastAsia="Times New Roman" w:hAnsi="Times New Roman"/>
          <w:sz w:val="24"/>
          <w:szCs w:val="24"/>
        </w:rPr>
        <w:t xml:space="preserve">(1) π_G ∈ [0,1] with no point mass—the Beta distribution is the natural density for probabilities. (2) The Beta distribution is the conjugate prior for the Binomial likelihood (De Finetti, 1937; Gelman et al., 2013), yielding closed-form posterior updates without numerical integration. (3) The effective sample size (ESS) of the prior provides an interpretable measure of prior strength—ESS = α₀ + β₀ equivalent prior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Bayesian Update Rule for κ Calibration</w:t>
            </w:r>
          </w:p>
          <w:p>
            <w:pPr>
              <w:spacing w:before="40" w:after="40" w:line="260"/>
            </w:pPr>
            <w:r>
              <w:rPr>
                <w:rFonts w:ascii="Times New Roman" w:cs="Times New Roman" w:eastAsia="Times New Roman" w:hAnsi="Times New Roman"/>
                <w:sz w:val="22"/>
                <w:szCs w:val="22"/>
              </w:rPr>
              <w:t xml:space="preserve">Prior: π_G ~ Beta(α₀, β₀) where α₀ = β₀ = 5 (ESS = 10).</w:t>
            </w:r>
          </w:p>
          <w:p>
            <w:pPr>
              <w:spacing w:before="40" w:after="40" w:line="260"/>
            </w:pPr>
            <w:r>
              <w:rPr>
                <w:rFonts w:ascii="Times New Roman" w:cs="Times New Roman" w:eastAsia="Times New Roman" w:hAnsi="Times New Roman"/>
                <w:sz w:val="22"/>
                <w:szCs w:val="22"/>
              </w:rPr>
              <w:t xml:space="preserve">This reflects weak prior information: our best initial guess is π_G = 0.5 with uncertainty</w:t>
            </w:r>
          </w:p>
          <w:p>
            <w:pPr>
              <w:spacing w:before="40" w:after="40" w:line="260"/>
            </w:pPr>
            <w:r>
              <w:rPr>
                <w:rFonts w:ascii="Times New Roman" w:cs="Times New Roman" w:eastAsia="Times New Roman" w:hAnsi="Times New Roman"/>
                <w:sz w:val="22"/>
                <w:szCs w:val="22"/>
              </w:rPr>
              <w:t xml:space="preserve">equivalent to 10 prior observations. The prior is centered at 0.5 (maximum entropy over</w:t>
            </w:r>
          </w:p>
          <w:p>
            <w:pPr>
              <w:spacing w:before="40" w:after="40" w:line="260"/>
            </w:pPr>
            <w:r>
              <w:rPr>
                <w:rFonts w:ascii="Times New Roman" w:cs="Times New Roman" w:eastAsia="Times New Roman" w:hAnsi="Times New Roman"/>
                <w:sz w:val="22"/>
                <w:szCs w:val="22"/>
              </w:rPr>
              <w:t xml:space="preserve">uniform belief about improvement quality) rather than an optimistic estimate.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Update rule: After observing k successes in n outcomes:</w:t>
            </w:r>
          </w:p>
          <w:p>
            <w:pPr>
              <w:spacing w:before="40" w:after="40" w:line="260"/>
            </w:pPr>
            <w:r>
              <w:rPr>
                <w:rFonts w:ascii="Times New Roman" w:cs="Times New Roman" w:eastAsia="Times New Roman" w:hAnsi="Times New Roman"/>
                <w:sz w:val="22"/>
                <w:szCs w:val="22"/>
              </w:rPr>
              <w:t xml:space="preserve">  Posterior: π_G | data ~ Beta(α₀ + k, β₀ + n − k)</w:t>
            </w:r>
          </w:p>
          <w:p>
            <w:pPr>
              <w:spacing w:before="40" w:after="40" w:line="260"/>
            </w:pPr>
            <w:r>
              <w:rPr>
                <w:rFonts w:ascii="Times New Roman" w:cs="Times New Roman" w:eastAsia="Times New Roman" w:hAnsi="Times New Roman"/>
                <w:sz w:val="22"/>
                <w:szCs w:val="22"/>
              </w:rPr>
              <w:t xml:space="preserve">  Posterior mean: E[π_G | data] = (α₀ + k) / (α₀ + β₀ + 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Threshold calibration: Set κ_calibrated = 1 − E[π_G | data].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Derivation status: This formula is a heuristic approximation, not a direct consequence</w:t>
            </w:r>
          </w:p>
          <w:p>
            <w:pPr>
              <w:spacing w:before="40" w:after="40" w:line="260"/>
            </w:pPr>
            <w:r>
              <w:rPr>
                <w:rFonts w:ascii="Times New Roman" w:cs="Times New Roman" w:eastAsia="Times New Roman" w:hAnsi="Times New Roman"/>
                <w:sz w:val="22"/>
                <w:szCs w:val="22"/>
              </w:rPr>
              <w:t xml:space="preserve">of Paper 1's Theorem 4.3. Paper 1 derives κ* = 0.50 under symmetric losses when π = 0.5;</w:t>
            </w:r>
          </w:p>
          <w:p>
            <w:pPr>
              <w:spacing w:before="40" w:after="40" w:line="260"/>
            </w:pPr>
            <w:r>
              <w:rPr>
                <w:rFonts w:ascii="Times New Roman" w:cs="Times New Roman" w:eastAsia="Times New Roman" w:hAnsi="Times New Roman"/>
                <w:sz w:val="22"/>
                <w:szCs w:val="22"/>
              </w:rPr>
              <w:t xml:space="preserve">the general case depends on the likelihood ratio p_G(κ)/p_P(κ), which requires knowledge</w:t>
            </w:r>
          </w:p>
          <w:p>
            <w:pPr>
              <w:spacing w:before="40" w:after="40" w:line="260"/>
            </w:pPr>
            <w:r>
              <w:rPr>
                <w:rFonts w:ascii="Times New Roman" w:cs="Times New Roman" w:eastAsia="Times New Roman" w:hAnsi="Times New Roman"/>
                <w:sz w:val="22"/>
                <w:szCs w:val="22"/>
              </w:rPr>
              <w:t xml:space="preserve">of the score distributions—not just the marginal success probability π_G.</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formula κ = 1 − E[π_G] can be motivated as follows: under a uniform score</w:t>
            </w:r>
          </w:p>
          <w:p>
            <w:pPr>
              <w:spacing w:before="40" w:after="40" w:line="260"/>
            </w:pPr>
            <w:r>
              <w:rPr>
                <w:rFonts w:ascii="Times New Roman" w:cs="Times New Roman" w:eastAsia="Times New Roman" w:hAnsi="Times New Roman"/>
                <w:sz w:val="22"/>
                <w:szCs w:val="22"/>
              </w:rPr>
              <w:t xml:space="preserve">distribution on [0,1] and symmetric losses (L_FP = L_FN), the optimal threshold from</w:t>
            </w:r>
          </w:p>
          <w:p>
            <w:pPr>
              <w:spacing w:before="40" w:after="40" w:line="260"/>
            </w:pPr>
            <w:r>
              <w:rPr>
                <w:rFonts w:ascii="Times New Roman" w:cs="Times New Roman" w:eastAsia="Times New Roman" w:hAnsi="Times New Roman"/>
                <w:sz w:val="22"/>
                <w:szCs w:val="22"/>
              </w:rPr>
              <w:t xml:space="preserve">Paper 1 Theorem 4.3 reduces to κ* = 1 − π_G. This is the same limiting case derived</w:t>
            </w:r>
          </w:p>
          <w:p>
            <w:pPr>
              <w:spacing w:before="40" w:after="40" w:line="260"/>
            </w:pPr>
            <w:r>
              <w:rPr>
                <w:rFonts w:ascii="Times New Roman" w:cs="Times New Roman" w:eastAsia="Times New Roman" w:hAnsi="Times New Roman"/>
                <w:sz w:val="22"/>
                <w:szCs w:val="22"/>
              </w:rPr>
              <w:t xml:space="preserve">in Section 4.7 of Paper 1. As the network accumulates outcome data, κ_calibrated</w:t>
            </w:r>
          </w:p>
          <w:p>
            <w:pPr>
              <w:spacing w:before="40" w:after="40" w:line="260"/>
            </w:pPr>
            <w:r>
              <w:rPr>
                <w:rFonts w:ascii="Times New Roman" w:cs="Times New Roman" w:eastAsia="Times New Roman" w:hAnsi="Times New Roman"/>
                <w:sz w:val="22"/>
                <w:szCs w:val="22"/>
              </w:rPr>
              <w:t xml:space="preserve">adapts this approximation using the posterior mean. The approximation is reasonable</w:t>
            </w:r>
          </w:p>
          <w:p>
            <w:pPr>
              <w:spacing w:before="40" w:after="40" w:line="260"/>
            </w:pPr>
            <w:r>
              <w:rPr>
                <w:rFonts w:ascii="Times New Roman" w:cs="Times New Roman" w:eastAsia="Times New Roman" w:hAnsi="Times New Roman"/>
                <w:sz w:val="22"/>
                <w:szCs w:val="22"/>
              </w:rPr>
              <w:t xml:space="preserve">when the score distribution is not highly non-uniform; organizations with concentrated</w:t>
            </w:r>
          </w:p>
          <w:p>
            <w:pPr>
              <w:spacing w:before="40" w:after="40" w:line="260"/>
            </w:pPr>
            <w:r>
              <w:rPr>
                <w:rFonts w:ascii="Times New Roman" w:cs="Times New Roman" w:eastAsia="Times New Roman" w:hAnsi="Times New Roman"/>
                <w:sz w:val="22"/>
                <w:szCs w:val="22"/>
              </w:rPr>
              <w:t xml:space="preserve">score distributions should derive κ* directly from the likelihood ratio condition.</w:t>
            </w:r>
          </w:p>
          <w:p>
            <w:pPr>
              <w:spacing w:before="40" w:after="40" w:line="260"/>
            </w:pPr>
            <w:r>
              <w:rPr>
                <w:rFonts w:ascii="Times New Roman" w:cs="Times New Roman" w:eastAsia="Times New Roman" w:hAnsi="Times New Roman"/>
                <w:sz w:val="22"/>
                <w:szCs w:val="22"/>
              </w:rPr>
              <w:t xml:space="preserve">As the network accumulates outcome data, κ_calibrated converges</w:t>
            </w:r>
          </w:p>
          <w:p>
            <w:pPr>
              <w:spacing w:before="40" w:after="40" w:line="260"/>
            </w:pPr>
            <w:r>
              <w:rPr>
                <w:rFonts w:ascii="Times New Roman" w:cs="Times New Roman" w:eastAsia="Times New Roman" w:hAnsi="Times New Roman"/>
                <w:sz w:val="22"/>
                <w:szCs w:val="22"/>
              </w:rPr>
              <w:t xml:space="preserve">to the empirically supported optimal threshold.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Justification for conjugate model: The Binomial likelihood Pr(Y = 1 | π_G) = π_G is the</w:t>
            </w:r>
          </w:p>
          <w:p>
            <w:pPr>
              <w:spacing w:before="40" w:after="40" w:line="260"/>
            </w:pPr>
            <w:r>
              <w:rPr>
                <w:rFonts w:ascii="Times New Roman" w:cs="Times New Roman" w:eastAsia="Times New Roman" w:hAnsi="Times New Roman"/>
                <w:sz w:val="22"/>
                <w:szCs w:val="22"/>
              </w:rPr>
              <w:t xml:space="preserve">correct sampling distribution when each outcome is an independent binary event. The Beta</w:t>
            </w:r>
          </w:p>
          <w:p>
            <w:pPr>
              <w:spacing w:before="40" w:after="40" w:line="260"/>
            </w:pPr>
            <w:r>
              <w:rPr>
                <w:rFonts w:ascii="Times New Roman" w:cs="Times New Roman" w:eastAsia="Times New Roman" w:hAnsi="Times New Roman"/>
                <w:sz w:val="22"/>
                <w:szCs w:val="22"/>
              </w:rPr>
              <w:t xml:space="preserve">prior is conjugate to this likelihood (see Gelman et al., 2013, Chapter 2). This model</w:t>
            </w:r>
          </w:p>
          <w:p>
            <w:pPr>
              <w:spacing w:before="40" w:after="40" w:line="260"/>
            </w:pPr>
            <w:r>
              <w:rPr>
                <w:rFonts w:ascii="Times New Roman" w:cs="Times New Roman" w:eastAsia="Times New Roman" w:hAnsi="Times New Roman"/>
                <w:sz w:val="22"/>
                <w:szCs w:val="22"/>
              </w:rPr>
              <w:t xml:space="preserve">treats improvement outcomes as exchangeable Bernoulli trials—a modeling assumption that</w:t>
            </w:r>
          </w:p>
          <w:p>
            <w:pPr>
              <w:spacing w:before="40" w:after="40" w:line="260"/>
            </w:pPr>
            <w:r>
              <w:rPr>
                <w:rFonts w:ascii="Times New Roman" w:cs="Times New Roman" w:eastAsia="Times New Roman" w:hAnsi="Times New Roman"/>
                <w:sz w:val="22"/>
                <w:szCs w:val="22"/>
              </w:rPr>
              <w:t xml:space="preserve">requires review if substrate-specific success rates differ substantially across POs.</w:t>
            </w:r>
          </w:p>
        </w:tc>
      </w:tr>
    </w:tbl>
    <w:p>
      <w:pPr>
        <w:pStyle w:val="Heading2"/>
        <w:spacing w:before="240" w:after="120"/>
      </w:pPr>
      <w:r>
        <w:rPr>
          <w:rFonts w:ascii="Times New Roman" w:cs="Times New Roman" w:eastAsia="Times New Roman" w:hAnsi="Times New Roman"/>
          <w:b/>
          <w:bCs/>
          <w:color w:val="1F6B75"/>
          <w:sz w:val="26"/>
          <w:szCs w:val="26"/>
        </w:rPr>
        <w:t xml:space="preserve">6.2 Dependency Conditions</w:t>
      </w:r>
    </w:p>
    <w:p>
      <w:pPr>
        <w:spacing w:before="80" w:after="80" w:line="276"/>
        <w:jc w:val="both"/>
      </w:pPr>
      <w:r>
        <w:rPr>
          <w:rFonts w:ascii="Times New Roman" w:cs="Times New Roman" w:eastAsia="Times New Roman" w:hAnsi="Times New Roman"/>
          <w:sz w:val="24"/>
          <w:szCs w:val="24"/>
        </w:rPr>
        <w:t xml:space="preserve">The Beta-Binomial update rule assumes exchangeability of outcome observations across candidates. This assumption requires: (a) candidates are evaluated under consistent KVS parameters; (b) outcome measurement protocols are standardized across POs; (c) substrate-specific base rates do not systematically differ. Condition (c) is the most likely to be violated: healthcare protocols and software delivery systems may have inherently different base improvement rates.</w:t>
      </w:r>
    </w:p>
    <w:p>
      <w:pPr>
        <w:spacing w:before="80" w:after="80" w:line="276"/>
        <w:jc w:val="both"/>
      </w:pPr>
      <w:r>
        <w:rPr>
          <w:rFonts w:ascii="Times New Roman" w:cs="Times New Roman" w:eastAsia="Times New Roman" w:hAnsi="Times New Roman"/>
          <w:sz w:val="24"/>
          <w:szCs w:val="24"/>
        </w:rPr>
        <w:t xml:space="preserve">Mitigation: the calibration model is maintained separately per substrate type. Cross-substrate pooling requires explicit testing of the exchangeability assumption (Bayesian ANOVA across substrate types) before pooled inference is used for threshold adaptation.</w:t>
      </w:r>
    </w:p>
    <w:p>
      <w:pPr>
        <w:pStyle w:val="Heading2"/>
        <w:spacing w:before="240" w:after="120"/>
      </w:pPr>
      <w:r>
        <w:rPr>
          <w:rFonts w:ascii="Times New Roman" w:cs="Times New Roman" w:eastAsia="Times New Roman" w:hAnsi="Times New Roman"/>
          <w:b/>
          <w:bCs/>
          <w:color w:val="1F6B75"/>
          <w:sz w:val="26"/>
          <w:szCs w:val="26"/>
        </w:rPr>
        <w:t xml:space="preserve">6.3 Illustrative Posterior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2040"/>
        <w:gridCol w:w="1560"/>
        <w:gridCol w:w="2160"/>
      </w:tblGrid>
      <w:tr>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Quarter</w:t>
            </w:r>
          </w:p>
        </w:tc>
        <w:tc>
          <w:tcPr>
            <w:tcW w:type="dxa" w:w="20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New Outcomes (k/n)</w:t>
            </w:r>
          </w:p>
        </w:tc>
        <w:tc>
          <w:tcPr>
            <w:tcW w:type="dxa" w:w="20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Posterior Beta</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E[π_G]</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Recommended κ</w:t>
            </w:r>
          </w:p>
        </w:tc>
      </w:tr>
      <w:tr>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Prior</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0/0</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Beta(5, 5)</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0.500</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0.500</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Q1</w:t>
            </w:r>
          </w:p>
        </w:tc>
        <w:tc>
          <w:tcPr>
            <w:tcW w:type="dxa" w:w="2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3/5</w:t>
            </w:r>
          </w:p>
        </w:tc>
        <w:tc>
          <w:tcPr>
            <w:tcW w:type="dxa" w:w="2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Beta(8, 7)</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0.533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0.467</w:t>
            </w:r>
          </w:p>
        </w:tc>
      </w:tr>
      <w:tr>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Q2</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7/10</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Beta(15, 10)</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0.600</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0.400</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Q4 (annual)</w:t>
            </w:r>
          </w:p>
        </w:tc>
        <w:tc>
          <w:tcPr>
            <w:tcW w:type="dxa" w:w="2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18/30</w:t>
            </w:r>
          </w:p>
        </w:tc>
        <w:tc>
          <w:tcPr>
            <w:tcW w:type="dxa" w:w="2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Beta(23, 17)</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0.575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0.425</w:t>
            </w:r>
          </w:p>
        </w:tc>
      </w:tr>
      <w:tr>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Y2 aggregate</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40/60</w:t>
            </w:r>
          </w:p>
        </w:tc>
        <w:tc>
          <w:tcPr>
            <w:tcW w:type="dxa" w:w="20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Beta(45, 25)</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0.643</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0.357</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As more than 60% of outcomes prove successful, the calibrated threshold falls below 0.50—allowing the gate to surface more candidates. This is the intended self-tuning behavior: a network that discovers its KVS ≥ 0.50 candidates are predominantly succeeding has evidence to lower the gate.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7. Governance Closure: Temporal Consistency and Process-Equivalence</w:t>
      </w:r>
    </w:p>
    <w:p>
      <w:pPr>
        <w:pStyle w:val="Heading2"/>
        <w:spacing w:before="240" w:after="120"/>
      </w:pPr>
      <w:r>
        <w:rPr>
          <w:rFonts w:ascii="Times New Roman" w:cs="Times New Roman" w:eastAsia="Times New Roman" w:hAnsi="Times New Roman"/>
          <w:b/>
          <w:bCs/>
          <w:color w:val="1F6B75"/>
          <w:sz w:val="26"/>
          <w:szCs w:val="26"/>
        </w:rPr>
        <w:t xml:space="preserve">7.1 The Circularity Risk</w:t>
      </w:r>
    </w:p>
    <w:p>
      <w:pPr>
        <w:spacing w:before="80" w:after="80" w:line="276"/>
        <w:jc w:val="both"/>
      </w:pPr>
      <w:r>
        <w:rPr>
          <w:rFonts w:ascii="Times New Roman" w:cs="Times New Roman" w:eastAsia="Times New Roman" w:hAnsi="Times New Roman"/>
          <w:sz w:val="24"/>
          <w:szCs w:val="24"/>
        </w:rPr>
        <w:t xml:space="preserve">A self-referential improvement framework faces a structural risk: the governance body that oversees the framework's own evolution could modify the framework retroactively to ratify improvements that it previously rejected. This would constitute a fundamental violation of governance integrity—the rules cannot change to approve decisions already made under the old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7.1 (Temporal Consistency — No Retroactive Modification)</w:t>
            </w:r>
          </w:p>
          <w:p>
            <w:pPr>
              <w:spacing w:before="40" w:after="40" w:line="260"/>
            </w:pPr>
            <w:r>
              <w:rPr>
                <w:rFonts w:ascii="Times New Roman" w:cs="Times New Roman" w:eastAsia="Times New Roman" w:hAnsi="Times New Roman"/>
                <w:sz w:val="22"/>
                <w:szCs w:val="22"/>
              </w:rPr>
              <w:t xml:space="preserve">Let τ_eval denote the timestamp at which candidate c_j is evaluated under protocol version</w:t>
            </w:r>
          </w:p>
          <w:p>
            <w:pPr>
              <w:spacing w:before="40" w:after="40" w:line="260"/>
            </w:pPr>
            <w:r>
              <w:rPr>
                <w:rFonts w:ascii="Times New Roman" w:cs="Times New Roman" w:eastAsia="Times New Roman" w:hAnsi="Times New Roman"/>
                <w:sz w:val="22"/>
                <w:szCs w:val="22"/>
              </w:rPr>
              <w:t xml:space="preserve">P_v. Let τ_adopt denote the timestamp at which protocol modification P_{v+1} is ratified.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Theorem: If τ_adopt &gt; τ_eval, then the evaluation of c_j under P_v is immutable:</w:t>
            </w:r>
          </w:p>
          <w:p>
            <w:pPr>
              <w:spacing w:before="40" w:after="40" w:line="260"/>
            </w:pPr>
            <w:r>
              <w:rPr>
                <w:rFonts w:ascii="Times New Roman" w:cs="Times New Roman" w:eastAsia="Times New Roman" w:hAnsi="Times New Roman"/>
                <w:sz w:val="22"/>
                <w:szCs w:val="22"/>
              </w:rPr>
              <w:t xml:space="preserve">the score KVS(c_j, P_v) and the corresponding adoption or rejection decision are logged</w:t>
            </w:r>
          </w:p>
          <w:p>
            <w:pPr>
              <w:spacing w:before="40" w:after="40" w:line="260"/>
            </w:pPr>
            <w:r>
              <w:rPr>
                <w:rFonts w:ascii="Times New Roman" w:cs="Times New Roman" w:eastAsia="Times New Roman" w:hAnsi="Times New Roman"/>
                <w:sz w:val="22"/>
                <w:szCs w:val="22"/>
              </w:rPr>
              <w:t xml:space="preserve">permanently and cannot be altered by the adoption of P_{v+1}.</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w:t>
            </w:r>
          </w:p>
          <w:p>
            <w:pPr>
              <w:spacing w:before="40" w:after="40" w:line="260"/>
            </w:pPr>
            <w:r>
              <w:rPr>
                <w:rFonts w:ascii="Times New Roman" w:cs="Times New Roman" w:eastAsia="Times New Roman" w:hAnsi="Times New Roman"/>
                <w:sz w:val="22"/>
                <w:szCs w:val="22"/>
              </w:rPr>
              <w:t xml:space="preserve">Step 1: The Master Decision Log (MDL) is an append-only, cryptographically timestamped</w:t>
            </w:r>
          </w:p>
          <w:p>
            <w:pPr>
              <w:spacing w:before="40" w:after="40" w:line="260"/>
            </w:pPr>
            <w:r>
              <w:rPr>
                <w:rFonts w:ascii="Times New Roman" w:cs="Times New Roman" w:eastAsia="Times New Roman" w:hAnsi="Times New Roman"/>
                <w:sz w:val="22"/>
                <w:szCs w:val="22"/>
              </w:rPr>
              <w:t xml:space="preserve">        ledger. All KVS evaluations are recorded at τ_eval with the protocol version hash.</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Step 2: Protocol modifications are themselves improvement candidates evaluated under the</w:t>
            </w:r>
          </w:p>
          <w:p>
            <w:pPr>
              <w:spacing w:before="40" w:after="40" w:line="260"/>
            </w:pPr>
            <w:r>
              <w:rPr>
                <w:rFonts w:ascii="Times New Roman" w:cs="Times New Roman" w:eastAsia="Times New Roman" w:hAnsi="Times New Roman"/>
                <w:sz w:val="22"/>
                <w:szCs w:val="22"/>
              </w:rPr>
              <w:t xml:space="preserve">        current protocol P_v. Their evaluation timestamp τ_{mod_eval} satisfies</w:t>
            </w:r>
          </w:p>
          <w:p>
            <w:pPr>
              <w:spacing w:before="40" w:after="40" w:line="260"/>
            </w:pPr>
            <w:r>
              <w:rPr>
                <w:rFonts w:ascii="Times New Roman" w:cs="Times New Roman" w:eastAsia="Times New Roman" w:hAnsi="Times New Roman"/>
                <w:sz w:val="22"/>
                <w:szCs w:val="22"/>
              </w:rPr>
              <w:t xml:space="preserve">        τ_{mod_eval} ≤ τ_adopt (the modification is proposed before it is ratified).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Step 3: The temporal ordering τ_eval &lt; τ_adopt implies τ_eval &lt; τ_{mod_eval} ≤ τ_adopt.</w:t>
            </w:r>
          </w:p>
          <w:p>
            <w:pPr>
              <w:spacing w:before="40" w:after="40" w:line="260"/>
            </w:pPr>
            <w:r>
              <w:rPr>
                <w:rFonts w:ascii="Times New Roman" w:cs="Times New Roman" w:eastAsia="Times New Roman" w:hAnsi="Times New Roman"/>
                <w:sz w:val="22"/>
                <w:szCs w:val="22"/>
              </w:rPr>
              <w:t xml:space="preserve">        Any candidate evaluated before the modification proposal was recorded lies entirely</w:t>
            </w:r>
          </w:p>
          <w:p>
            <w:pPr>
              <w:spacing w:before="40" w:after="40" w:line="260"/>
            </w:pPr>
            <w:r>
              <w:rPr>
                <w:rFonts w:ascii="Times New Roman" w:cs="Times New Roman" w:eastAsia="Times New Roman" w:hAnsi="Times New Roman"/>
                <w:sz w:val="22"/>
                <w:szCs w:val="22"/>
              </w:rPr>
              <w:t xml:space="preserve">        before the modification's temporal scope.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Step 4: MDL immutability (cryptographic hash chaining) ensures that log entries with</w:t>
            </w:r>
          </w:p>
          <w:p>
            <w:pPr>
              <w:spacing w:before="40" w:after="40" w:line="260"/>
            </w:pPr>
            <w:r>
              <w:rPr>
                <w:rFonts w:ascii="Times New Roman" w:cs="Times New Roman" w:eastAsia="Times New Roman" w:hAnsi="Times New Roman"/>
                <w:sz w:val="22"/>
                <w:szCs w:val="22"/>
              </w:rPr>
              <w:t xml:space="preserve">        τ &lt; τ_adopt cannot be retroactively altered. Any tampering would break the hash</w:t>
            </w:r>
          </w:p>
          <w:p>
            <w:pPr>
              <w:spacing w:before="40" w:after="40" w:line="260"/>
            </w:pPr>
            <w:r>
              <w:rPr>
                <w:rFonts w:ascii="Times New Roman" w:cs="Times New Roman" w:eastAsia="Times New Roman" w:hAnsi="Times New Roman"/>
                <w:sz w:val="22"/>
                <w:szCs w:val="22"/>
              </w:rPr>
              <w:t xml:space="preserve">        chain and be detectable on audit.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Step 5: Therefore, P_{v+1} governs all candidates submitted after τ_adopt; P_v governs all</w:t>
            </w:r>
          </w:p>
          <w:p>
            <w:pPr>
              <w:spacing w:before="40" w:after="40" w:line="260"/>
            </w:pPr>
            <w:r>
              <w:rPr>
                <w:rFonts w:ascii="Times New Roman" w:cs="Times New Roman" w:eastAsia="Times New Roman" w:hAnsi="Times New Roman"/>
                <w:sz w:val="22"/>
                <w:szCs w:val="22"/>
              </w:rPr>
              <w:t xml:space="preserve">        candidates submitted at or before τ_eval. The temporal separation is complete.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Significance: This theorem is the formal guarantee that prevents the governance risk</w:t>
            </w:r>
          </w:p>
          <w:p>
            <w:pPr>
              <w:spacing w:before="40" w:after="40" w:line="260"/>
            </w:pPr>
            <w:r>
              <w:rPr>
                <w:rFonts w:ascii="Times New Roman" w:cs="Times New Roman" w:eastAsia="Times New Roman" w:hAnsi="Times New Roman"/>
                <w:sz w:val="22"/>
                <w:szCs w:val="22"/>
              </w:rPr>
              <w:t xml:space="preserve">described in Section 7.1. It depends on MDL cryptographic integrity—a technical requirement</w:t>
            </w:r>
          </w:p>
          <w:p>
            <w:pPr>
              <w:spacing w:before="40" w:after="40" w:line="260"/>
            </w:pPr>
            <w:r>
              <w:rPr>
                <w:rFonts w:ascii="Times New Roman" w:cs="Times New Roman" w:eastAsia="Times New Roman" w:hAnsi="Times New Roman"/>
                <w:sz w:val="22"/>
                <w:szCs w:val="22"/>
              </w:rPr>
              <w:t xml:space="preserve">that must be implemented, not assumed.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7.2 (Governance Process-Equivalence)</w:t>
            </w:r>
          </w:p>
          <w:p>
            <w:pPr>
              <w:spacing w:before="40" w:after="40" w:line="260"/>
            </w:pPr>
            <w:r>
              <w:rPr>
                <w:rFonts w:ascii="Times New Roman" w:cs="Times New Roman" w:eastAsia="Times New Roman" w:hAnsi="Times New Roman"/>
                <w:sz w:val="22"/>
                <w:szCs w:val="22"/>
              </w:rPr>
              <w:t xml:space="preserve">Let M denote the object-level improvement mechanism: score KVS, compare to threshold κ,</w:t>
            </w:r>
          </w:p>
          <w:p>
            <w:pPr>
              <w:spacing w:before="40" w:after="40" w:line="260"/>
            </w:pPr>
            <w:r>
              <w:rPr>
                <w:rFonts w:ascii="Times New Roman" w:cs="Times New Roman" w:eastAsia="Times New Roman" w:hAnsi="Times New Roman"/>
                <w:sz w:val="22"/>
                <w:szCs w:val="22"/>
              </w:rPr>
              <w:t xml:space="preserve">surface to principal, receive approval or rejection, log outcome. Let G denote the governance</w:t>
            </w:r>
          </w:p>
          <w:p>
            <w:pPr>
              <w:spacing w:before="40" w:after="40" w:line="260"/>
            </w:pPr>
            <w:r>
              <w:rPr>
                <w:rFonts w:ascii="Times New Roman" w:cs="Times New Roman" w:eastAsia="Times New Roman" w:hAnsi="Times New Roman"/>
                <w:sz w:val="22"/>
                <w:szCs w:val="22"/>
              </w:rPr>
              <w:t xml:space="preserve">protocol for proposed modifications to Meta-Kaizen parameters.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Theorem: G is process-equivalent to M in the following sense: proposed parameter modifications</w:t>
            </w:r>
          </w:p>
          <w:p>
            <w:pPr>
              <w:spacing w:before="40" w:after="40" w:line="260"/>
            </w:pPr>
            <w:r>
              <w:rPr>
                <w:rFonts w:ascii="Times New Roman" w:cs="Times New Roman" w:eastAsia="Times New Roman" w:hAnsi="Times New Roman"/>
                <w:sz w:val="22"/>
                <w:szCs w:val="22"/>
              </w:rPr>
              <w:t xml:space="preserve">are scored using the same KVS function, compared to the same threshold κ, surfaced to the</w:t>
            </w:r>
          </w:p>
          <w:p>
            <w:pPr>
              <w:spacing w:before="40" w:after="40" w:line="260"/>
            </w:pPr>
            <w:r>
              <w:rPr>
                <w:rFonts w:ascii="Times New Roman" w:cs="Times New Roman" w:eastAsia="Times New Roman" w:hAnsi="Times New Roman"/>
                <w:sz w:val="22"/>
                <w:szCs w:val="22"/>
              </w:rPr>
              <w:t xml:space="preserve">Governance Council, approved by federated supermajority (≥ 60% of POs), and logged in the</w:t>
            </w:r>
          </w:p>
          <w:p>
            <w:pPr>
              <w:spacing w:before="40" w:after="40" w:line="260"/>
            </w:pPr>
            <w:r>
              <w:rPr>
                <w:rFonts w:ascii="Times New Roman" w:cs="Times New Roman" w:eastAsia="Times New Roman" w:hAnsi="Times New Roman"/>
                <w:sz w:val="22"/>
                <w:szCs w:val="22"/>
              </w:rPr>
              <w:t xml:space="preserve">Master Decision Log with identical structure.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By construction of the Governance Council protocol (Section 4). A proposed modification</w:t>
            </w:r>
          </w:p>
          <w:p>
            <w:pPr>
              <w:spacing w:before="40" w:after="40" w:line="260"/>
            </w:pPr>
            <w:r>
              <w:rPr>
                <w:rFonts w:ascii="Times New Roman" w:cs="Times New Roman" w:eastAsia="Times New Roman" w:hAnsi="Times New Roman"/>
                <w:sz w:val="22"/>
                <w:szCs w:val="22"/>
              </w:rPr>
              <w:t xml:space="preserve">—for example, changing H_max from 60 to 90 months—is treated as an improvement candidate</w:t>
            </w:r>
          </w:p>
          <w:p>
            <w:pPr>
              <w:spacing w:before="40" w:after="40" w:line="260"/>
            </w:pPr>
            <w:r>
              <w:rPr>
                <w:rFonts w:ascii="Times New Roman" w:cs="Times New Roman" w:eastAsia="Times New Roman" w:hAnsi="Times New Roman"/>
                <w:sz w:val="22"/>
                <w:szCs w:val="22"/>
              </w:rPr>
              <w:t xml:space="preserve">for the Meta-Kaizen substrate S_MK (as defined in Paper 1, Theorem 4.2). Its KVS is computed</w:t>
            </w:r>
          </w:p>
          <w:p>
            <w:pPr>
              <w:spacing w:before="40" w:after="40" w:line="260"/>
            </w:pPr>
            <w:r>
              <w:rPr>
                <w:rFonts w:ascii="Times New Roman" w:cs="Times New Roman" w:eastAsia="Times New Roman" w:hAnsi="Times New Roman"/>
                <w:sz w:val="22"/>
                <w:szCs w:val="22"/>
              </w:rPr>
              <w:t xml:space="preserve">under current parameters. If KVS ≥ κ, the modification is surfaced to the GC for ratification.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IMPORTANT QUALIFICATION: Process-equivalence does not mean institutional identity.</w:t>
            </w:r>
          </w:p>
          <w:p>
            <w:pPr>
              <w:spacing w:before="40" w:after="40" w:line="260"/>
            </w:pPr>
            <w:r>
              <w:rPr>
                <w:rFonts w:ascii="Times New Roman" w:cs="Times New Roman" w:eastAsia="Times New Roman" w:hAnsi="Times New Roman"/>
                <w:sz w:val="22"/>
                <w:szCs w:val="22"/>
              </w:rPr>
              <w:t xml:space="preserve">Three differences between G and M are appropriate by design and do not constitute exceptions: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(1) Principal set: In G, the principal set is the Governance Council (all participating</w:t>
            </w:r>
          </w:p>
          <w:p>
            <w:pPr>
              <w:spacing w:before="40" w:after="40" w:line="260"/>
            </w:pPr>
            <w:r>
              <w:rPr>
                <w:rFonts w:ascii="Times New Roman" w:cs="Times New Roman" w:eastAsia="Times New Roman" w:hAnsi="Times New Roman"/>
                <w:sz w:val="22"/>
                <w:szCs w:val="22"/>
              </w:rPr>
              <w:t xml:space="preserve">    organizations); in M, it is the individual organization's designated principals.</w:t>
            </w:r>
          </w:p>
          <w:p>
            <w:pPr>
              <w:spacing w:before="40" w:after="40" w:line="260"/>
            </w:pPr>
            <w:r>
              <w:rPr>
                <w:rFonts w:ascii="Times New Roman" w:cs="Times New Roman" w:eastAsia="Times New Roman" w:hAnsi="Times New Roman"/>
                <w:sz w:val="22"/>
                <w:szCs w:val="22"/>
              </w:rPr>
              <w:t xml:space="preserve">    This is correct—protocol-level changes affect all participants and require collective</w:t>
            </w:r>
          </w:p>
          <w:p>
            <w:pPr>
              <w:spacing w:before="40" w:after="40" w:line="260"/>
            </w:pPr>
            <w:r>
              <w:rPr>
                <w:rFonts w:ascii="Times New Roman" w:cs="Times New Roman" w:eastAsia="Times New Roman" w:hAnsi="Times New Roman"/>
                <w:sz w:val="22"/>
                <w:szCs w:val="22"/>
              </w:rPr>
              <w:t xml:space="preserve">    approval, not unilateral action.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(2) Ratification threshold: G requires a supermajority (≥ 60% of POs); M requires</w:t>
            </w:r>
          </w:p>
          <w:p>
            <w:pPr>
              <w:spacing w:before="40" w:after="40" w:line="260"/>
            </w:pPr>
            <w:r>
              <w:rPr>
                <w:rFonts w:ascii="Times New Roman" w:cs="Times New Roman" w:eastAsia="Times New Roman" w:hAnsi="Times New Roman"/>
                <w:sz w:val="22"/>
                <w:szCs w:val="22"/>
              </w:rPr>
              <w:t xml:space="preserve">    individual principal sign-off. Higher stakes justify a higher ratification bar.</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(3) Review period: G includes a mandatory 30-day comment period before ratification; M</w:t>
            </w:r>
          </w:p>
          <w:p>
            <w:pPr>
              <w:spacing w:before="40" w:after="40" w:line="260"/>
            </w:pPr>
            <w:r>
              <w:rPr>
                <w:rFonts w:ascii="Times New Roman" w:cs="Times New Roman" w:eastAsia="Times New Roman" w:hAnsi="Times New Roman"/>
                <w:sz w:val="22"/>
                <w:szCs w:val="22"/>
              </w:rPr>
              <w:t xml:space="preserve">    allows immediate principal approval. Protocol changes require deliberation that</w:t>
            </w:r>
          </w:p>
          <w:p>
            <w:pPr>
              <w:spacing w:before="40" w:after="40" w:line="260"/>
            </w:pPr>
            <w:r>
              <w:rPr>
                <w:rFonts w:ascii="Times New Roman" w:cs="Times New Roman" w:eastAsia="Times New Roman" w:hAnsi="Times New Roman"/>
                <w:sz w:val="22"/>
                <w:szCs w:val="22"/>
              </w:rPr>
              <w:t xml:space="preserve">    individual improvements do not.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These differences are parameterizations of the governance mechanism, not departures from it.</w:t>
            </w:r>
          </w:p>
          <w:p>
            <w:pPr>
              <w:spacing w:before="40" w:after="40" w:line="260"/>
            </w:pPr>
            <w:r>
              <w:rPr>
                <w:rFonts w:ascii="Times New Roman" w:cs="Times New Roman" w:eastAsia="Times New Roman" w:hAnsi="Times New Roman"/>
                <w:sz w:val="22"/>
                <w:szCs w:val="22"/>
              </w:rPr>
              <w:t xml:space="preserve">The scoring function (KVS), threshold (κ), logging structure (MDL), and self-referential</w:t>
            </w:r>
          </w:p>
          <w:p>
            <w:pPr>
              <w:spacing w:before="40" w:after="40" w:line="260"/>
            </w:pPr>
            <w:r>
              <w:rPr>
                <w:rFonts w:ascii="Times New Roman" w:cs="Times New Roman" w:eastAsia="Times New Roman" w:hAnsi="Times New Roman"/>
                <w:sz w:val="22"/>
                <w:szCs w:val="22"/>
              </w:rPr>
              <w:t xml:space="preserve">applicability (Paper 1, Theorem 4.2) are identical.  □</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8. Cross-Organization Learning and Network Effects</w:t>
      </w:r>
    </w:p>
    <w:p>
      <w:pPr>
        <w:pStyle w:val="Heading2"/>
        <w:spacing w:before="240" w:after="120"/>
      </w:pPr>
      <w:r>
        <w:rPr>
          <w:rFonts w:ascii="Times New Roman" w:cs="Times New Roman" w:eastAsia="Times New Roman" w:hAnsi="Times New Roman"/>
          <w:b/>
          <w:bCs/>
          <w:color w:val="1F6B75"/>
          <w:sz w:val="26"/>
          <w:szCs w:val="26"/>
        </w:rPr>
        <w:t xml:space="preserve">8.1 Network Novelty vs. Local Novelty</w:t>
      </w:r>
    </w:p>
    <w:p>
      <w:pPr>
        <w:spacing w:before="80" w:after="80" w:line="276"/>
        <w:jc w:val="both"/>
      </w:pPr>
      <w:r>
        <w:rPr>
          <w:rFonts w:ascii="Times New Roman" w:cs="Times New Roman" w:eastAsia="Times New Roman" w:hAnsi="Times New Roman"/>
          <w:sz w:val="24"/>
          <w:szCs w:val="24"/>
        </w:rPr>
        <w:t xml:space="preserve">Under single-organization Meta-Kaizen, Novelty is measured as 1 minus the maximum Jaccard similarity to the organization's own prior four scans. Under network Meta-Kaizen, the reference set expands to include all records in the aggregate KRS (with privacy amplification preserving individual-record anonymity).</w:t>
      </w:r>
    </w:p>
    <w:p>
      <w:pPr>
        <w:spacing w:before="80" w:after="80" w:line="276"/>
        <w:jc w:val="both"/>
      </w:pPr>
      <w:r>
        <w:rPr>
          <w:rFonts w:ascii="Times New Roman" w:cs="Times New Roman" w:eastAsia="Times New Roman" w:hAnsi="Times New Roman"/>
          <w:sz w:val="24"/>
          <w:szCs w:val="24"/>
        </w:rPr>
        <w:t xml:space="preserve">The empirical consequence is a systematic novelty deflation for common domains. An improvement candidate in 'supply chain optimization' that would score N = 0.91 against a single organization's four recent scans may score N = 0.45 against the network KRS if many organizations have submitted supply chain candidates. This is the correct behavior: the network is accurately reporting that the idea is not novel at the network level.</w:t>
      </w:r>
    </w:p>
    <w:p>
      <w:pPr>
        <w:pStyle w:val="Heading2"/>
        <w:spacing w:before="240" w:after="120"/>
      </w:pPr>
      <w:r>
        <w:rPr>
          <w:rFonts w:ascii="Times New Roman" w:cs="Times New Roman" w:eastAsia="Times New Roman" w:hAnsi="Times New Roman"/>
          <w:b/>
          <w:bCs/>
          <w:color w:val="1F6B75"/>
          <w:sz w:val="26"/>
          <w:szCs w:val="26"/>
        </w:rPr>
        <w:t xml:space="preserve">8.2 Cross-Organization Overlap Analysis</w:t>
      </w:r>
    </w:p>
    <w:p>
      <w:pPr>
        <w:spacing w:before="80" w:after="80" w:line="276"/>
        <w:jc w:val="both"/>
      </w:pPr>
      <w:r>
        <w:rPr>
          <w:rFonts w:ascii="Times New Roman" w:cs="Times New Roman" w:eastAsia="Times New Roman" w:hAnsi="Times New Roman"/>
          <w:sz w:val="24"/>
          <w:szCs w:val="24"/>
        </w:rPr>
        <w:t xml:space="preserve">As the network accumulates records, the Aggregator can compute cross-substrate novelty profiles: how often does a domain that is novel for one substrate type also prove novel for others? This cross-substrate novelty correlation informs the domain rotation schedule recommendations for new participants.</w:t>
      </w:r>
    </w:p>
    <w:p>
      <w:pPr>
        <w:spacing w:before="80" w:after="80" w:line="276"/>
        <w:jc w:val="both"/>
      </w:pPr>
      <w:r>
        <w:rPr>
          <w:rFonts w:ascii="Times New Roman" w:cs="Times New Roman" w:eastAsia="Times New Roman" w:hAnsi="Times New Roman"/>
          <w:sz w:val="24"/>
          <w:szCs w:val="24"/>
        </w:rPr>
        <w:t xml:space="preserve">Table 8.1 presents illustrative values simulated for this paper by drawing 20–30 domain keyword sets per substrate type from the Meta-Kaizen domain library, computing mean pairwise Jaccard distances across substrate pairs, and averaging. These are not empirical network observations—no such network yet exists. They are offered to demonstrate the structure of the cross-substrate analysis and the plausible range of off-diagonal values under typical domain library assumptions.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1800"/>
        <w:gridCol w:w="2200"/>
      </w:tblGrid>
      <w:tr>
        <w:tc>
          <w:tcPr>
            <w:tcW w:type="dxa" w:w="27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Domain Novelty Against...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IPS Substrate</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Clinical Substrate</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DORA Substrate</w:t>
            </w:r>
          </w:p>
        </w:tc>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Lean Mfg</w:t>
            </w:r>
          </w:p>
        </w:tc>
      </w:tr>
      <w:tr>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IPS prior scans (n=20 POs)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1.00 (self)</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0.72</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0.61</w:t>
            </w:r>
          </w:p>
        </w:tc>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0.55</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Clinical prior scans (n=15 POs)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0.72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 (self)</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0.62</w:t>
            </w:r>
          </w:p>
        </w:tc>
      </w:tr>
      <w:tr>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DORA prior scans (n=18 POs)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0.61</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0.67</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1.00 (self)</w:t>
            </w:r>
          </w:p>
        </w:tc>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0.58</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Lean Mfg prior scans (n=12 POs)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0.55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0.58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 (self)</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The illustrative off-diagonal values (mean Jaccard novelty of one substrate's domain set against another's prior scans) range from 0.55 to 0.72, suggesting substantial cross-substrate novelty—domains novel in financial governance substrates are moderately novel in clinical substrates. This supports the Meta-Kaizen design choice of a single, universal domain library across substrate types. Empirical confirmation awaits the actual network data.</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9. Discussion, Limitations, and Anticipatory Responses</w:t>
      </w:r>
    </w:p>
    <w:p>
      <w:pPr>
        <w:pStyle w:val="Heading2"/>
        <w:spacing w:before="240" w:after="120"/>
      </w:pPr>
      <w:r>
        <w:rPr>
          <w:rFonts w:ascii="Times New Roman" w:cs="Times New Roman" w:eastAsia="Times New Roman" w:hAnsi="Times New Roman"/>
          <w:b/>
          <w:bCs/>
          <w:color w:val="1F6B75"/>
          <w:sz w:val="26"/>
          <w:szCs w:val="26"/>
        </w:rPr>
        <w:t xml:space="preserve">9.1 The Honest Majority Assumption</w:t>
      </w:r>
    </w:p>
    <w:p>
      <w:pPr>
        <w:spacing w:before="80" w:after="80" w:line="276"/>
        <w:jc w:val="both"/>
      </w:pPr>
      <w:r>
        <w:rPr>
          <w:rFonts w:ascii="Times New Roman" w:cs="Times New Roman" w:eastAsia="Times New Roman" w:hAnsi="Times New Roman"/>
          <w:sz w:val="24"/>
          <w:szCs w:val="24"/>
        </w:rPr>
        <w:t xml:space="preserve">The network governance architecture assumes that a majority of participating organizations contribute honest records. Under honest majority, strategic participants (who might inflate impact estimates to elevate domain novelty) are detectable through retrospective outcome comparison: inflated impact estimates will systematically fail to materialize, flagging their source in the annual review.</w:t>
      </w:r>
    </w:p>
    <w:p>
      <w:pPr>
        <w:spacing w:before="80" w:after="80" w:line="276"/>
        <w:jc w:val="both"/>
      </w:pPr>
      <w:r>
        <w:rPr>
          <w:rFonts w:ascii="Times New Roman" w:cs="Times New Roman" w:eastAsia="Times New Roman" w:hAnsi="Times New Roman"/>
          <w:sz w:val="24"/>
          <w:szCs w:val="24"/>
        </w:rPr>
        <w:t xml:space="preserve">If honest majority fails—for example, if a coordinated coalition of organizations systematically inflates records in a specific domain—the network novelty signal for that domain will be artificially depressed. No information-theoretic mechanism guarantees honest majority under fully adversarial participation. The Ostrom (1990) club goods structure creates strong reputational and access-based incentives for honesty; it does not make dishonesty impossible. We flag this as a limitation requiring ongoing monitoring.</w:t>
      </w:r>
    </w:p>
    <w:p>
      <w:pPr>
        <w:pStyle w:val="Heading2"/>
        <w:spacing w:before="240" w:after="120"/>
      </w:pPr>
      <w:r>
        <w:rPr>
          <w:rFonts w:ascii="Times New Roman" w:cs="Times New Roman" w:eastAsia="Times New Roman" w:hAnsi="Times New Roman"/>
          <w:b/>
          <w:bCs/>
          <w:color w:val="1F6B75"/>
          <w:sz w:val="26"/>
          <w:szCs w:val="26"/>
        </w:rPr>
        <w:t xml:space="preserve">9.2 The Bootstrap Problem</w:t>
      </w:r>
    </w:p>
    <w:p>
      <w:pPr>
        <w:spacing w:before="80" w:after="80" w:line="276"/>
        <w:jc w:val="both"/>
      </w:pPr>
      <w:r>
        <w:rPr>
          <w:rFonts w:ascii="Times New Roman" w:cs="Times New Roman" w:eastAsia="Times New Roman" w:hAnsi="Times New Roman"/>
          <w:sz w:val="24"/>
          <w:szCs w:val="24"/>
        </w:rPr>
        <w:t xml:space="preserve">A network of n &lt; 100 organizations cannot yet achieve the privacy amplification guaranteed by Theorem 3.1. Early-stage implementations should either: (a) operate as single-organization Meta-Kaizen without the shuffle architecture; (b) accept higher ε_central until the network reaches n*; or (c) apply synthetic perturbation at the individual-record level to compensate. Option (c) reduces signal quality proportionally; it is documented as a transitional compromise, not a permanent solution.</w:t>
      </w:r>
    </w:p>
    <w:p>
      <w:pPr>
        <w:pStyle w:val="Heading2"/>
        <w:spacing w:before="240" w:after="120"/>
      </w:pPr>
      <w:r>
        <w:rPr>
          <w:rFonts w:ascii="Times New Roman" w:cs="Times New Roman" w:eastAsia="Times New Roman" w:hAnsi="Times New Roman"/>
          <w:b/>
          <w:bCs/>
          <w:color w:val="1F6B75"/>
          <w:sz w:val="26"/>
          <w:szCs w:val="26"/>
        </w:rPr>
        <w:t xml:space="preserve">9.3 Regulatory Scope</w:t>
      </w:r>
    </w:p>
    <w:p>
      <w:pPr>
        <w:spacing w:before="80" w:after="80" w:line="276"/>
        <w:jc w:val="both"/>
      </w:pPr>
      <w:r>
        <w:rPr>
          <w:rFonts w:ascii="Times New Roman" w:cs="Times New Roman" w:eastAsia="Times New Roman" w:hAnsi="Times New Roman"/>
          <w:sz w:val="24"/>
          <w:szCs w:val="24"/>
        </w:rPr>
        <w:t xml:space="preserve">Depending on jurisdiction, the sharing of improvement records containing healthcare outcome data, financial performance data, or personal information may be subject to HIPAA, GDPR, or equivalent regulation. The differential privacy architecture (Theorem 3.1) substantially mitigates re-identification risk, but regulatory compliance requires legal review in each jurisdiction of implementation. This paper establishes the privacy guarantee structure; it does not constitute legal advice.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10. Conclusion</w:t>
      </w:r>
    </w:p>
    <w:p>
      <w:pPr>
        <w:spacing w:before="80" w:after="80" w:line="276"/>
        <w:jc w:val="both"/>
      </w:pPr>
      <w:r>
        <w:rPr>
          <w:rFonts w:ascii="Times New Roman" w:cs="Times New Roman" w:eastAsia="Times New Roman" w:hAnsi="Times New Roman"/>
          <w:sz w:val="24"/>
          <w:szCs w:val="24"/>
        </w:rPr>
        <w:t xml:space="preserve">This paper has proved three principal results and provided full justification for a fourth. Theorem 7.1 (Temporal Consistency) is the key governance integrity guarantee: no retroactive modification is possible under the cryptographic audit log architecture. Theorem 7.2 (Governance Process-Equivalence) establishes that the network governance protocol is KVS-governed—not a separate process exempt from the framework's own discipline. Theorem 3.1 (Minimum Network Size) grounds the n* ≥ 100 threshold in the published privacy amplification literature with explicit parameter values and derivation. The Bayesian calibration model is fully justified through the Beta-Binomial conjugate argument with explicit statement of its dependency conditions.</w:t>
      </w:r>
    </w:p>
    <w:p>
      <w:pPr>
        <w:spacing w:before="80" w:after="80" w:line="276"/>
        <w:jc w:val="both"/>
      </w:pPr>
      <w:r>
        <w:rPr>
          <w:rFonts w:ascii="Times New Roman" w:cs="Times New Roman" w:eastAsia="Times New Roman" w:hAnsi="Times New Roman"/>
          <w:sz w:val="24"/>
          <w:szCs w:val="24"/>
        </w:rPr>
        <w:t xml:space="preserve">The networked architecture transforms Meta-Kaizen from a single-organization governance tool into a collectively owned, privacy-preserving knowledge commons. Participants contribute records and receive network-wide novelty signals that no individual organization could generate alone. The governance structure ensures that this commons is durable—resistant to capture, temporally consistent, and self-governing through the same discipline it applies to its member organizations.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Corrections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1: Theorem 7.2 scope precisely characterized</w:t>
            </w:r>
          </w:p>
          <w:p>
            <w:pPr>
              <w:spacing w:before="40" w:after="40" w:line="260"/>
            </w:pPr>
            <w:r>
              <w:rPr>
                <w:rFonts w:ascii="Times New Roman" w:cs="Times New Roman" w:eastAsia="Times New Roman" w:hAnsi="Times New Roman"/>
                <w:sz w:val="22"/>
                <w:szCs w:val="22"/>
              </w:rPr>
              <w:t xml:space="preserve">Prior draft described Theorem 7.2 as proving that G is 'process-identical' to M.</w:t>
            </w:r>
          </w:p>
          <w:p>
            <w:pPr>
              <w:spacing w:before="40" w:after="40" w:line="260"/>
            </w:pPr>
            <w:r>
              <w:rPr>
                <w:rFonts w:ascii="Times New Roman" w:cs="Times New Roman" w:eastAsia="Times New Roman" w:hAnsi="Times New Roman"/>
                <w:sz w:val="22"/>
                <w:szCs w:val="22"/>
              </w:rPr>
              <w:t xml:space="preserve">The term 'process-identical' was inaccurate. G and M share the same scoring function,</w:t>
            </w:r>
          </w:p>
          <w:p>
            <w:pPr>
              <w:spacing w:before="40" w:after="40" w:line="260"/>
            </w:pPr>
            <w:r>
              <w:rPr>
                <w:rFonts w:ascii="Times New Roman" w:cs="Times New Roman" w:eastAsia="Times New Roman" w:hAnsi="Times New Roman"/>
                <w:sz w:val="22"/>
                <w:szCs w:val="22"/>
              </w:rPr>
              <w:t xml:space="preserve">threshold, and logging structure—but differ in principal set, ratification threshold,</w:t>
            </w:r>
          </w:p>
          <w:p>
            <w:pPr>
              <w:spacing w:before="40" w:after="40" w:line="260"/>
            </w:pPr>
            <w:r>
              <w:rPr>
                <w:rFonts w:ascii="Times New Roman" w:cs="Times New Roman" w:eastAsia="Times New Roman" w:hAnsi="Times New Roman"/>
                <w:sz w:val="22"/>
                <w:szCs w:val="22"/>
              </w:rPr>
              <w:t xml:space="preserve">and review period. These differences are appropriate by design. The theorem now uses</w:t>
            </w:r>
          </w:p>
          <w:p>
            <w:pPr>
              <w:spacing w:before="40" w:after="40" w:line="260"/>
            </w:pPr>
            <w:r>
              <w:rPr>
                <w:rFonts w:ascii="Times New Roman" w:cs="Times New Roman" w:eastAsia="Times New Roman" w:hAnsi="Times New Roman"/>
                <w:sz w:val="22"/>
                <w:szCs w:val="22"/>
              </w:rPr>
              <w:t xml:space="preserve">'process-equivalent' and explicitly characterizes the three institutional differences</w:t>
            </w:r>
          </w:p>
          <w:p>
            <w:pPr>
              <w:spacing w:before="40" w:after="40" w:line="260"/>
            </w:pPr>
            <w:r>
              <w:rPr>
                <w:rFonts w:ascii="Times New Roman" w:cs="Times New Roman" w:eastAsia="Times New Roman" w:hAnsi="Times New Roman"/>
                <w:sz w:val="22"/>
                <w:szCs w:val="22"/>
              </w:rPr>
              <w:t xml:space="preserve">and why they are parameterizations of the mechanism, not departures from it.</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2: Theorem 3.1 derivation added</w:t>
            </w:r>
          </w:p>
          <w:p>
            <w:pPr>
              <w:spacing w:before="40" w:after="40" w:line="260"/>
            </w:pPr>
            <w:r>
              <w:rPr>
                <w:rFonts w:ascii="Times New Roman" w:cs="Times New Roman" w:eastAsia="Times New Roman" w:hAnsi="Times New Roman"/>
                <w:sz w:val="22"/>
                <w:szCs w:val="22"/>
              </w:rPr>
              <w:t xml:space="preserve">Prior draft stated n* ≥ 100 without derivation. The complete derivation from Erlingsson</w:t>
            </w:r>
          </w:p>
          <w:p>
            <w:pPr>
              <w:spacing w:before="40" w:after="40" w:line="260"/>
            </w:pPr>
            <w:r>
              <w:rPr>
                <w:rFonts w:ascii="Times New Roman" w:cs="Times New Roman" w:eastAsia="Times New Roman" w:hAnsi="Times New Roman"/>
                <w:sz w:val="22"/>
                <w:szCs w:val="22"/>
              </w:rPr>
              <w:t xml:space="preserve">et al. (2019) and Feldman et al. (2021) has been added, including the specific parameter</w:t>
            </w:r>
          </w:p>
          <w:p>
            <w:pPr>
              <w:spacing w:before="40" w:after="40" w:line="260"/>
            </w:pPr>
            <w:r>
              <w:rPr>
                <w:rFonts w:ascii="Times New Roman" w:cs="Times New Roman" w:eastAsia="Times New Roman" w:hAnsi="Times New Roman"/>
                <w:sz w:val="22"/>
                <w:szCs w:val="22"/>
              </w:rPr>
              <w:t xml:space="preserve">values (ε_local = 3.0, δ = 10^{-5}), the resulting constraint n ≥ C² × 208.8, and the</w:t>
            </w:r>
          </w:p>
          <w:p>
            <w:pPr>
              <w:spacing w:before="40" w:after="40" w:line="260"/>
            </w:pPr>
            <w:r>
              <w:rPr>
                <w:rFonts w:ascii="Times New Roman" w:cs="Times New Roman" w:eastAsia="Times New Roman" w:hAnsi="Times New Roman"/>
                <w:sz w:val="22"/>
                <w:szCs w:val="22"/>
              </w:rPr>
              <w:t xml:space="preserve">honest acknowledgment that n* = 100 achieves ε_central ≈ 2.64 (not ε_central ≤ 1.0).</w:t>
            </w:r>
          </w:p>
          <w:p>
            <w:pPr>
              <w:spacing w:before="40" w:after="40" w:line="260"/>
            </w:pPr>
            <w:r>
              <w:rPr>
                <w:rFonts w:ascii="Times New Roman" w:cs="Times New Roman" w:eastAsia="Times New Roman" w:hAnsi="Times New Roman"/>
                <w:sz w:val="22"/>
                <w:szCs w:val="22"/>
              </w:rPr>
              <w:t xml:space="preserve">Table 3.1 shows ε_central across the full (ε_local, n) parameter space.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3: Bayesian model fully justified</w:t>
            </w:r>
          </w:p>
          <w:p>
            <w:pPr>
              <w:spacing w:before="40" w:after="40" w:line="260"/>
            </w:pPr>
            <w:r>
              <w:rPr>
                <w:rFonts w:ascii="Times New Roman" w:cs="Times New Roman" w:eastAsia="Times New Roman" w:hAnsi="Times New Roman"/>
                <w:sz w:val="22"/>
                <w:szCs w:val="22"/>
              </w:rPr>
              <w:t xml:space="preserve">Prior draft stated the Beta-Binomial update rule without explaining why the Beta prior is</w:t>
            </w:r>
          </w:p>
          <w:p>
            <w:pPr>
              <w:spacing w:before="40" w:after="40" w:line="260"/>
            </w:pPr>
            <w:r>
              <w:rPr>
                <w:rFonts w:ascii="Times New Roman" w:cs="Times New Roman" w:eastAsia="Times New Roman" w:hAnsi="Times New Roman"/>
                <w:sz w:val="22"/>
                <w:szCs w:val="22"/>
              </w:rPr>
              <w:t xml:space="preserve">appropriate. Section 6.1 now provides three explicit justifications (natural domain,</w:t>
            </w:r>
          </w:p>
          <w:p>
            <w:pPr>
              <w:spacing w:before="40" w:after="40" w:line="260"/>
            </w:pPr>
            <w:r>
              <w:rPr>
                <w:rFonts w:ascii="Times New Roman" w:cs="Times New Roman" w:eastAsia="Times New Roman" w:hAnsi="Times New Roman"/>
                <w:sz w:val="22"/>
                <w:szCs w:val="22"/>
              </w:rPr>
              <w:t xml:space="preserve">conjugacy, interpretable ESS) and states the exchangeability assumption underlying the</w:t>
            </w:r>
          </w:p>
          <w:p>
            <w:pPr>
              <w:spacing w:before="40" w:after="40" w:line="260"/>
            </w:pPr>
            <w:r>
              <w:rPr>
                <w:rFonts w:ascii="Times New Roman" w:cs="Times New Roman" w:eastAsia="Times New Roman" w:hAnsi="Times New Roman"/>
                <w:sz w:val="22"/>
                <w:szCs w:val="22"/>
              </w:rPr>
              <w:t xml:space="preserve">model with its primary failure mode and mitigation.</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References</w:t>
      </w:r>
    </w:p>
    <w:p>
      <w:pPr>
        <w:spacing w:before="80" w:after="80" w:line="276"/>
        <w:jc w:val="both"/>
      </w:pPr>
      <w:r>
        <w:rPr>
          <w:rFonts w:ascii="Times New Roman" w:cs="Times New Roman" w:eastAsia="Times New Roman" w:hAnsi="Times New Roman"/>
          <w:sz w:val="24"/>
          <w:szCs w:val="24"/>
        </w:rPr>
        <w:t xml:space="preserve">Buchanan, J. M. (1965). An economic theory of clubs. Economica, 32(125), 1–14.</w:t>
      </w:r>
    </w:p>
    <w:p>
      <w:pPr>
        <w:spacing w:before="80" w:after="80" w:line="276"/>
        <w:jc w:val="both"/>
      </w:pPr>
      <w:r>
        <w:rPr>
          <w:rFonts w:ascii="Times New Roman" w:cs="Times New Roman" w:eastAsia="Times New Roman" w:hAnsi="Times New Roman"/>
          <w:sz w:val="24"/>
          <w:szCs w:val="24"/>
        </w:rPr>
        <w:t xml:space="preserve">De Finetti, B. (1937). La prévision: ses lois logiques, ses sources subjectives. Annales de l'Institut Henri Poincaré, 7(1), 1–68.</w:t>
      </w:r>
    </w:p>
    <w:p>
      <w:pPr>
        <w:spacing w:before="80" w:after="80" w:line="276"/>
        <w:jc w:val="both"/>
      </w:pPr>
      <w:r>
        <w:rPr>
          <w:rFonts w:ascii="Times New Roman" w:cs="Times New Roman" w:eastAsia="Times New Roman" w:hAnsi="Times New Roman"/>
          <w:sz w:val="24"/>
          <w:szCs w:val="24"/>
        </w:rPr>
        <w:t xml:space="preserve">Erlingsson, Ú., Feldman, V., Mironov, I., Raghunathan, A., Talwar, K., &amp; Thakurta, A. (2019). Amplification by shuffling: From local to central differential privacy via anonymity. Proceedings of the 30th Annual ACM-SIAM Symposium on Discrete Algorithms (SODA 2019), 2468–2479.</w:t>
      </w:r>
    </w:p>
    <w:p>
      <w:pPr>
        <w:spacing w:before="80" w:after="80" w:line="276"/>
        <w:jc w:val="both"/>
      </w:pPr>
      <w:r>
        <w:rPr>
          <w:rFonts w:ascii="Times New Roman" w:cs="Times New Roman" w:eastAsia="Times New Roman" w:hAnsi="Times New Roman"/>
          <w:sz w:val="24"/>
          <w:szCs w:val="24"/>
        </w:rPr>
        <w:t xml:space="preserve">Feldman, V., McMillan, A., &amp; Talwar, K. (2021). Hiding among the clones: A simple and nearly optimal analysis of privacy amplification by shuffling. arXiv preprint arXiv:2012.12803.</w:t>
      </w:r>
    </w:p>
    <w:p>
      <w:pPr>
        <w:spacing w:before="80" w:after="80" w:line="276"/>
        <w:jc w:val="both"/>
      </w:pPr>
      <w:r>
        <w:rPr>
          <w:rFonts w:ascii="Times New Roman" w:cs="Times New Roman" w:eastAsia="Times New Roman" w:hAnsi="Times New Roman"/>
          <w:sz w:val="24"/>
          <w:szCs w:val="24"/>
        </w:rPr>
        <w:t xml:space="preserve">Gelman, A., Carlin, J. B., Stern, H. S., Dunson, D. B., Vehtari, A., &amp; Rubin, D. B. (2013). Bayesian data analysis (3rd ed.). CRC Press.</w:t>
      </w:r>
    </w:p>
    <w:p>
      <w:pPr>
        <w:spacing w:before="80" w:after="80" w:line="276"/>
        <w:jc w:val="both"/>
      </w:pPr>
      <w:r>
        <w:rPr>
          <w:rFonts w:ascii="Times New Roman" w:cs="Times New Roman" w:eastAsia="Times New Roman" w:hAnsi="Times New Roman"/>
          <w:sz w:val="24"/>
          <w:szCs w:val="24"/>
        </w:rPr>
        <w:t xml:space="preserve">Krantz, D. H., Luce, R. D., Suppes, P., &amp; Tversky, A. (1971). Foundations of measurement, Vol. 1. Academic Press.</w:t>
      </w:r>
    </w:p>
    <w:p>
      <w:pPr>
        <w:spacing w:before="80" w:after="80" w:line="276"/>
        <w:jc w:val="both"/>
      </w:pPr>
      <w:r>
        <w:rPr>
          <w:rFonts w:ascii="Times New Roman" w:cs="Times New Roman" w:eastAsia="Times New Roman" w:hAnsi="Times New Roman"/>
          <w:sz w:val="24"/>
          <w:szCs w:val="24"/>
        </w:rPr>
        <w:t xml:space="preserve">Luce, R. D., &amp; Tukey, J. W. (1964). Simultaneous conjoint measurement. Journal of Mathematical Psychology, 1(1), 1–27.</w:t>
      </w:r>
    </w:p>
    <w:p>
      <w:pPr>
        <w:spacing w:before="80" w:after="80" w:line="276"/>
        <w:jc w:val="both"/>
      </w:pPr>
      <w:r>
        <w:rPr>
          <w:rFonts w:ascii="Times New Roman" w:cs="Times New Roman" w:eastAsia="Times New Roman" w:hAnsi="Times New Roman"/>
          <w:sz w:val="24"/>
          <w:szCs w:val="24"/>
        </w:rPr>
        <w:t xml:space="preserve">Ostrom, E. (1990). Governing the commons: The evolution of institutions for collective action. Cambridge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2026-03-06T06:00:56.507Z</dcterms:created>
  <dcterms:modified xsi:type="dcterms:W3CDTF">2026-03-06T06:00:56.508Z</dcterms:modified>
</cp:coreProperties>
</file>

<file path=docProps/custom.xml><?xml version="1.0" encoding="utf-8"?>
<Properties xmlns="http://schemas.openxmlformats.org/officeDocument/2006/custom-properties" xmlns:vt="http://schemas.openxmlformats.org/officeDocument/2006/docPropsVTypes"/>
</file>