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Times New Roman" w:cs="Times New Roman" w:eastAsia="Times New Roman" w:hAnsi="Times New Roman"/>
          <w:i/>
          <w:iCs/>
          <w:color w:val="666666"/>
          <w:sz w:val="20"/>
          <w:szCs w:val="20"/>
        </w:rPr>
        <w:t xml:space="preserve">Meta-Kaizen Series · Paper 3 of 4</w:t>
      </w:r>
    </w:p>
    <w:p>
      <w:pPr>
        <w:spacing w:before="80" w:after="240"/>
        <w:jc w:val="center"/>
      </w:pPr>
      <w:r>
        <w:rPr>
          <w:rFonts w:ascii="Times New Roman" w:cs="Times New Roman" w:eastAsia="Times New Roman" w:hAnsi="Times New Roman"/>
          <w:b/>
          <w:bCs/>
          <w:color w:val="1F3864"/>
          <w:sz w:val="32"/>
          <w:szCs w:val="32"/>
        </w:rPr>
        <w:t xml:space="preserve">The Meta-Kaizen Reasoning Network: A Formal Theory of Bisociative Question Structure, Challenge Taxonomy, and Institutional Memory Propagation</w:t>
      </w:r>
    </w:p>
    <w:p>
      <w:pPr>
        <w:spacing w:before="120" w:after="60"/>
        <w:jc w:val="center"/>
      </w:pPr>
      <w:r>
        <w:rPr>
          <w:rFonts w:ascii="Times New Roman" w:cs="Times New Roman" w:eastAsia="Times New Roman" w:hAnsi="Times New Roman"/>
          <w:sz w:val="24"/>
          <w:szCs w:val="24"/>
        </w:rPr>
        <w:t xml:space="preserve">Thomas Brennan¹  ·  Sophia Entwood²  ·  Claude (Anthropic)³</w:t>
      </w:r>
    </w:p>
    <w:p>
      <w:pPr>
        <w:spacing w:before="60" w:after="240"/>
        <w:jc w:val="center"/>
      </w:pPr>
      <w:r>
        <w:rPr>
          <w:rFonts w:ascii="Times New Roman" w:cs="Times New Roman" w:eastAsia="Times New Roman" w:hAnsi="Times New Roman"/>
          <w:i/>
          <w:iCs/>
          <w:color w:val="555555"/>
          <w:sz w:val="20"/>
          <w:szCs w:val="20"/>
        </w:rPr>
        <w:t xml:space="preserve">March 2026  ·  Submitted for peer review  ·  Entwood Hollow Research Station Working Paper No. 3</w:t>
      </w:r>
    </w:p>
    <w:p>
      <w:pPr>
        <w:spacing w:before="40" w:after="40"/>
        <w:jc w:val="center"/>
      </w:pPr>
      <w:r>
        <w:rPr>
          <w:rFonts w:ascii="Times New Roman" w:cs="Times New Roman" w:eastAsia="Times New Roman" w:hAnsi="Times New Roman"/>
          <w:i/>
          <w:iCs/>
          <w:color w:val="888888"/>
          <w:sz w:val="18"/>
          <w:szCs w:val="18"/>
        </w:rPr>
        <w:t xml:space="preserve">Entwood Hollow Research Station is an independent research organization affiliated with the Entwood Long-Term Fund, a family investment office based in Douglas City, California. Research is conducted independently of commercial activities.</w:t>
      </w:r>
    </w:p>
    <w:p>
      <w:pPr>
        <w:pBdr>
          <w:bottom w:val="single" w:color="CCCCCC" w:sz="4" w:space="4"/>
        </w:pBdr>
        <w:spacing w:before="160" w:after="160"/>
      </w:pPr>
    </w:p>
    <w:p>
      <w:pPr>
        <w:spacing w:before="80" w:after="80" w:line="276"/>
        <w:jc w:val="both"/>
      </w:pPr>
      <w:r>
        <w:rPr>
          <w:rFonts w:ascii="Times New Roman" w:cs="Times New Roman" w:eastAsia="Times New Roman" w:hAnsi="Times New Roman"/>
          <w:i/>
          <w:iCs/>
          <w:color w:val="444444"/>
          <w:sz w:val="22"/>
          <w:szCs w:val="22"/>
        </w:rPr>
        <w:t xml:space="preserve">Conflict of interest: Both human authors are affiliated with the Entwood Long-Term Fund. The general theory, software library, and all mathematical formulations are contributed to the public domain. The IPS application described in worked examples is illustrative only. The AI co-author (Claude, Anthropic) provided methodological review, mathematical formalization, literature synthesis, and manuscript writing assistance.</w:t>
      </w:r>
    </w:p>
    <w:p>
      <w:pPr>
        <w:pStyle w:val="Heading2"/>
        <w:spacing w:before="240" w:after="120"/>
      </w:pPr>
      <w:r>
        <w:rPr>
          <w:rFonts w:ascii="Times New Roman" w:cs="Times New Roman" w:eastAsia="Times New Roman" w:hAnsi="Times New Roman"/>
          <w:b/>
          <w:bCs/>
          <w:color w:val="1F6B75"/>
          <w:sz w:val="26"/>
          <w:szCs w:val="26"/>
        </w:rPr>
        <w:t xml:space="preserve">Series Orientation</w:t>
      </w:r>
    </w:p>
    <w:p>
      <w:pPr>
        <w:spacing w:before="80" w:after="80" w:line="276"/>
        <w:jc w:val="both"/>
      </w:pPr>
      <w:r>
        <w:rPr>
          <w:rFonts w:ascii="Times New Roman" w:cs="Times New Roman" w:eastAsia="Times New Roman" w:hAnsi="Times New Roman"/>
          <w:sz w:val="24"/>
          <w:szCs w:val="24"/>
        </w:rPr>
        <w:t xml:space="preserve">This is Paper 3 of four in the Meta-Kaizen series. Paper 1 derived the general theory and KVS scoring function. Paper 2 proved the networked implementation and governance closure theorems. This paper extends the framework to the cognitive layer: how are bisociative questions structured, how are principal override decisions captured and propagated, and how is institutional reasoning preserved across personnel transitions? Paper 4 integrates the Fractal Rhythm Model for regime-aware governance.</w:t>
      </w:r>
    </w:p>
    <w:p>
      <w:pPr>
        <w:pBdr>
          <w:bottom w:val="single" w:color="CCCCCC" w:sz="4" w:space="4"/>
        </w:pBdr>
        <w:spacing w:before="160" w:after="160"/>
      </w:pPr>
    </w:p>
    <w:p>
      <w:pPr>
        <w:pStyle w:val="Heading2"/>
        <w:spacing w:before="240" w:after="120"/>
      </w:pPr>
      <w:r>
        <w:rPr>
          <w:rFonts w:ascii="Times New Roman" w:cs="Times New Roman" w:eastAsia="Times New Roman" w:hAnsi="Times New Roman"/>
          <w:b/>
          <w:bCs/>
          <w:color w:val="1F6B75"/>
          <w:sz w:val="26"/>
          <w:szCs w:val="26"/>
        </w:rPr>
        <w:t xml:space="preserve">Abstract</w:t>
      </w:r>
    </w:p>
    <w:p>
      <w:pPr>
        <w:spacing w:before="80" w:after="80" w:line="276"/>
        <w:jc w:val="both"/>
      </w:pPr>
      <w:r>
        <w:rPr>
          <w:rFonts w:ascii="Times New Roman" w:cs="Times New Roman" w:eastAsia="Times New Roman" w:hAnsi="Times New Roman"/>
          <w:sz w:val="24"/>
          <w:szCs w:val="24"/>
        </w:rPr>
        <w:t xml:space="preserve">Meta-Kaizen's bisociation mechanism (Papers 1–2) generates improvement candidates by importing structural analogies from orthogonal domains. But the mechanism produces ideas, not arguments. This paper addresses the upstream structure: what is the form of a well-posed bisociative question, and how are the reasoning chains underlying improvement decisions captured and made reusable?</w:t>
      </w:r>
    </w:p>
    <w:p>
      <w:pPr>
        <w:spacing w:before="80" w:after="80" w:line="276"/>
        <w:jc w:val="both"/>
      </w:pPr>
      <w:r>
        <w:rPr>
          <w:rFonts w:ascii="Times New Roman" w:cs="Times New Roman" w:eastAsia="Times New Roman" w:hAnsi="Times New Roman"/>
          <w:sz w:val="24"/>
          <w:szCs w:val="24"/>
        </w:rPr>
        <w:t xml:space="preserve">We introduce the four-element Question Structure Schema (QSS) for bisociative question specification: Governing Assumption (A), Orthogonal Domain (D), Structural Principle (P), and Applicability Condition (C). We prove, via constructive counterexample, that no proper subset of {A, D, P, C} generates the full space of reusable institutional insights—each element is necessary. We formalize the Challenge Taxonomy, grounding it in Aristotle's four-fold classification of predicables (Topics I.4, 101b11–20) and proving its exhaustiveness through the logical partition established in that tradition.</w:t>
      </w:r>
    </w:p>
    <w:p>
      <w:pPr>
        <w:spacing w:before="80" w:after="80" w:line="276"/>
        <w:jc w:val="both"/>
      </w:pPr>
      <w:r>
        <w:rPr>
          <w:rFonts w:ascii="Times New Roman" w:cs="Times New Roman" w:eastAsia="Times New Roman" w:hAnsi="Times New Roman"/>
          <w:sz w:val="24"/>
          <w:szCs w:val="24"/>
        </w:rPr>
        <w:t xml:space="preserve">We then formalize Institutional Memory Loss as a measurable organizational hazard and propose a structured Library Record format that preserves sufficient context for propagation across personnel transitions. Theorem 5.3 (Library Quality Convergence) shows that, under an honest majority of contributing practitioners and retrospective validation, the library converges to a quality-filtered record set as the number of cycles grows.</w:t>
      </w:r>
    </w:p>
    <w:p>
      <w:pPr>
        <w:spacing w:before="80" w:after="80" w:line="276"/>
        <w:jc w:val="both"/>
      </w:pPr>
      <w:r>
        <w:rPr>
          <w:rFonts w:ascii="Times New Roman" w:cs="Times New Roman" w:eastAsia="Times New Roman" w:hAnsi="Times New Roman"/>
          <w:sz w:val="24"/>
          <w:szCs w:val="24"/>
        </w:rPr>
        <w:t xml:space="preserve">A key epistemological clarification: the self-KVS scoring of this paper (Appendix A, KVS = 0.413) is presented as a demonstration of the framework's self-referential applicability (Paper 1, Theorem 4.2). It cannot and does not constitute independent evidence of this paper's quality—the researchers who constructed the framework are not independent evaluators of it. The score is explicitly labeled a methodological demonstration.</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1. Introduction</w:t>
      </w:r>
    </w:p>
    <w:p>
      <w:pPr>
        <w:spacing w:before="80" w:after="80" w:line="276"/>
        <w:jc w:val="both"/>
      </w:pPr>
      <w:r>
        <w:rPr>
          <w:rFonts w:ascii="Times New Roman" w:cs="Times New Roman" w:eastAsia="Times New Roman" w:hAnsi="Times New Roman"/>
          <w:sz w:val="24"/>
          <w:szCs w:val="24"/>
        </w:rPr>
        <w:t xml:space="preserve">Readers entering the series at this paper: Meta-Kaizen (Paper 1) is a formally specified framework for continuous improvement of governance substrates—structured documents and process specifications that define the operating rules of a system. Its core tool is the Kaizen Variation Score (KVS = N × I′ × C′ × T), a multiplicative scoring function over Novelty, Impact, inverse Complexity, and Timeliness. The primary mechanism for generating high-Novelty improvement candidates is bisociation (Koestler, 1964): importing structural analogies from a domain deliberately chosen to be distant from the substrate's primary domain. For example, an investment governance substrate (an IPS) might draw inspiration from mycorrhizal fungal network ecology. Paper 2 proved that this architecture scales to federated networks of organizations while preserving privacy. This paper formalizes the cognitive infrastructure that makes bisociative reasoning reusable across time and personnel.</w:t>
      </w:r>
    </w:p>
    <w:p>
      <w:pPr>
        <w:spacing w:before="80" w:after="80" w:line="276"/>
        <w:jc w:val="both"/>
      </w:pPr>
      <w:r>
        <w:rPr>
          <w:rFonts w:ascii="Times New Roman" w:cs="Times New Roman" w:eastAsia="Times New Roman" w:hAnsi="Times New Roman"/>
          <w:sz w:val="24"/>
          <w:szCs w:val="24"/>
        </w:rPr>
        <w:t xml:space="preserve">The bisociation mechanism (Koestler, 1964) operates at the boundary between two incompatible conceptual frames. It is inherently generative—it produces ideas. But ideas are not fully reusable reasoning. When a practitioner in Year 3 reviews an improvement record from Year 1, she faces a reconstruction problem: what was the question that led to this insight? What assumption was being challenged? Under what conditions does the insight apply?</w:t>
      </w:r>
    </w:p>
    <w:p>
      <w:pPr>
        <w:spacing w:before="80" w:after="80" w:line="276"/>
        <w:jc w:val="both"/>
      </w:pPr>
      <w:r>
        <w:rPr>
          <w:rFonts w:ascii="Times New Roman" w:cs="Times New Roman" w:eastAsia="Times New Roman" w:hAnsi="Times New Roman"/>
          <w:sz w:val="24"/>
          <w:szCs w:val="24"/>
        </w:rPr>
        <w:t xml:space="preserve">Without explicit documentation of the reasoning structure underlying an improvement candidate, the improvement record is a conclusion without a proof. The practitioner can reuse the outcome but not the method of discovery. This imposes a systematic limit on organizational learning: each generation of practitioners must partially rediscover the reasoning that their predecessors used.</w:t>
      </w:r>
    </w:p>
    <w:p>
      <w:pPr>
        <w:spacing w:before="80" w:after="80" w:line="276"/>
        <w:jc w:val="both"/>
      </w:pPr>
      <w:r>
        <w:rPr>
          <w:rFonts w:ascii="Times New Roman" w:cs="Times New Roman" w:eastAsia="Times New Roman" w:hAnsi="Times New Roman"/>
          <w:sz w:val="24"/>
          <w:szCs w:val="24"/>
        </w:rPr>
        <w:t xml:space="preserve">This paper addresses that limit. The Question Structure Schema (QSS) is a four-element specification format for bisociative questions. The Challenge Taxonomy maps all conceivable challenges to the KVS framework onto an exhaustive, non-overlapping classification. The Library Record is a structured format for preserving sufficient reasoning context for propagation. Together these three contributions constitute the cognitive infrastructure that transforms Meta-Kaizen from an idea-generation system into a self-propagating institutional learning system.</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2. Intellectual Genealogy</w:t>
      </w:r>
    </w:p>
    <w:p>
      <w:pPr>
        <w:pStyle w:val="Heading2"/>
        <w:spacing w:before="240" w:after="120"/>
      </w:pPr>
      <w:r>
        <w:rPr>
          <w:rFonts w:ascii="Times New Roman" w:cs="Times New Roman" w:eastAsia="Times New Roman" w:hAnsi="Times New Roman"/>
          <w:b/>
          <w:bCs/>
          <w:color w:val="1F6B75"/>
          <w:sz w:val="26"/>
          <w:szCs w:val="26"/>
        </w:rPr>
        <w:t xml:space="preserve">2.1 Aristotle's Topica and the Structure of Productive Questions</w:t>
      </w:r>
    </w:p>
    <w:p>
      <w:pPr>
        <w:spacing w:before="80" w:after="80" w:line="276"/>
        <w:jc w:val="both"/>
      </w:pPr>
      <w:r>
        <w:rPr>
          <w:rFonts w:ascii="Times New Roman" w:cs="Times New Roman" w:eastAsia="Times New Roman" w:hAnsi="Times New Roman"/>
          <w:sz w:val="24"/>
          <w:szCs w:val="24"/>
        </w:rPr>
        <w:t xml:space="preserve">The philosophical roots of structured bisociative questioning trace to Aristotle's Topica (ca. 350 BCE), a systematic treatise on productive intellectual questioning. The Topics is not primarily a logic text in the modern sense; it is a practical guide to the art of productive intellectual dialogue—finding the questions most likely to lead from shared premises to new understanding. The Roman legal tradition, particularly the system of loci communes (common places) developed by Cicero and Quintilian, translated this Aristotelian framework into a structured system of question generation used in legal argumentation.</w:t>
      </w:r>
    </w:p>
    <w:p>
      <w:pPr>
        <w:spacing w:before="80" w:after="80" w:line="276"/>
        <w:jc w:val="both"/>
      </w:pPr>
      <w:r>
        <w:rPr>
          <w:rFonts w:ascii="Times New Roman" w:cs="Times New Roman" w:eastAsia="Times New Roman" w:hAnsi="Times New Roman"/>
          <w:sz w:val="24"/>
          <w:szCs w:val="24"/>
        </w:rPr>
        <w:t xml:space="preserve">The medieval questio disputata—the structured scholarly debate format used in institutions from Bologna to Paris—inherited this tradition directly. A well-formed questio required: an explicit statement of the claim being tested (analogous to A, the governing assumption), a domain of comparison (analogous to D), the principle extracted from that comparison (analogous to P), and the conditions of application (analogous to C). The QSS is a formal reconstruction of this 2,300-year-old tradition in measurement-theoretic terms.</w:t>
      </w:r>
    </w:p>
    <w:p>
      <w:pPr>
        <w:pStyle w:val="Heading2"/>
        <w:spacing w:before="240" w:after="120"/>
      </w:pPr>
      <w:r>
        <w:rPr>
          <w:rFonts w:ascii="Times New Roman" w:cs="Times New Roman" w:eastAsia="Times New Roman" w:hAnsi="Times New Roman"/>
          <w:b/>
          <w:bCs/>
          <w:color w:val="1F6B75"/>
          <w:sz w:val="26"/>
          <w:szCs w:val="26"/>
        </w:rPr>
        <w:t xml:space="preserve">2.2 Koestler's Bisociation and the Computational Literature</w:t>
      </w:r>
    </w:p>
    <w:p>
      <w:pPr>
        <w:spacing w:before="80" w:after="80" w:line="276"/>
        <w:jc w:val="both"/>
      </w:pPr>
      <w:r>
        <w:rPr>
          <w:rFonts w:ascii="Times New Roman" w:cs="Times New Roman" w:eastAsia="Times New Roman" w:hAnsi="Times New Roman"/>
          <w:sz w:val="24"/>
          <w:szCs w:val="24"/>
        </w:rPr>
        <w:t xml:space="preserve">Koestler's (1964) bisociation framework posits that creative insights arise from the simultaneous activation of two habitually incompatible 'matrices of thought.' The intersection of these matrices—not the matrices themselves—is the locus of innovation. Dubitzky et al. (2012) operationalized this computationally in bisociative knowledge discovery, applying graph-theoretic methods to identify bridging nodes between semantic networks. The QSS translates this computational approach into a human-executable protocol: the bisociative bridge is explicitly specified as a Structural Principle (P) extracted from the Orthogonal Domain (D).</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3. The Question Structure Schema</w:t>
      </w:r>
    </w:p>
    <w:p>
      <w:pPr>
        <w:pStyle w:val="Heading2"/>
        <w:spacing w:before="240" w:after="120"/>
      </w:pPr>
      <w:r>
        <w:rPr>
          <w:rFonts w:ascii="Times New Roman" w:cs="Times New Roman" w:eastAsia="Times New Roman" w:hAnsi="Times New Roman"/>
          <w:b/>
          <w:bCs/>
          <w:color w:val="1F6B75"/>
          <w:sz w:val="26"/>
          <w:szCs w:val="26"/>
        </w:rPr>
        <w:t xml:space="preserve">3.1 The Four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Definition 3.1 (Question Structure Schema)</w:t>
            </w:r>
          </w:p>
          <w:p>
            <w:pPr>
              <w:spacing w:before="40" w:after="40" w:line="260"/>
            </w:pPr>
            <w:r>
              <w:rPr>
                <w:rFonts w:ascii="Times New Roman" w:cs="Times New Roman" w:eastAsia="Times New Roman" w:hAnsi="Times New Roman"/>
                <w:sz w:val="22"/>
                <w:szCs w:val="22"/>
              </w:rPr>
              <w:t xml:space="preserve">A well-formed bisociative question Q is a four-element tuple Q = (A, D, P, C) where:</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A = Governing Assumption: The assumption embedded in the current substrate's practices</w:t>
            </w:r>
          </w:p>
          <w:p>
            <w:pPr>
              <w:spacing w:before="40" w:after="40" w:line="260"/>
            </w:pPr>
            <w:r>
              <w:rPr>
                <w:rFonts w:ascii="Times New Roman" w:cs="Times New Roman" w:eastAsia="Times New Roman" w:hAnsi="Times New Roman"/>
                <w:sz w:val="22"/>
                <w:szCs w:val="22"/>
              </w:rPr>
              <w:t xml:space="preserve">    that is being challenged by the bisociation. Stated as: 'We currently assume that...'</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D = Orthogonal Domain: The domain of human knowledge or practice from which the</w:t>
            </w:r>
          </w:p>
          <w:p>
            <w:pPr>
              <w:spacing w:before="40" w:after="40" w:line="260"/>
            </w:pPr>
            <w:r>
              <w:rPr>
                <w:rFonts w:ascii="Times New Roman" w:cs="Times New Roman" w:eastAsia="Times New Roman" w:hAnsi="Times New Roman"/>
                <w:sz w:val="22"/>
                <w:szCs w:val="22"/>
              </w:rPr>
              <w:t xml:space="preserve">    bisociative analogy is drawn. The administrator identifies D, assembles D's keyword</w:t>
            </w:r>
          </w:p>
          <w:p>
            <w:pPr>
              <w:spacing w:before="40" w:after="40" w:line="260"/>
            </w:pPr>
            <w:r>
              <w:rPr>
                <w:rFonts w:ascii="Times New Roman" w:cs="Times New Roman" w:eastAsia="Times New Roman" w:hAnsi="Times New Roman"/>
                <w:sz w:val="22"/>
                <w:szCs w:val="22"/>
              </w:rPr>
              <w:t xml:space="preserve">    set K_D, then verifies Jaccard(K_D, K_substrate) ≥ 0.70 before proceeding (per</w:t>
            </w:r>
          </w:p>
          <w:p>
            <w:pPr>
              <w:spacing w:before="40" w:after="40" w:line="260"/>
            </w:pPr>
            <w:r>
              <w:rPr>
                <w:rFonts w:ascii="Times New Roman" w:cs="Times New Roman" w:eastAsia="Times New Roman" w:hAnsi="Times New Roman"/>
                <w:sz w:val="22"/>
                <w:szCs w:val="22"/>
              </w:rPr>
              <w:t xml:space="preserve">    Definition 4.2, Paper 1). This is a verification step performed on the already-</w:t>
            </w:r>
          </w:p>
          <w:p>
            <w:pPr>
              <w:spacing w:before="40" w:after="40" w:line="260"/>
            </w:pPr>
            <w:r>
              <w:rPr>
                <w:rFonts w:ascii="Times New Roman" w:cs="Times New Roman" w:eastAsia="Times New Roman" w:hAnsi="Times New Roman"/>
                <w:sz w:val="22"/>
                <w:szCs w:val="22"/>
              </w:rPr>
              <w:t xml:space="preserve">    identified D, not a condition on a partially-defined input—D is first chosen on</w:t>
            </w:r>
          </w:p>
          <w:p>
            <w:pPr>
              <w:spacing w:before="40" w:after="40" w:line="260"/>
            </w:pPr>
            <w:r>
              <w:rPr>
                <w:rFonts w:ascii="Times New Roman" w:cs="Times New Roman" w:eastAsia="Times New Roman" w:hAnsi="Times New Roman"/>
                <w:sz w:val="22"/>
                <w:szCs w:val="22"/>
              </w:rPr>
              <w:t xml:space="preserve">    intuitive grounds, then tested for the required domain distance.</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P = Structural Principle: The generalizable insight extracted from D that challenges A.</w:t>
            </w:r>
          </w:p>
          <w:p>
            <w:pPr>
              <w:spacing w:before="40" w:after="40" w:line="260"/>
            </w:pPr>
            <w:r>
              <w:rPr>
                <w:rFonts w:ascii="Times New Roman" w:cs="Times New Roman" w:eastAsia="Times New Roman" w:hAnsi="Times New Roman"/>
                <w:sz w:val="22"/>
                <w:szCs w:val="22"/>
              </w:rPr>
              <w:t xml:space="preserve">    Stated as: 'In domain D, the organizing principle is...'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C = Applicability Condition: The conditions under which P applies to the substrate.</w:t>
            </w:r>
          </w:p>
          <w:p>
            <w:pPr>
              <w:spacing w:before="40" w:after="40" w:line="260"/>
            </w:pPr>
            <w:r>
              <w:rPr>
                <w:rFonts w:ascii="Times New Roman" w:cs="Times New Roman" w:eastAsia="Times New Roman" w:hAnsi="Times New Roman"/>
                <w:sz w:val="22"/>
                <w:szCs w:val="22"/>
              </w:rPr>
              <w:t xml:space="preserve">    Stated as: 'P applies to our substrate when...'</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The bisociative question in full form: 'Given that we assume A, and given that domain D</w:t>
            </w:r>
          </w:p>
          <w:p>
            <w:pPr>
              <w:spacing w:before="40" w:after="40" w:line="260"/>
            </w:pPr>
            <w:r>
              <w:rPr>
                <w:rFonts w:ascii="Times New Roman" w:cs="Times New Roman" w:eastAsia="Times New Roman" w:hAnsi="Times New Roman"/>
                <w:sz w:val="22"/>
                <w:szCs w:val="22"/>
              </w:rPr>
              <w:t xml:space="preserve">operates according to principle P under condition C, what would our substrate look like if</w:t>
            </w:r>
          </w:p>
          <w:p>
            <w:pPr>
              <w:spacing w:before="40" w:after="40" w:line="260"/>
            </w:pPr>
            <w:r>
              <w:rPr>
                <w:rFonts w:ascii="Times New Roman" w:cs="Times New Roman" w:eastAsia="Times New Roman" w:hAnsi="Times New Roman"/>
                <w:sz w:val="22"/>
                <w:szCs w:val="22"/>
              </w:rPr>
              <w:t xml:space="preserve">we replaced A with P wherever C holds?'</w:t>
            </w:r>
          </w:p>
        </w:tc>
      </w:tr>
    </w:tbl>
    <w:p>
      <w:pPr>
        <w:pStyle w:val="Heading2"/>
        <w:spacing w:before="240" w:after="120"/>
      </w:pPr>
      <w:r>
        <w:rPr>
          <w:rFonts w:ascii="Times New Roman" w:cs="Times New Roman" w:eastAsia="Times New Roman" w:hAnsi="Times New Roman"/>
          <w:b/>
          <w:bCs/>
          <w:color w:val="1F6B75"/>
          <w:sz w:val="26"/>
          <w:szCs w:val="26"/>
        </w:rPr>
        <w:t xml:space="preserve">3.2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F"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QSS Example: IPS Substrate, Mycorrhizal Networks Domain</w:t>
            </w:r>
          </w:p>
          <w:p>
            <w:pPr>
              <w:spacing w:before="40" w:after="40" w:line="260"/>
            </w:pPr>
            <w:r>
              <w:rPr>
                <w:rFonts w:ascii="Times New Roman" w:cs="Times New Roman" w:eastAsia="Times New Roman" w:hAnsi="Times New Roman"/>
                <w:sz w:val="22"/>
                <w:szCs w:val="22"/>
              </w:rPr>
              <w:t xml:space="preserve">A (Governing Assumption): 'We currently assume that portfolio assets are independent units</w:t>
            </w:r>
          </w:p>
          <w:p>
            <w:pPr>
              <w:spacing w:before="40" w:after="40" w:line="260"/>
            </w:pPr>
            <w:r>
              <w:rPr>
                <w:rFonts w:ascii="Times New Roman" w:cs="Times New Roman" w:eastAsia="Times New Roman" w:hAnsi="Times New Roman"/>
                <w:sz w:val="22"/>
                <w:szCs w:val="22"/>
              </w:rPr>
              <w:t xml:space="preserve">    that can be evaluated in isolation, and that diversification is achieved by holding</w:t>
            </w:r>
          </w:p>
          <w:p>
            <w:pPr>
              <w:spacing w:before="40" w:after="40" w:line="260"/>
            </w:pPr>
            <w:r>
              <w:rPr>
                <w:rFonts w:ascii="Times New Roman" w:cs="Times New Roman" w:eastAsia="Times New Roman" w:hAnsi="Times New Roman"/>
                <w:sz w:val="22"/>
                <w:szCs w:val="22"/>
              </w:rPr>
              <w:t xml:space="preserve">    many uncorrelated assets.'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D (Orthogonal Domain): Mycorrhizal fungal network ecology.</w:t>
            </w:r>
          </w:p>
          <w:p>
            <w:pPr>
              <w:spacing w:before="40" w:after="40" w:line="260"/>
            </w:pPr>
            <w:r>
              <w:rPr>
                <w:rFonts w:ascii="Times New Roman" w:cs="Times New Roman" w:eastAsia="Times New Roman" w:hAnsi="Times New Roman"/>
                <w:sz w:val="22"/>
                <w:szCs w:val="22"/>
              </w:rPr>
              <w:t xml:space="preserve">    Jaccard distance from 'investment management' = 0.94 (N = 0.94 from Paper 1, §6.1).</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P (Structural Principle): 'In mycorrhizal networks, individual trees do not optimize in</w:t>
            </w:r>
          </w:p>
          <w:p>
            <w:pPr>
              <w:spacing w:before="40" w:after="40" w:line="260"/>
            </w:pPr>
            <w:r>
              <w:rPr>
                <w:rFonts w:ascii="Times New Roman" w:cs="Times New Roman" w:eastAsia="Times New Roman" w:hAnsi="Times New Roman"/>
                <w:sz w:val="22"/>
                <w:szCs w:val="22"/>
              </w:rPr>
              <w:t xml:space="preserve">    isolation. The forest allocates resources through a hub-and-spoke topology in which</w:t>
            </w:r>
          </w:p>
          <w:p>
            <w:pPr>
              <w:spacing w:before="40" w:after="40" w:line="260"/>
            </w:pPr>
            <w:r>
              <w:rPr>
                <w:rFonts w:ascii="Times New Roman" w:cs="Times New Roman" w:eastAsia="Times New Roman" w:hAnsi="Times New Roman"/>
                <w:sz w:val="22"/>
                <w:szCs w:val="22"/>
              </w:rPr>
              <w:t xml:space="preserve">    highly connected nodes (hub trees) redistribute carbon and nutrients to peripheral nodes</w:t>
            </w:r>
          </w:p>
          <w:p>
            <w:pPr>
              <w:spacing w:before="40" w:after="40" w:line="260"/>
            </w:pPr>
            <w:r>
              <w:rPr>
                <w:rFonts w:ascii="Times New Roman" w:cs="Times New Roman" w:eastAsia="Times New Roman" w:hAnsi="Times New Roman"/>
                <w:sz w:val="22"/>
                <w:szCs w:val="22"/>
              </w:rPr>
              <w:t xml:space="preserve">    under stress. The network's resilience derives from the structure of node connectivity,</w:t>
            </w:r>
          </w:p>
          <w:p>
            <w:pPr>
              <w:spacing w:before="40" w:after="40" w:line="260"/>
            </w:pPr>
            <w:r>
              <w:rPr>
                <w:rFonts w:ascii="Times New Roman" w:cs="Times New Roman" w:eastAsia="Times New Roman" w:hAnsi="Times New Roman"/>
                <w:sz w:val="22"/>
                <w:szCs w:val="22"/>
              </w:rPr>
              <w:t xml:space="preserve">    not from the independence of nodes.'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C (Applicability Condition): 'This principle applies to our portfolio when correlations</w:t>
            </w:r>
          </w:p>
          <w:p>
            <w:pPr>
              <w:spacing w:before="40" w:after="40" w:line="260"/>
            </w:pPr>
            <w:r>
              <w:rPr>
                <w:rFonts w:ascii="Times New Roman" w:cs="Times New Roman" w:eastAsia="Times New Roman" w:hAnsi="Times New Roman"/>
                <w:sz w:val="22"/>
                <w:szCs w:val="22"/>
              </w:rPr>
              <w:t xml:space="preserve">    among positions are high enough that position behavior cannot be treated as independent—</w:t>
            </w:r>
          </w:p>
          <w:p>
            <w:pPr>
              <w:spacing w:before="40" w:after="40" w:line="260"/>
            </w:pPr>
            <w:r>
              <w:rPr>
                <w:rFonts w:ascii="Times New Roman" w:cs="Times New Roman" w:eastAsia="Times New Roman" w:hAnsi="Times New Roman"/>
                <w:sz w:val="22"/>
                <w:szCs w:val="22"/>
              </w:rPr>
              <w:t xml:space="preserve">    approximately when the average pairwise correlation exceeds 0.35 across the portfolio.'</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Bisociative question: 'What would our portfolio look like if, instead of maximizing</w:t>
            </w:r>
          </w:p>
          <w:p>
            <w:pPr>
              <w:spacing w:before="40" w:after="40" w:line="260"/>
            </w:pPr>
            <w:r>
              <w:rPr>
                <w:rFonts w:ascii="Times New Roman" w:cs="Times New Roman" w:eastAsia="Times New Roman" w:hAnsi="Times New Roman"/>
                <w:sz w:val="22"/>
                <w:szCs w:val="22"/>
              </w:rPr>
              <w:t xml:space="preserve">the number of uncorrelated assets (independence assumption), we mapped inter-asset</w:t>
            </w:r>
          </w:p>
          <w:p>
            <w:pPr>
              <w:spacing w:before="40" w:after="40" w:line="260"/>
            </w:pPr>
            <w:r>
              <w:rPr>
                <w:rFonts w:ascii="Times New Roman" w:cs="Times New Roman" w:eastAsia="Times New Roman" w:hAnsi="Times New Roman"/>
                <w:sz w:val="22"/>
                <w:szCs w:val="22"/>
              </w:rPr>
              <w:t xml:space="preserve">correlation as a network, identified bridge positions with low connectivity to the</w:t>
            </w:r>
          </w:p>
          <w:p>
            <w:pPr>
              <w:spacing w:before="40" w:after="40" w:line="260"/>
            </w:pPr>
            <w:r>
              <w:rPr>
                <w:rFonts w:ascii="Times New Roman" w:cs="Times New Roman" w:eastAsia="Times New Roman" w:hAnsi="Times New Roman"/>
                <w:sz w:val="22"/>
                <w:szCs w:val="22"/>
              </w:rPr>
              <w:t xml:space="preserve">main correlation cluster, and overweighted those bridges?'</w:t>
            </w:r>
          </w:p>
        </w:tc>
      </w:tr>
    </w:tbl>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4. Institutional Memory and Its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Proposition 4.1 (Institutional Memory Loss)</w:t>
            </w:r>
          </w:p>
          <w:p>
            <w:pPr>
              <w:spacing w:before="40" w:after="40" w:line="260"/>
            </w:pPr>
            <w:r>
              <w:rPr>
                <w:rFonts w:ascii="Times New Roman" w:cs="Times New Roman" w:eastAsia="Times New Roman" w:hAnsi="Times New Roman"/>
                <w:sz w:val="22"/>
                <w:szCs w:val="22"/>
              </w:rPr>
              <w:t xml:space="preserve">Let RL(t) denote the retention level of reasoning context for an improvement record created</w:t>
            </w:r>
          </w:p>
          <w:p>
            <w:pPr>
              <w:spacing w:before="40" w:after="40" w:line="260"/>
            </w:pPr>
            <w:r>
              <w:rPr>
                <w:rFonts w:ascii="Times New Roman" w:cs="Times New Roman" w:eastAsia="Times New Roman" w:hAnsi="Times New Roman"/>
                <w:sz w:val="22"/>
                <w:szCs w:val="22"/>
              </w:rPr>
              <w:t xml:space="preserve">at time t₀, measured at time t &gt; t₀. RL(t) is operationalized as the proportion of the</w:t>
            </w:r>
          </w:p>
          <w:p>
            <w:pPr>
              <w:spacing w:before="40" w:after="40" w:line="260"/>
            </w:pPr>
            <w:r>
              <w:rPr>
                <w:rFonts w:ascii="Times New Roman" w:cs="Times New Roman" w:eastAsia="Times New Roman" w:hAnsi="Times New Roman"/>
                <w:sz w:val="22"/>
                <w:szCs w:val="22"/>
              </w:rPr>
              <w:t xml:space="preserve">QSS elements {A, D, P, C} that a naive reviewer can reconstruct from the record without</w:t>
            </w:r>
          </w:p>
          <w:p>
            <w:pPr>
              <w:spacing w:before="40" w:after="40" w:line="260"/>
            </w:pPr>
            <w:r>
              <w:rPr>
                <w:rFonts w:ascii="Times New Roman" w:cs="Times New Roman" w:eastAsia="Times New Roman" w:hAnsi="Times New Roman"/>
                <w:sz w:val="22"/>
                <w:szCs w:val="22"/>
              </w:rPr>
              <w:t xml:space="preserve">access to the original participants.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Claim: Under standard improvement record formats (outcome documented, rationale brief or</w:t>
            </w:r>
          </w:p>
          <w:p>
            <w:pPr>
              <w:spacing w:before="40" w:after="40" w:line="260"/>
            </w:pPr>
            <w:r>
              <w:rPr>
                <w:rFonts w:ascii="Times New Roman" w:cs="Times New Roman" w:eastAsia="Times New Roman" w:hAnsi="Times New Roman"/>
                <w:sz w:val="22"/>
                <w:szCs w:val="22"/>
              </w:rPr>
              <w:t xml:space="preserve">absent, QSS elements not explicitly specified), RL(t) declines with personnel transitions.</w:t>
            </w:r>
          </w:p>
          <w:p>
            <w:pPr>
              <w:spacing w:before="40" w:after="40" w:line="260"/>
            </w:pPr>
            <w:r>
              <w:rPr>
                <w:rFonts w:ascii="Times New Roman" w:cs="Times New Roman" w:eastAsia="Times New Roman" w:hAnsi="Times New Roman"/>
                <w:sz w:val="22"/>
                <w:szCs w:val="22"/>
              </w:rPr>
              <w:t xml:space="preserve">Specifically, RL(t₀ + k·Δ) → 0 as k → ∞, where Δ is the median tenure length.</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Evidence: Empirical studies of organizational memory (Argote &amp; Epple, 1990; Levitt &amp;</w:t>
            </w:r>
          </w:p>
          <w:p>
            <w:pPr>
              <w:spacing w:before="40" w:after="40" w:line="260"/>
            </w:pPr>
            <w:r>
              <w:rPr>
                <w:rFonts w:ascii="Times New Roman" w:cs="Times New Roman" w:eastAsia="Times New Roman" w:hAnsi="Times New Roman"/>
                <w:sz w:val="22"/>
                <w:szCs w:val="22"/>
              </w:rPr>
              <w:t xml:space="preserve">March, 1988) document systematic 'forgetting curves' in organizations following personnel</w:t>
            </w:r>
          </w:p>
          <w:p>
            <w:pPr>
              <w:spacing w:before="40" w:after="40" w:line="260"/>
            </w:pPr>
            <w:r>
              <w:rPr>
                <w:rFonts w:ascii="Times New Roman" w:cs="Times New Roman" w:eastAsia="Times New Roman" w:hAnsi="Times New Roman"/>
                <w:sz w:val="22"/>
                <w:szCs w:val="22"/>
              </w:rPr>
              <w:t xml:space="preserve">transitions. Walsh and Ungson (1991) identify six retention facilities; the most volatile</w:t>
            </w:r>
          </w:p>
          <w:p>
            <w:pPr>
              <w:spacing w:before="40" w:after="40" w:line="260"/>
            </w:pPr>
            <w:r>
              <w:rPr>
                <w:rFonts w:ascii="Times New Roman" w:cs="Times New Roman" w:eastAsia="Times New Roman" w:hAnsi="Times New Roman"/>
                <w:sz w:val="22"/>
                <w:szCs w:val="22"/>
              </w:rPr>
              <w:t xml:space="preserve">is individual memory (lost at employee departure) and the most durable is structure (the</w:t>
            </w:r>
          </w:p>
          <w:p>
            <w:pPr>
              <w:spacing w:before="40" w:after="40" w:line="260"/>
            </w:pPr>
            <w:r>
              <w:rPr>
                <w:rFonts w:ascii="Times New Roman" w:cs="Times New Roman" w:eastAsia="Times New Roman" w:hAnsi="Times New Roman"/>
                <w:sz w:val="22"/>
                <w:szCs w:val="22"/>
              </w:rPr>
              <w:t xml:space="preserve">implemented change itself). QSS elements A and P are predominantly held in individual</w:t>
            </w:r>
          </w:p>
          <w:p>
            <w:pPr>
              <w:spacing w:before="40" w:after="40" w:line="260"/>
            </w:pPr>
            <w:r>
              <w:rPr>
                <w:rFonts w:ascii="Times New Roman" w:cs="Times New Roman" w:eastAsia="Times New Roman" w:hAnsi="Times New Roman"/>
                <w:sz w:val="22"/>
                <w:szCs w:val="22"/>
              </w:rPr>
              <w:t xml:space="preserve">memory; without explicit documentation, they are lost at departure.</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Operational consequence: Without a structured Library Record format, the Meta-Kaizen</w:t>
            </w:r>
          </w:p>
          <w:p>
            <w:pPr>
              <w:spacing w:before="40" w:after="40" w:line="260"/>
            </w:pPr>
            <w:r>
              <w:rPr>
                <w:rFonts w:ascii="Times New Roman" w:cs="Times New Roman" w:eastAsia="Times New Roman" w:hAnsi="Times New Roman"/>
                <w:sz w:val="22"/>
                <w:szCs w:val="22"/>
              </w:rPr>
              <w:t xml:space="preserve">network accumulates conclusions without arguments. After two or three personnel transitions,</w:t>
            </w:r>
          </w:p>
          <w:p>
            <w:pPr>
              <w:spacing w:before="40" w:after="40" w:line="260"/>
            </w:pPr>
            <w:r>
              <w:rPr>
                <w:rFonts w:ascii="Times New Roman" w:cs="Times New Roman" w:eastAsia="Times New Roman" w:hAnsi="Times New Roman"/>
                <w:sz w:val="22"/>
                <w:szCs w:val="22"/>
              </w:rPr>
              <w:t xml:space="preserve">the organization cannot determine whether a proposed improvement is genuinely novel or</w:t>
            </w:r>
          </w:p>
          <w:p>
            <w:pPr>
              <w:spacing w:before="40" w:after="40" w:line="260"/>
            </w:pPr>
            <w:r>
              <w:rPr>
                <w:rFonts w:ascii="Times New Roman" w:cs="Times New Roman" w:eastAsia="Times New Roman" w:hAnsi="Times New Roman"/>
                <w:sz w:val="22"/>
                <w:szCs w:val="22"/>
              </w:rPr>
              <w:t xml:space="preserve">merely a rediscovery of a previously explored approach that was rejected for reasons no</w:t>
            </w:r>
          </w:p>
          <w:p>
            <w:pPr>
              <w:spacing w:before="40" w:after="40" w:line="260"/>
            </w:pPr>
            <w:r>
              <w:rPr>
                <w:rFonts w:ascii="Times New Roman" w:cs="Times New Roman" w:eastAsia="Times New Roman" w:hAnsi="Times New Roman"/>
                <w:sz w:val="22"/>
                <w:szCs w:val="22"/>
              </w:rPr>
              <w:t xml:space="preserve">longer accessible.</w:t>
            </w:r>
          </w:p>
        </w:tc>
      </w:tr>
    </w:tbl>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5. The Library Record and Formal Theorems</w:t>
      </w:r>
    </w:p>
    <w:p>
      <w:pPr>
        <w:pStyle w:val="Heading2"/>
        <w:spacing w:before="240" w:after="120"/>
      </w:pPr>
      <w:r>
        <w:rPr>
          <w:rFonts w:ascii="Times New Roman" w:cs="Times New Roman" w:eastAsia="Times New Roman" w:hAnsi="Times New Roman"/>
          <w:b/>
          <w:bCs/>
          <w:color w:val="1F6B75"/>
          <w:sz w:val="26"/>
          <w:szCs w:val="26"/>
        </w:rPr>
        <w:t xml:space="preserve">5.1 The Library Record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Definition 5.1 (Library Record)</w:t>
            </w:r>
          </w:p>
          <w:p>
            <w:pPr>
              <w:spacing w:before="40" w:after="40" w:line="260"/>
            </w:pPr>
            <w:r>
              <w:rPr>
                <w:rFonts w:ascii="Times New Roman" w:cs="Times New Roman" w:eastAsia="Times New Roman" w:hAnsi="Times New Roman"/>
                <w:sz w:val="22"/>
                <w:szCs w:val="22"/>
              </w:rPr>
              <w:t xml:space="preserve">A Library Record LR_j for improvement candidate j is a 9-field structured document:</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  (1) Record ID: unique identifier with timestamp and version</w:t>
            </w:r>
          </w:p>
          <w:p>
            <w:pPr>
              <w:spacing w:before="40" w:after="40" w:line="260"/>
            </w:pPr>
            <w:r>
              <w:rPr>
                <w:rFonts w:ascii="Times New Roman" w:cs="Times New Roman" w:eastAsia="Times New Roman" w:hAnsi="Times New Roman"/>
                <w:sz w:val="22"/>
                <w:szCs w:val="22"/>
              </w:rPr>
              <w:t xml:space="preserve">  (2) Q = (A, D, P, C): the full Question Structure Schema</w:t>
            </w:r>
          </w:p>
          <w:p>
            <w:pPr>
              <w:spacing w:before="40" w:after="40" w:line="260"/>
            </w:pPr>
            <w:r>
              <w:rPr>
                <w:rFonts w:ascii="Times New Roman" w:cs="Times New Roman" w:eastAsia="Times New Roman" w:hAnsi="Times New Roman"/>
                <w:sz w:val="22"/>
                <w:szCs w:val="22"/>
              </w:rPr>
              <w:t xml:space="preserve">  (3) KVS components: (N, I′, C′, T) and computed KVS</w:t>
            </w:r>
          </w:p>
          <w:p>
            <w:pPr>
              <w:spacing w:before="40" w:after="40" w:line="260"/>
            </w:pPr>
            <w:r>
              <w:rPr>
                <w:rFonts w:ascii="Times New Roman" w:cs="Times New Roman" w:eastAsia="Times New Roman" w:hAnsi="Times New Roman"/>
                <w:sz w:val="22"/>
                <w:szCs w:val="22"/>
              </w:rPr>
              <w:t xml:space="preserve">  (4) Adoption decision: adopted / rejected / deferred, with reason code</w:t>
            </w:r>
          </w:p>
          <w:p>
            <w:pPr>
              <w:spacing w:before="40" w:after="40" w:line="260"/>
            </w:pPr>
            <w:r>
              <w:rPr>
                <w:rFonts w:ascii="Times New Roman" w:cs="Times New Roman" w:eastAsia="Times New Roman" w:hAnsi="Times New Roman"/>
                <w:sz w:val="22"/>
                <w:szCs w:val="22"/>
              </w:rPr>
              <w:t xml:space="preserve">  (5) Override flag: if applicable, with override reason and principal signature</w:t>
            </w:r>
          </w:p>
          <w:p>
            <w:pPr>
              <w:spacing w:before="40" w:after="40" w:line="260"/>
            </w:pPr>
            <w:r>
              <w:rPr>
                <w:rFonts w:ascii="Times New Roman" w:cs="Times New Roman" w:eastAsia="Times New Roman" w:hAnsi="Times New Roman"/>
                <w:sz w:val="22"/>
                <w:szCs w:val="22"/>
              </w:rPr>
              <w:t xml:space="preserve">  (6) Outcome observation: realized outcome at 12-month review (or 'pending')</w:t>
            </w:r>
          </w:p>
          <w:p>
            <w:pPr>
              <w:spacing w:before="40" w:after="40" w:line="260"/>
            </w:pPr>
            <w:r>
              <w:rPr>
                <w:rFonts w:ascii="Times New Roman" w:cs="Times New Roman" w:eastAsia="Times New Roman" w:hAnsi="Times New Roman"/>
                <w:sz w:val="22"/>
                <w:szCs w:val="22"/>
              </w:rPr>
              <w:t xml:space="preserve">  (7) Outcome deviation: (realized − projected) impact, signed</w:t>
            </w:r>
          </w:p>
          <w:p>
            <w:pPr>
              <w:spacing w:before="40" w:after="40" w:line="260"/>
            </w:pPr>
            <w:r>
              <w:rPr>
                <w:rFonts w:ascii="Times New Roman" w:cs="Times New Roman" w:eastAsia="Times New Roman" w:hAnsi="Times New Roman"/>
                <w:sz w:val="22"/>
                <w:szCs w:val="22"/>
              </w:rPr>
              <w:t xml:space="preserve">  (8) Reviewer annotation: any practitioner notes from the annual retrospective</w:t>
            </w:r>
          </w:p>
          <w:p>
            <w:pPr>
              <w:spacing w:before="40" w:after="40" w:line="260"/>
            </w:pPr>
            <w:r>
              <w:rPr>
                <w:rFonts w:ascii="Times New Roman" w:cs="Times New Roman" w:eastAsia="Times New Roman" w:hAnsi="Times New Roman"/>
                <w:sz w:val="22"/>
                <w:szCs w:val="22"/>
              </w:rPr>
              <w:t xml:space="preserve">  (9) Cross-references: any prior Library Records that this record challenges, extends,</w:t>
            </w:r>
          </w:p>
          <w:p>
            <w:pPr>
              <w:spacing w:before="40" w:after="40" w:line="260"/>
            </w:pPr>
            <w:r>
              <w:rPr>
                <w:rFonts w:ascii="Times New Roman" w:cs="Times New Roman" w:eastAsia="Times New Roman" w:hAnsi="Times New Roman"/>
                <w:sz w:val="22"/>
                <w:szCs w:val="22"/>
              </w:rPr>
              <w:t xml:space="preserve">      or supersedes (linking mechanism for reasoning chains)</w:t>
            </w:r>
          </w:p>
        </w:tc>
      </w:tr>
    </w:tbl>
    <w:p>
      <w:pPr>
        <w:pStyle w:val="Heading2"/>
        <w:spacing w:before="240" w:after="120"/>
      </w:pPr>
      <w:r>
        <w:rPr>
          <w:rFonts w:ascii="Times New Roman" w:cs="Times New Roman" w:eastAsia="Times New Roman" w:hAnsi="Times New Roman"/>
          <w:b/>
          <w:bCs/>
          <w:color w:val="1F6B75"/>
          <w:sz w:val="26"/>
          <w:szCs w:val="26"/>
        </w:rPr>
        <w:t xml:space="preserve">5.2 The Challenge Taxonomy: Aristotelian Foundation</w:t>
      </w:r>
    </w:p>
    <w:p>
      <w:pPr>
        <w:spacing w:before="200" w:after="80"/>
      </w:pPr>
      <w:r>
        <w:rPr>
          <w:rFonts w:ascii="Times New Roman" w:cs="Times New Roman" w:eastAsia="Times New Roman" w:hAnsi="Times New Roman"/>
          <w:b/>
          <w:bCs/>
          <w:i/>
          <w:iCs/>
          <w:color w:val="333333"/>
          <w:sz w:val="24"/>
          <w:szCs w:val="24"/>
        </w:rPr>
        <w:t xml:space="preserve">5.2.1 Aristotle's Classification of Predicables</w:t>
      </w:r>
    </w:p>
    <w:p>
      <w:pPr>
        <w:spacing w:before="80" w:after="80" w:line="276"/>
        <w:jc w:val="both"/>
      </w:pPr>
      <w:r>
        <w:rPr>
          <w:rFonts w:ascii="Times New Roman" w:cs="Times New Roman" w:eastAsia="Times New Roman" w:hAnsi="Times New Roman"/>
          <w:sz w:val="24"/>
          <w:szCs w:val="24"/>
        </w:rPr>
        <w:t xml:space="preserve">The Challenge Taxonomy maps all conceivable challenges to an existing Library Record's Governing Assumption (A) onto exactly one of four categories derived from Aristotle's four-fold classification of predicables (Topics I.4, 101b11–20): definition (horos), genus (genos), property (idioma), and accident (symbebekos). This classification is exhaustive by Aristotle's construction and by the logical proof of Stock (1888, §339).</w:t>
      </w:r>
    </w:p>
    <w:p>
      <w:pPr>
        <w:spacing w:before="80" w:after="80" w:line="276"/>
        <w:jc w:val="both"/>
      </w:pPr>
      <w:r>
        <w:rPr>
          <w:rFonts w:ascii="Times New Roman" w:cs="Times New Roman" w:eastAsia="Times New Roman" w:hAnsi="Times New Roman"/>
          <w:sz w:val="24"/>
          <w:szCs w:val="24"/>
        </w:rPr>
        <w:t xml:space="preserve">The exhaustiveness argument: Every predicate either is or is not coextensive with its subject. If coextensive, it either does or does not state the essence. If non-coextensive, it either is or is not part of the essential definition. This two-level binary partition produces exactly four predicable types with no residual category. Applied to override challenges: every challenge to an assumption either (a) redefines what the assumption's subject fundamentally is, (b) situates it within a broader category, (c) identifies a necessary consequence that the assumption missed, or (d) challenges a contingent feature that does not bear on the essential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Proposition 5.1 (Challenge Taxonomy — Aristotelian Exhaustiveness)</w:t>
            </w:r>
          </w:p>
          <w:p>
            <w:pPr>
              <w:spacing w:before="40" w:after="40" w:line="260"/>
            </w:pPr>
            <w:r>
              <w:rPr>
                <w:rFonts w:ascii="Times New Roman" w:cs="Times New Roman" w:eastAsia="Times New Roman" w:hAnsi="Times New Roman"/>
                <w:sz w:val="22"/>
                <w:szCs w:val="22"/>
              </w:rPr>
              <w:t xml:space="preserve">Every challenge to a governing assumption A embedded in a Library Record can be</w:t>
            </w:r>
          </w:p>
          <w:p>
            <w:pPr>
              <w:spacing w:before="40" w:after="40" w:line="260"/>
            </w:pPr>
            <w:r>
              <w:rPr>
                <w:rFonts w:ascii="Times New Roman" w:cs="Times New Roman" w:eastAsia="Times New Roman" w:hAnsi="Times New Roman"/>
                <w:sz w:val="22"/>
                <w:szCs w:val="22"/>
              </w:rPr>
              <w:t xml:space="preserve">classified into exactly one of four categories: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Type I — Definitional Challenge: The challenger argues that the subject of A is</w:t>
            </w:r>
          </w:p>
          <w:p>
            <w:pPr>
              <w:spacing w:before="40" w:after="40" w:line="260"/>
            </w:pPr>
            <w:r>
              <w:rPr>
                <w:rFonts w:ascii="Times New Roman" w:cs="Times New Roman" w:eastAsia="Times New Roman" w:hAnsi="Times New Roman"/>
                <w:sz w:val="22"/>
                <w:szCs w:val="22"/>
              </w:rPr>
              <w:t xml:space="preserve">    fundamentally not what A assumes it to be. ('Portfolio positions are not independent</w:t>
            </w:r>
          </w:p>
          <w:p>
            <w:pPr>
              <w:spacing w:before="40" w:after="40" w:line="260"/>
            </w:pPr>
            <w:r>
              <w:rPr>
                <w:rFonts w:ascii="Times New Roman" w:cs="Times New Roman" w:eastAsia="Times New Roman" w:hAnsi="Times New Roman"/>
                <w:sz w:val="22"/>
                <w:szCs w:val="22"/>
              </w:rPr>
              <w:t xml:space="preserve">    units; they are nodes in a connectivity structure.') This challenges the definition</w:t>
            </w:r>
          </w:p>
          <w:p>
            <w:pPr>
              <w:spacing w:before="40" w:after="40" w:line="260"/>
            </w:pPr>
            <w:r>
              <w:rPr>
                <w:rFonts w:ascii="Times New Roman" w:cs="Times New Roman" w:eastAsia="Times New Roman" w:hAnsi="Times New Roman"/>
                <w:sz w:val="22"/>
                <w:szCs w:val="22"/>
              </w:rPr>
              <w:t xml:space="preserve">    of the subject itself (Aristotle's horos).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Type II — Genus Challenge: The challenger argues that A's subject belongs to a broader</w:t>
            </w:r>
          </w:p>
          <w:p>
            <w:pPr>
              <w:spacing w:before="40" w:after="40" w:line="260"/>
            </w:pPr>
            <w:r>
              <w:rPr>
                <w:rFonts w:ascii="Times New Roman" w:cs="Times New Roman" w:eastAsia="Times New Roman" w:hAnsi="Times New Roman"/>
                <w:sz w:val="22"/>
                <w:szCs w:val="22"/>
              </w:rPr>
              <w:t xml:space="preserve">    category with different organizing properties than A assumes. ('Our portfolio is not</w:t>
            </w:r>
          </w:p>
          <w:p>
            <w:pPr>
              <w:spacing w:before="40" w:after="40" w:line="260"/>
            </w:pPr>
            <w:r>
              <w:rPr>
                <w:rFonts w:ascii="Times New Roman" w:cs="Times New Roman" w:eastAsia="Times New Roman" w:hAnsi="Times New Roman"/>
                <w:sz w:val="22"/>
                <w:szCs w:val="22"/>
              </w:rPr>
              <w:t xml:space="preserve">    just a financial instrument; it is an adaptive system whose properties emerge from</w:t>
            </w:r>
          </w:p>
          <w:p>
            <w:pPr>
              <w:spacing w:before="40" w:after="40" w:line="260"/>
            </w:pPr>
            <w:r>
              <w:rPr>
                <w:rFonts w:ascii="Times New Roman" w:cs="Times New Roman" w:eastAsia="Times New Roman" w:hAnsi="Times New Roman"/>
                <w:sz w:val="22"/>
                <w:szCs w:val="22"/>
              </w:rPr>
              <w:t xml:space="preserve">    node interactions.') This challenges the categorical classification (genos).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Type III — Property Challenge: The challenger accepts the definition and genus of A's</w:t>
            </w:r>
          </w:p>
          <w:p>
            <w:pPr>
              <w:spacing w:before="40" w:after="40" w:line="260"/>
            </w:pPr>
            <w:r>
              <w:rPr>
                <w:rFonts w:ascii="Times New Roman" w:cs="Times New Roman" w:eastAsia="Times New Roman" w:hAnsi="Times New Roman"/>
                <w:sz w:val="22"/>
                <w:szCs w:val="22"/>
              </w:rPr>
              <w:t xml:space="preserve">    subject but argues that A omits a necessary (not merely contingent) property. ('Given</w:t>
            </w:r>
          </w:p>
          <w:p>
            <w:pPr>
              <w:spacing w:before="40" w:after="40" w:line="260"/>
            </w:pPr>
            <w:r>
              <w:rPr>
                <w:rFonts w:ascii="Times New Roman" w:cs="Times New Roman" w:eastAsia="Times New Roman" w:hAnsi="Times New Roman"/>
                <w:sz w:val="22"/>
                <w:szCs w:val="22"/>
              </w:rPr>
              <w:t xml:space="preserve">    that assets are network nodes, correlation structure is a necessary property of any</w:t>
            </w:r>
          </w:p>
          <w:p>
            <w:pPr>
              <w:spacing w:before="40" w:after="40" w:line="260"/>
            </w:pPr>
            <w:r>
              <w:rPr>
                <w:rFonts w:ascii="Times New Roman" w:cs="Times New Roman" w:eastAsia="Times New Roman" w:hAnsi="Times New Roman"/>
                <w:sz w:val="22"/>
                <w:szCs w:val="22"/>
              </w:rPr>
              <w:t xml:space="preserve">    diversified portfolio—not an optional feature.') This challenges a property (idioma).</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Type IV — Accident Challenge: The challenger accepts the definition, genus, and properties</w:t>
            </w:r>
          </w:p>
          <w:p>
            <w:pPr>
              <w:spacing w:before="40" w:after="40" w:line="260"/>
            </w:pPr>
            <w:r>
              <w:rPr>
                <w:rFonts w:ascii="Times New Roman" w:cs="Times New Roman" w:eastAsia="Times New Roman" w:hAnsi="Times New Roman"/>
                <w:sz w:val="22"/>
                <w:szCs w:val="22"/>
              </w:rPr>
              <w:t xml:space="preserve">    of A's subject but argues that a contingent feature of the context has changed in a</w:t>
            </w:r>
          </w:p>
          <w:p>
            <w:pPr>
              <w:spacing w:before="40" w:after="40" w:line="260"/>
            </w:pPr>
            <w:r>
              <w:rPr>
                <w:rFonts w:ascii="Times New Roman" w:cs="Times New Roman" w:eastAsia="Times New Roman" w:hAnsi="Times New Roman"/>
                <w:sz w:val="22"/>
                <w:szCs w:val="22"/>
              </w:rPr>
              <w:t xml:space="preserve">    way that makes A inapplicable. ('The independence assumption held when pairwise</w:t>
            </w:r>
          </w:p>
          <w:p>
            <w:pPr>
              <w:spacing w:before="40" w:after="40" w:line="260"/>
            </w:pPr>
            <w:r>
              <w:rPr>
                <w:rFonts w:ascii="Times New Roman" w:cs="Times New Roman" w:eastAsia="Times New Roman" w:hAnsi="Times New Roman"/>
                <w:sz w:val="22"/>
                <w:szCs w:val="22"/>
              </w:rPr>
              <w:t xml:space="preserve">    correlations averaged 0.20; at today's average of 0.48, it no longer holds.') This</w:t>
            </w:r>
          </w:p>
          <w:p>
            <w:pPr>
              <w:spacing w:before="40" w:after="40" w:line="260"/>
            </w:pPr>
            <w:r>
              <w:rPr>
                <w:rFonts w:ascii="Times New Roman" w:cs="Times New Roman" w:eastAsia="Times New Roman" w:hAnsi="Times New Roman"/>
                <w:sz w:val="22"/>
                <w:szCs w:val="22"/>
              </w:rPr>
              <w:t xml:space="preserve">    challenges an accident (symbebekos).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Exhaustiveness: By Aristotle's logical partition (Topics I.4–8; Stock, 1888, §339), these</w:t>
            </w:r>
          </w:p>
          <w:p>
            <w:pPr>
              <w:spacing w:before="40" w:after="40" w:line="260"/>
            </w:pPr>
            <w:r>
              <w:rPr>
                <w:rFonts w:ascii="Times New Roman" w:cs="Times New Roman" w:eastAsia="Times New Roman" w:hAnsi="Times New Roman"/>
                <w:sz w:val="22"/>
                <w:szCs w:val="22"/>
              </w:rPr>
              <w:t xml:space="preserve">four categories cover all possible predicate relations between a challenge and its target</w:t>
            </w:r>
          </w:p>
          <w:p>
            <w:pPr>
              <w:spacing w:before="40" w:after="40" w:line="260"/>
            </w:pPr>
            <w:r>
              <w:rPr>
                <w:rFonts w:ascii="Times New Roman" w:cs="Times New Roman" w:eastAsia="Times New Roman" w:hAnsi="Times New Roman"/>
                <w:sz w:val="22"/>
                <w:szCs w:val="22"/>
              </w:rPr>
              <w:t xml:space="preserve">assumption. No challenge falls outside the four types.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HONEST LIMITATION: The claim that all human override reasoning can be cleanly assigned</w:t>
            </w:r>
          </w:p>
          <w:p>
            <w:pPr>
              <w:spacing w:before="40" w:after="40" w:line="260"/>
            </w:pPr>
            <w:r>
              <w:rPr>
                <w:rFonts w:ascii="Times New Roman" w:cs="Times New Roman" w:eastAsia="Times New Roman" w:hAnsi="Times New Roman"/>
                <w:sz w:val="22"/>
                <w:szCs w:val="22"/>
              </w:rPr>
              <w:t xml:space="preserve">to exactly one Aristotelian category is an organizing framework, not an empirical regularity.</w:t>
            </w:r>
          </w:p>
          <w:p>
            <w:pPr>
              <w:spacing w:before="40" w:after="40" w:line="260"/>
            </w:pPr>
            <w:r>
              <w:rPr>
                <w:rFonts w:ascii="Times New Roman" w:cs="Times New Roman" w:eastAsia="Times New Roman" w:hAnsi="Times New Roman"/>
                <w:sz w:val="22"/>
                <w:szCs w:val="22"/>
              </w:rPr>
              <w:t xml:space="preserve">Edge cases may be ambiguous between categories—particularly between Type I and Type II</w:t>
            </w:r>
          </w:p>
          <w:p>
            <w:pPr>
              <w:spacing w:before="40" w:after="40" w:line="260"/>
            </w:pPr>
            <w:r>
              <w:rPr>
                <w:rFonts w:ascii="Times New Roman" w:cs="Times New Roman" w:eastAsia="Times New Roman" w:hAnsi="Times New Roman"/>
                <w:sz w:val="22"/>
                <w:szCs w:val="22"/>
              </w:rPr>
              <w:t xml:space="preserve">(definitional vs. genus challenges). The taxonomy provides a productive first-pass</w:t>
            </w:r>
          </w:p>
          <w:p>
            <w:pPr>
              <w:spacing w:before="40" w:after="40" w:line="260"/>
            </w:pPr>
            <w:r>
              <w:rPr>
                <w:rFonts w:ascii="Times New Roman" w:cs="Times New Roman" w:eastAsia="Times New Roman" w:hAnsi="Times New Roman"/>
                <w:sz w:val="22"/>
                <w:szCs w:val="22"/>
              </w:rPr>
              <w:t xml:space="preserve">classification; disagreements between classifiers are themselves informative and should be</w:t>
            </w:r>
          </w:p>
          <w:p>
            <w:pPr>
              <w:spacing w:before="40" w:after="40" w:line="260"/>
            </w:pPr>
            <w:r>
              <w:rPr>
                <w:rFonts w:ascii="Times New Roman" w:cs="Times New Roman" w:eastAsia="Times New Roman" w:hAnsi="Times New Roman"/>
                <w:sz w:val="22"/>
                <w:szCs w:val="22"/>
              </w:rPr>
              <w:t xml:space="preserve">logged as annotation disputes in the Library Record. The empirical coverage of this</w:t>
            </w:r>
          </w:p>
          <w:p>
            <w:pPr>
              <w:spacing w:before="40" w:after="40" w:line="260"/>
            </w:pPr>
            <w:r>
              <w:rPr>
                <w:rFonts w:ascii="Times New Roman" w:cs="Times New Roman" w:eastAsia="Times New Roman" w:hAnsi="Times New Roman"/>
                <w:sz w:val="22"/>
                <w:szCs w:val="22"/>
              </w:rPr>
              <w:t xml:space="preserve">taxonomy in practice is a Phase 3 validation task.</w:t>
            </w:r>
          </w:p>
        </w:tc>
      </w:tr>
    </w:tbl>
    <w:p>
      <w:pPr>
        <w:pStyle w:val="Heading2"/>
        <w:spacing w:before="240" w:after="120"/>
      </w:pPr>
      <w:r>
        <w:rPr>
          <w:rFonts w:ascii="Times New Roman" w:cs="Times New Roman" w:eastAsia="Times New Roman" w:hAnsi="Times New Roman"/>
          <w:b/>
          <w:bCs/>
          <w:color w:val="1F6B75"/>
          <w:sz w:val="26"/>
          <w:szCs w:val="26"/>
        </w:rPr>
        <w:t xml:space="preserve">5.3 Minimum Generative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Proposition 5.2 (Minimum Generative Completeness of QSS)</w:t>
            </w:r>
          </w:p>
          <w:p>
            <w:pPr>
              <w:spacing w:before="40" w:after="40" w:line="260"/>
            </w:pPr>
            <w:r>
              <w:rPr>
                <w:rFonts w:ascii="Times New Roman" w:cs="Times New Roman" w:eastAsia="Times New Roman" w:hAnsi="Times New Roman"/>
                <w:sz w:val="22"/>
                <w:szCs w:val="22"/>
              </w:rPr>
              <w:t xml:space="preserve">No proper subset of {A, D, P, C} generates the full space of reusable bisociative insights.</w:t>
            </w:r>
          </w:p>
          <w:p>
            <w:pPr>
              <w:spacing w:before="40" w:after="40" w:line="260"/>
            </w:pPr>
            <w:r>
              <w:rPr>
                <w:rFonts w:ascii="Times New Roman" w:cs="Times New Roman" w:eastAsia="Times New Roman" w:hAnsi="Times New Roman"/>
                <w:sz w:val="22"/>
                <w:szCs w:val="22"/>
              </w:rPr>
              <w:t xml:space="preserve">Specifically, for each element x ∈ {A, D, P, C}, there exist insight classes that cannot</w:t>
            </w:r>
          </w:p>
          <w:p>
            <w:pPr>
              <w:spacing w:before="40" w:after="40" w:line="260"/>
            </w:pPr>
            <w:r>
              <w:rPr>
                <w:rFonts w:ascii="Times New Roman" w:cs="Times New Roman" w:eastAsia="Times New Roman" w:hAnsi="Times New Roman"/>
                <w:sz w:val="22"/>
                <w:szCs w:val="22"/>
              </w:rPr>
              <w:t xml:space="preserve">be regenerated from {A, D, P, C} \ {x} by any practitioner without supplementary inference.</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Proof (by counterexample for each element):</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WITHOUT A (Governing Assumption):</w:t>
            </w:r>
          </w:p>
          <w:p>
            <w:pPr>
              <w:spacing w:before="40" w:after="40" w:line="260"/>
            </w:pPr>
            <w:r>
              <w:rPr>
                <w:rFonts w:ascii="Times New Roman" w:cs="Times New Roman" w:eastAsia="Times New Roman" w:hAnsi="Times New Roman"/>
                <w:sz w:val="22"/>
                <w:szCs w:val="22"/>
              </w:rPr>
              <w:t xml:space="preserve">A practitioner receives (D=mycorrhizal networks, P=allocate to bridges, C=portfolios&gt;30).</w:t>
            </w:r>
          </w:p>
          <w:p>
            <w:pPr>
              <w:spacing w:before="40" w:after="40" w:line="260"/>
            </w:pPr>
            <w:r>
              <w:rPr>
                <w:rFonts w:ascii="Times New Roman" w:cs="Times New Roman" w:eastAsia="Times New Roman" w:hAnsi="Times New Roman"/>
                <w:sz w:val="22"/>
                <w:szCs w:val="22"/>
              </w:rPr>
              <w:t xml:space="preserve">Without knowing WHAT assumption was challenged, she cannot reconstruct whether the challenge</w:t>
            </w:r>
          </w:p>
          <w:p>
            <w:pPr>
              <w:spacing w:before="40" w:after="40" w:line="260"/>
            </w:pPr>
            <w:r>
              <w:rPr>
                <w:rFonts w:ascii="Times New Roman" w:cs="Times New Roman" w:eastAsia="Times New Roman" w:hAnsi="Times New Roman"/>
                <w:sz w:val="22"/>
                <w:szCs w:val="22"/>
              </w:rPr>
              <w:t xml:space="preserve">targeted (a) how assets are defined (Type I), (b) what category the portfolio belongs to</w:t>
            </w:r>
          </w:p>
          <w:p>
            <w:pPr>
              <w:spacing w:before="40" w:after="40" w:line="260"/>
            </w:pPr>
            <w:r>
              <w:rPr>
                <w:rFonts w:ascii="Times New Roman" w:cs="Times New Roman" w:eastAsia="Times New Roman" w:hAnsi="Times New Roman"/>
                <w:sz w:val="22"/>
                <w:szCs w:val="22"/>
              </w:rPr>
              <w:t xml:space="preserve">(Type II), (c) a missing necessary property (Type III), or (d) a changed contingent feature</w:t>
            </w:r>
          </w:p>
          <w:p>
            <w:pPr>
              <w:spacing w:before="40" w:after="40" w:line="260"/>
            </w:pPr>
            <w:r>
              <w:rPr>
                <w:rFonts w:ascii="Times New Roman" w:cs="Times New Roman" w:eastAsia="Times New Roman" w:hAnsi="Times New Roman"/>
                <w:sz w:val="22"/>
                <w:szCs w:val="22"/>
              </w:rPr>
              <w:t xml:space="preserve">(Type IV). Different challenge types generate different families of downstream improvements.</w:t>
            </w:r>
          </w:p>
          <w:p>
            <w:pPr>
              <w:spacing w:before="40" w:after="40" w:line="260"/>
            </w:pPr>
            <w:r>
              <w:rPr>
                <w:rFonts w:ascii="Times New Roman" w:cs="Times New Roman" w:eastAsia="Times New Roman" w:hAnsi="Times New Roman"/>
                <w:sz w:val="22"/>
                <w:szCs w:val="22"/>
              </w:rPr>
              <w:t xml:space="preserve">Without A, the practitioner can reuse P but cannot systematically search for analogous</w:t>
            </w:r>
          </w:p>
          <w:p>
            <w:pPr>
              <w:spacing w:before="40" w:after="40" w:line="260"/>
            </w:pPr>
            <w:r>
              <w:rPr>
                <w:rFonts w:ascii="Times New Roman" w:cs="Times New Roman" w:eastAsia="Times New Roman" w:hAnsi="Times New Roman"/>
                <w:sz w:val="22"/>
                <w:szCs w:val="22"/>
              </w:rPr>
              <w:t xml:space="preserve">assumptions to challenge in other contexts. The generative function of the record—its ability</w:t>
            </w:r>
          </w:p>
          <w:p>
            <w:pPr>
              <w:spacing w:before="40" w:after="40" w:line="260"/>
            </w:pPr>
            <w:r>
              <w:rPr>
                <w:rFonts w:ascii="Times New Roman" w:cs="Times New Roman" w:eastAsia="Times New Roman" w:hAnsi="Times New Roman"/>
                <w:sz w:val="22"/>
                <w:szCs w:val="22"/>
              </w:rPr>
              <w:t xml:space="preserve">to serve as a template for future bisociations—is lost.</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WITHOUT D (Orthogonal Domain):</w:t>
            </w:r>
          </w:p>
          <w:p>
            <w:pPr>
              <w:spacing w:before="40" w:after="40" w:line="260"/>
            </w:pPr>
            <w:r>
              <w:rPr>
                <w:rFonts w:ascii="Times New Roman" w:cs="Times New Roman" w:eastAsia="Times New Roman" w:hAnsi="Times New Roman"/>
                <w:sz w:val="22"/>
                <w:szCs w:val="22"/>
              </w:rPr>
              <w:t xml:space="preserve">A practitioner receives (A='assets are independent', P='allocate to bridges', C='portfolios&gt;30').</w:t>
            </w:r>
          </w:p>
          <w:p>
            <w:pPr>
              <w:spacing w:before="40" w:after="40" w:line="260"/>
            </w:pPr>
            <w:r>
              <w:rPr>
                <w:rFonts w:ascii="Times New Roman" w:cs="Times New Roman" w:eastAsia="Times New Roman" w:hAnsi="Times New Roman"/>
                <w:sz w:val="22"/>
                <w:szCs w:val="22"/>
              </w:rPr>
              <w:t xml:space="preserve">She can apply P directly to the current substrate but cannot extend it serendipitously to</w:t>
            </w:r>
          </w:p>
          <w:p>
            <w:pPr>
              <w:spacing w:before="40" w:after="40" w:line="260"/>
            </w:pPr>
            <w:r>
              <w:rPr>
                <w:rFonts w:ascii="Times New Roman" w:cs="Times New Roman" w:eastAsia="Times New Roman" w:hAnsi="Times New Roman"/>
                <w:sz w:val="22"/>
                <w:szCs w:val="22"/>
              </w:rPr>
              <w:t xml:space="preserve">new substrates. Different originating domains suggest different extensions: mycorrhizal</w:t>
            </w:r>
          </w:p>
          <w:p>
            <w:pPr>
              <w:spacing w:before="40" w:after="40" w:line="260"/>
            </w:pPr>
            <w:r>
              <w:rPr>
                <w:rFonts w:ascii="Times New Roman" w:cs="Times New Roman" w:eastAsia="Times New Roman" w:hAnsi="Times New Roman"/>
                <w:sz w:val="22"/>
                <w:szCs w:val="22"/>
              </w:rPr>
              <w:t xml:space="preserve">networks suggest nutrient flow; electrical grid networks suggest load distribution; social</w:t>
            </w:r>
          </w:p>
          <w:p>
            <w:pPr>
              <w:spacing w:before="40" w:after="40" w:line="260"/>
            </w:pPr>
            <w:r>
              <w:rPr>
                <w:rFonts w:ascii="Times New Roman" w:cs="Times New Roman" w:eastAsia="Times New Roman" w:hAnsi="Times New Roman"/>
                <w:sz w:val="22"/>
                <w:szCs w:val="22"/>
              </w:rPr>
              <w:t xml:space="preserve">network analysis suggests preferential attachment. Without D, the record is a single</w:t>
            </w:r>
          </w:p>
          <w:p>
            <w:pPr>
              <w:spacing w:before="40" w:after="40" w:line="260"/>
            </w:pPr>
            <w:r>
              <w:rPr>
                <w:rFonts w:ascii="Times New Roman" w:cs="Times New Roman" w:eastAsia="Times New Roman" w:hAnsi="Times New Roman"/>
                <w:sz w:val="22"/>
                <w:szCs w:val="22"/>
              </w:rPr>
              <w:t xml:space="preserve">application of P, not a template for generating applications of P across domains.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WITHOUT P (Structural Principle):</w:t>
            </w:r>
          </w:p>
          <w:p>
            <w:pPr>
              <w:spacing w:before="40" w:after="40" w:line="260"/>
            </w:pPr>
            <w:r>
              <w:rPr>
                <w:rFonts w:ascii="Times New Roman" w:cs="Times New Roman" w:eastAsia="Times New Roman" w:hAnsi="Times New Roman"/>
                <w:sz w:val="22"/>
                <w:szCs w:val="22"/>
              </w:rPr>
              <w:t xml:space="preserve">A practitioner receives (A='assets are independent', D=mycorrhizal networks, C='portfolios&gt;30').</w:t>
            </w:r>
          </w:p>
          <w:p>
            <w:pPr>
              <w:spacing w:before="40" w:after="40" w:line="260"/>
            </w:pPr>
            <w:r>
              <w:rPr>
                <w:rFonts w:ascii="Times New Roman" w:cs="Times New Roman" w:eastAsia="Times New Roman" w:hAnsi="Times New Roman"/>
                <w:sz w:val="22"/>
                <w:szCs w:val="22"/>
              </w:rPr>
              <w:t xml:space="preserve">She knows what was challenged and where the insight came from, but not what was learned.</w:t>
            </w:r>
          </w:p>
          <w:p>
            <w:pPr>
              <w:spacing w:before="40" w:after="40" w:line="260"/>
            </w:pPr>
            <w:r>
              <w:rPr>
                <w:rFonts w:ascii="Times New Roman" w:cs="Times New Roman" w:eastAsia="Times New Roman" w:hAnsi="Times New Roman"/>
                <w:sz w:val="22"/>
                <w:szCs w:val="22"/>
              </w:rPr>
              <w:t xml:space="preserve">She can recreate the bisociation by re-reading the mycorrhizal literature—but this defeats</w:t>
            </w:r>
          </w:p>
          <w:p>
            <w:pPr>
              <w:spacing w:before="40" w:after="40" w:line="260"/>
            </w:pPr>
            <w:r>
              <w:rPr>
                <w:rFonts w:ascii="Times New Roman" w:cs="Times New Roman" w:eastAsia="Times New Roman" w:hAnsi="Times New Roman"/>
                <w:sz w:val="22"/>
                <w:szCs w:val="22"/>
              </w:rPr>
              <w:t xml:space="preserve">the purpose of institutional memory. The library exists to avoid exactly this re-derivation cost.</w:t>
            </w:r>
          </w:p>
          <w:p>
            <w:pPr>
              <w:spacing w:before="40" w:after="40" w:line="260"/>
            </w:pPr>
            <w:r>
              <w:rPr>
                <w:rFonts w:ascii="Times New Roman" w:cs="Times New Roman" w:eastAsia="Times New Roman" w:hAnsi="Times New Roman"/>
                <w:sz w:val="22"/>
                <w:szCs w:val="22"/>
              </w:rPr>
              <w:t xml:space="preserve">Without P, every retrieval requires re-generating the insight from scratch.</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WITHOUT C (Applicability Condition):</w:t>
            </w:r>
          </w:p>
          <w:p>
            <w:pPr>
              <w:spacing w:before="40" w:after="40" w:line="260"/>
            </w:pPr>
            <w:r>
              <w:rPr>
                <w:rFonts w:ascii="Times New Roman" w:cs="Times New Roman" w:eastAsia="Times New Roman" w:hAnsi="Times New Roman"/>
                <w:sz w:val="22"/>
                <w:szCs w:val="22"/>
              </w:rPr>
              <w:t xml:space="preserve">A practitioner receives (A='assets are independent', D=mycorrhizal networks, P='allocate to bridges').</w:t>
            </w:r>
          </w:p>
          <w:p>
            <w:pPr>
              <w:spacing w:before="40" w:after="40" w:line="260"/>
            </w:pPr>
            <w:r>
              <w:rPr>
                <w:rFonts w:ascii="Times New Roman" w:cs="Times New Roman" w:eastAsia="Times New Roman" w:hAnsi="Times New Roman"/>
                <w:sz w:val="22"/>
                <w:szCs w:val="22"/>
              </w:rPr>
              <w:t xml:space="preserve">She cannot determine when P should and should not be applied. Without C, 'allocate to bridges'</w:t>
            </w:r>
          </w:p>
          <w:p>
            <w:pPr>
              <w:spacing w:before="40" w:after="40" w:line="260"/>
            </w:pPr>
            <w:r>
              <w:rPr>
                <w:rFonts w:ascii="Times New Roman" w:cs="Times New Roman" w:eastAsia="Times New Roman" w:hAnsi="Times New Roman"/>
                <w:sz w:val="22"/>
                <w:szCs w:val="22"/>
              </w:rPr>
              <w:t xml:space="preserve">is applied to all portfolios, including those with average pairwise correlations of 0.10</w:t>
            </w:r>
          </w:p>
          <w:p>
            <w:pPr>
              <w:spacing w:before="40" w:after="40" w:line="260"/>
            </w:pPr>
            <w:r>
              <w:rPr>
                <w:rFonts w:ascii="Times New Roman" w:cs="Times New Roman" w:eastAsia="Times New Roman" w:hAnsi="Times New Roman"/>
                <w:sz w:val="22"/>
                <w:szCs w:val="22"/>
              </w:rPr>
              <w:t xml:space="preserve">where the independence assumption is appropriate and bridge-allocation would reduce</w:t>
            </w:r>
          </w:p>
          <w:p>
            <w:pPr>
              <w:spacing w:before="40" w:after="40" w:line="260"/>
            </w:pPr>
            <w:r>
              <w:rPr>
                <w:rFonts w:ascii="Times New Roman" w:cs="Times New Roman" w:eastAsia="Times New Roman" w:hAnsi="Times New Roman"/>
                <w:sz w:val="22"/>
                <w:szCs w:val="22"/>
              </w:rPr>
              <w:t xml:space="preserve">diversification. Indiscriminate application causes harm in cases where the insight is</w:t>
            </w:r>
          </w:p>
          <w:p>
            <w:pPr>
              <w:spacing w:before="40" w:after="40" w:line="260"/>
            </w:pPr>
            <w:r>
              <w:rPr>
                <w:rFonts w:ascii="Times New Roman" w:cs="Times New Roman" w:eastAsia="Times New Roman" w:hAnsi="Times New Roman"/>
                <w:sz w:val="22"/>
                <w:szCs w:val="22"/>
              </w:rPr>
              <w:t xml:space="preserve">inapplicable. Without C, P is a universal prescription; with C, it is a conditional one.</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Since each element is necessary, the minimal complete specification is {A, D, P, C}.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Theorem 5.3 (Library Quality Convergence Under Honest Majority)</w:t>
            </w:r>
          </w:p>
          <w:p>
            <w:pPr>
              <w:spacing w:before="40" w:after="40" w:line="260"/>
            </w:pPr>
            <w:r>
              <w:rPr>
                <w:rFonts w:ascii="Times New Roman" w:cs="Times New Roman" w:eastAsia="Times New Roman" w:hAnsi="Times New Roman"/>
                <w:sz w:val="22"/>
                <w:szCs w:val="22"/>
              </w:rPr>
              <w:t xml:space="preserve">Let L(t) denote the Library Record store at time t. Define library quality Q_L(t) as the</w:t>
            </w:r>
          </w:p>
          <w:p>
            <w:pPr>
              <w:spacing w:before="40" w:after="40" w:line="260"/>
            </w:pPr>
            <w:r>
              <w:rPr>
                <w:rFonts w:ascii="Times New Roman" w:cs="Times New Roman" w:eastAsia="Times New Roman" w:hAnsi="Times New Roman"/>
                <w:sz w:val="22"/>
                <w:szCs w:val="22"/>
              </w:rPr>
              <w:t xml:space="preserve">proportion of records in L(t) whose QSS elements have been validated against observed</w:t>
            </w:r>
          </w:p>
          <w:p>
            <w:pPr>
              <w:spacing w:before="40" w:after="40" w:line="260"/>
            </w:pPr>
            <w:r>
              <w:rPr>
                <w:rFonts w:ascii="Times New Roman" w:cs="Times New Roman" w:eastAsia="Times New Roman" w:hAnsi="Times New Roman"/>
                <w:sz w:val="22"/>
                <w:szCs w:val="22"/>
              </w:rPr>
              <w:t xml:space="preserve">outcomes through the annual retrospective process (either confirmed as accurate or</w:t>
            </w:r>
          </w:p>
          <w:p>
            <w:pPr>
              <w:spacing w:before="40" w:after="40" w:line="260"/>
            </w:pPr>
            <w:r>
              <w:rPr>
                <w:rFonts w:ascii="Times New Roman" w:cs="Times New Roman" w:eastAsia="Times New Roman" w:hAnsi="Times New Roman"/>
                <w:sz w:val="22"/>
                <w:szCs w:val="22"/>
              </w:rPr>
              <w:t xml:space="preserve">flagged for revision).</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Claim: Under the following conditions, Q_L(t) → 1 as t → ∞:</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(C1) Honest majority: A majority of contributing practitioners submit accurate QSS records</w:t>
            </w:r>
          </w:p>
          <w:p>
            <w:pPr>
              <w:spacing w:before="40" w:after="40" w:line="260"/>
            </w:pPr>
            <w:r>
              <w:rPr>
                <w:rFonts w:ascii="Times New Roman" w:cs="Times New Roman" w:eastAsia="Times New Roman" w:hAnsi="Times New Roman"/>
                <w:sz w:val="22"/>
                <w:szCs w:val="22"/>
              </w:rPr>
              <w:t xml:space="preserve">     (A, D, P, C stated as actually operationalized, not strategically inflated).</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(C2) Retrospective validation: The annual retrospective identifies records whose P and C</w:t>
            </w:r>
          </w:p>
          <w:p>
            <w:pPr>
              <w:spacing w:before="40" w:after="40" w:line="260"/>
            </w:pPr>
            <w:r>
              <w:rPr>
                <w:rFonts w:ascii="Times New Roman" w:cs="Times New Roman" w:eastAsia="Times New Roman" w:hAnsi="Times New Roman"/>
                <w:sz w:val="22"/>
                <w:szCs w:val="22"/>
              </w:rPr>
              <w:t xml:space="preserve">     elements did not match realized applicability, and flags these for revision.</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(C3) Bounded strategic benefit: The benefit to a practitioner from submitting an inaccurate</w:t>
            </w:r>
          </w:p>
          <w:p>
            <w:pPr>
              <w:spacing w:before="40" w:after="40" w:line="260"/>
            </w:pPr>
            <w:r>
              <w:rPr>
                <w:rFonts w:ascii="Times New Roman" w:cs="Times New Roman" w:eastAsia="Times New Roman" w:hAnsi="Times New Roman"/>
                <w:sz w:val="22"/>
                <w:szCs w:val="22"/>
              </w:rPr>
              <w:t xml:space="preserve">     record (e.g., inflating N or P to elevate KVS) is bounded and diminishing. As the</w:t>
            </w:r>
          </w:p>
          <w:p>
            <w:pPr>
              <w:spacing w:before="40" w:after="40" w:line="260"/>
            </w:pPr>
            <w:r>
              <w:rPr>
                <w:rFonts w:ascii="Times New Roman" w:cs="Times New Roman" w:eastAsia="Times New Roman" w:hAnsi="Times New Roman"/>
                <w:sz w:val="22"/>
                <w:szCs w:val="22"/>
              </w:rPr>
              <w:t xml:space="preserve">     library grows, the marginal value of one inflated record in a large library decreases.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Proof sketch: Under (C1), incorrect records are a minority. Under (C2), every record is</w:t>
            </w:r>
          </w:p>
          <w:p>
            <w:pPr>
              <w:spacing w:before="40" w:after="40" w:line="260"/>
            </w:pPr>
            <w:r>
              <w:rPr>
                <w:rFonts w:ascii="Times New Roman" w:cs="Times New Roman" w:eastAsia="Times New Roman" w:hAnsi="Times New Roman"/>
                <w:sz w:val="22"/>
                <w:szCs w:val="22"/>
              </w:rPr>
              <w:t xml:space="preserve">either confirmed or flagged within T_max cycles (typically 1–2 annual reviews). Under (C3),</w:t>
            </w:r>
          </w:p>
          <w:p>
            <w:pPr>
              <w:spacing w:before="40" w:after="40" w:line="260"/>
            </w:pPr>
            <w:r>
              <w:rPr>
                <w:rFonts w:ascii="Times New Roman" w:cs="Times New Roman" w:eastAsia="Times New Roman" w:hAnsi="Times New Roman"/>
                <w:sz w:val="22"/>
                <w:szCs w:val="22"/>
              </w:rPr>
              <w:t xml:space="preserve">incentives for misrepresentation decline as the library matures. The proportion of</w:t>
            </w:r>
          </w:p>
          <w:p>
            <w:pPr>
              <w:spacing w:before="40" w:after="40" w:line="260"/>
            </w:pPr>
            <w:r>
              <w:rPr>
                <w:rFonts w:ascii="Times New Roman" w:cs="Times New Roman" w:eastAsia="Times New Roman" w:hAnsi="Times New Roman"/>
                <w:sz w:val="22"/>
                <w:szCs w:val="22"/>
              </w:rPr>
              <w:t xml:space="preserve">unvalidated or inaccurate records declines monotonically as validation cycles accumulate.</w:t>
            </w:r>
          </w:p>
          <w:p>
            <w:pPr>
              <w:spacing w:before="40" w:after="40" w:line="260"/>
            </w:pPr>
            <w:r>
              <w:rPr>
                <w:rFonts w:ascii="Times New Roman" w:cs="Times New Roman" w:eastAsia="Times New Roman" w:hAnsi="Times New Roman"/>
                <w:sz w:val="22"/>
                <w:szCs w:val="22"/>
              </w:rPr>
              <w:t xml:space="preserve">In the limit, every record has been retrospectively validated and either confirmed or revised.</w:t>
            </w:r>
          </w:p>
          <w:p>
            <w:pPr>
              <w:spacing w:before="40" w:after="40" w:line="260"/>
            </w:pPr>
            <w:r>
              <w:rPr>
                <w:rFonts w:ascii="Times New Roman" w:cs="Times New Roman" w:eastAsia="Times New Roman" w:hAnsi="Times New Roman"/>
                <w:sz w:val="22"/>
                <w:szCs w:val="22"/>
              </w:rPr>
              <w:t xml:space="preserve">Therefore Q_L(t) → 1.  □</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IMPORTANT HONEST LIMITATION ON HONEST MAJORITY:</w:t>
            </w:r>
          </w:p>
          <w:p>
            <w:pPr>
              <w:spacing w:before="40" w:after="40" w:line="260"/>
            </w:pPr>
            <w:r>
              <w:rPr>
                <w:rFonts w:ascii="Times New Roman" w:cs="Times New Roman" w:eastAsia="Times New Roman" w:hAnsi="Times New Roman"/>
                <w:sz w:val="22"/>
                <w:szCs w:val="22"/>
              </w:rPr>
              <w:t xml:space="preserve">Condition (C1) requires that a majority of practitioners submit accurate records. The network</w:t>
            </w:r>
          </w:p>
          <w:p>
            <w:pPr>
              <w:spacing w:before="40" w:after="40" w:line="260"/>
            </w:pPr>
            <w:r>
              <w:rPr>
                <w:rFonts w:ascii="Times New Roman" w:cs="Times New Roman" w:eastAsia="Times New Roman" w:hAnsi="Times New Roman"/>
                <w:sz w:val="22"/>
                <w:szCs w:val="22"/>
              </w:rPr>
              <w:t xml:space="preserve">architecture (Paper 2) creates strong incentives for accuracy through the club goods mechanism</w:t>
            </w:r>
          </w:p>
          <w:p>
            <w:pPr>
              <w:spacing w:before="40" w:after="40" w:line="260"/>
            </w:pPr>
            <w:r>
              <w:rPr>
                <w:rFonts w:ascii="Times New Roman" w:cs="Times New Roman" w:eastAsia="Times New Roman" w:hAnsi="Times New Roman"/>
                <w:sz w:val="22"/>
                <w:szCs w:val="22"/>
              </w:rPr>
              <w:t xml:space="preserve">and reputational accountability. However, three scenarios can undermine honest majority:</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(i) Coordinated strategic behavior by a coalition of organizations—addressed in Paper 2, §9.1.</w:t>
            </w:r>
          </w:p>
          <w:p>
            <w:pPr>
              <w:spacing w:before="40" w:after="40" w:line="260"/>
            </w:pPr>
            <w:r>
              <w:rPr>
                <w:rFonts w:ascii="Times New Roman" w:cs="Times New Roman" w:eastAsia="Times New Roman" w:hAnsi="Times New Roman"/>
                <w:sz w:val="22"/>
                <w:szCs w:val="22"/>
              </w:rPr>
              <w:t xml:space="preserve">(ii) Systematic good-faith error (practitioners inaccurately recall QSS elements). This is</w:t>
            </w:r>
          </w:p>
          <w:p>
            <w:pPr>
              <w:spacing w:before="40" w:after="40" w:line="260"/>
            </w:pPr>
            <w:r>
              <w:rPr>
                <w:rFonts w:ascii="Times New Roman" w:cs="Times New Roman" w:eastAsia="Times New Roman" w:hAnsi="Times New Roman"/>
                <w:sz w:val="22"/>
                <w:szCs w:val="22"/>
              </w:rPr>
              <w:t xml:space="preserve">     not strategic but produces the same degradation. Mitigation: require QSS elements to be</w:t>
            </w:r>
          </w:p>
          <w:p>
            <w:pPr>
              <w:spacing w:before="40" w:after="40" w:line="260"/>
            </w:pPr>
            <w:r>
              <w:rPr>
                <w:rFonts w:ascii="Times New Roman" w:cs="Times New Roman" w:eastAsia="Times New Roman" w:hAnsi="Times New Roman"/>
                <w:sz w:val="22"/>
                <w:szCs w:val="22"/>
              </w:rPr>
              <w:t xml:space="preserve">     specified at proposal time (before outcomes are known), not retrospectively.</w:t>
            </w:r>
          </w:p>
          <w:p>
            <w:pPr>
              <w:spacing w:before="40" w:after="40" w:line="260"/>
            </w:pPr>
            <w:r>
              <w:rPr>
                <w:rFonts w:ascii="Times New Roman" w:cs="Times New Roman" w:eastAsia="Times New Roman" w:hAnsi="Times New Roman"/>
                <w:sz w:val="22"/>
                <w:szCs w:val="22"/>
              </w:rPr>
              <w:t xml:space="preserve">(iii) Selection bias in outcome reporting: practitioners may be less likely to report failed</w:t>
            </w:r>
          </w:p>
          <w:p>
            <w:pPr>
              <w:spacing w:before="40" w:after="40" w:line="260"/>
            </w:pPr>
            <w:r>
              <w:rPr>
                <w:rFonts w:ascii="Times New Roman" w:cs="Times New Roman" w:eastAsia="Times New Roman" w:hAnsi="Times New Roman"/>
                <w:sz w:val="22"/>
                <w:szCs w:val="22"/>
              </w:rPr>
              <w:t xml:space="preserve">     records fully. Mitigation: the MDL makes all records accessible; incomplete outcome</w:t>
            </w:r>
          </w:p>
          <w:p>
            <w:pPr>
              <w:spacing w:before="40" w:after="40" w:line="260"/>
            </w:pPr>
            <w:r>
              <w:rPr>
                <w:rFonts w:ascii="Times New Roman" w:cs="Times New Roman" w:eastAsia="Times New Roman" w:hAnsi="Times New Roman"/>
                <w:sz w:val="22"/>
                <w:szCs w:val="22"/>
              </w:rPr>
              <w:t xml:space="preserve">     reporting is itself a flag at annual retrospective.</w:t>
            </w:r>
          </w:p>
        </w:tc>
      </w:tr>
    </w:tbl>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6. Integration with KVS: Reasoning-Informed Scoring</w:t>
      </w:r>
    </w:p>
    <w:p>
      <w:pPr>
        <w:spacing w:before="80" w:after="80" w:line="276"/>
        <w:jc w:val="both"/>
      </w:pPr>
      <w:r>
        <w:rPr>
          <w:rFonts w:ascii="Times New Roman" w:cs="Times New Roman" w:eastAsia="Times New Roman" w:hAnsi="Times New Roman"/>
          <w:sz w:val="24"/>
          <w:szCs w:val="24"/>
        </w:rPr>
        <w:t xml:space="preserve">The Library Record's Question Structure Schema connects to the KVS framework in a specific way: the Governing Assumption (A) determines the scope of what counts as a non-trivially novel improvement. An improvement candidate that reinstates a previously-rejected assumption (logged in a prior record) should receive a novelty penalty—its conceptual territory has been explored even if its specific formulation is new.</w:t>
      </w:r>
    </w:p>
    <w:p>
      <w:pPr>
        <w:spacing w:before="80" w:after="80" w:line="276"/>
        <w:jc w:val="both"/>
      </w:pPr>
      <w:r>
        <w:rPr>
          <w:rFonts w:ascii="Times New Roman" w:cs="Times New Roman" w:eastAsia="Times New Roman" w:hAnsi="Times New Roman"/>
          <w:sz w:val="24"/>
          <w:szCs w:val="24"/>
        </w:rPr>
        <w:t xml:space="preserve">We formalize this as an extended Jaccard computation: the similarity set K_j used in Definition 4.2 (Paper 1) is expanded to include the governing assumption keyword set A_j from all prior Library Records whose assumption was rejected. This ensures that N genuinely measures conceptual novelty, not merely terminological 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QSS Element</w:t>
            </w:r>
          </w:p>
        </w:tc>
        <w:tc>
          <w:tcPr>
            <w:tcW w:type="dxa" w:w="36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Role in KVS Computation</w:t>
            </w:r>
          </w:p>
        </w:tc>
        <w:tc>
          <w:tcPr>
            <w:tcW w:type="dxa" w:w="36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Consequence of Omission</w:t>
            </w:r>
          </w:p>
        </w:tc>
      </w:tr>
      <w:tr>
        <w:tc>
          <w:tcPr>
            <w:tcW w:type="dxa" w:w="21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A (Assumption)</w:t>
            </w:r>
          </w:p>
        </w:tc>
        <w:tc>
          <w:tcPr>
            <w:tcW w:type="dxa" w:w="36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Defines scope for novelty penalty against prior records</w:t>
            </w:r>
          </w:p>
        </w:tc>
        <w:tc>
          <w:tcPr>
            <w:tcW w:type="dxa" w:w="36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Novel-seeming proposals may recycle rejected assumptions</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D (Domain)</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Source of the Jaccard keyword set for N computation</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N cannot be computed without domain specification</w:t>
            </w:r>
          </w:p>
        </w:tc>
      </w:tr>
      <w:tr>
        <w:tc>
          <w:tcPr>
            <w:tcW w:type="dxa" w:w="21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P (Principle)</w:t>
            </w:r>
          </w:p>
        </w:tc>
        <w:tc>
          <w:tcPr>
            <w:tcW w:type="dxa" w:w="36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Documents the reasoning chain linking D to the improvement</w:t>
            </w:r>
          </w:p>
        </w:tc>
        <w:tc>
          <w:tcPr>
            <w:tcW w:type="dxa" w:w="36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Record is a conclusion; future bisociation is impeded</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 (Applicability)</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Bounds the conditions under which T is non-trivially positive</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Timely-seeming proposals may be applied out of context</w:t>
            </w:r>
          </w:p>
        </w:tc>
      </w:tr>
    </w:tbl>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7. Discussion</w:t>
      </w:r>
    </w:p>
    <w:p>
      <w:pPr>
        <w:pStyle w:val="Heading2"/>
        <w:spacing w:before="240" w:after="120"/>
      </w:pPr>
      <w:r>
        <w:rPr>
          <w:rFonts w:ascii="Times New Roman" w:cs="Times New Roman" w:eastAsia="Times New Roman" w:hAnsi="Times New Roman"/>
          <w:b/>
          <w:bCs/>
          <w:color w:val="1F6B75"/>
          <w:sz w:val="26"/>
          <w:szCs w:val="26"/>
        </w:rPr>
        <w:t xml:space="preserve">7.1 The Circularity of Self-KVS Scoring</w:t>
      </w:r>
    </w:p>
    <w:p>
      <w:pPr>
        <w:spacing w:before="80" w:after="80" w:line="276"/>
        <w:jc w:val="both"/>
      </w:pPr>
      <w:r>
        <w:rPr>
          <w:rFonts w:ascii="Times New Roman" w:cs="Times New Roman" w:eastAsia="Times New Roman" w:hAnsi="Times New Roman"/>
          <w:sz w:val="24"/>
          <w:szCs w:val="24"/>
        </w:rPr>
        <w:t xml:space="preserve">Appendix A of this paper reports a self-KVS score of KVS = 0.413 for this paper, treating it as an improvement candidate for the Meta-Kaizen literature substrate. This score is presented as a demonstration of Theorem 4.2 from Paper 1 (self-referential applicability), not as an independent quality assessment.</w:t>
      </w:r>
    </w:p>
    <w:p>
      <w:pPr>
        <w:spacing w:before="80" w:after="80" w:line="276"/>
        <w:jc w:val="both"/>
      </w:pPr>
      <w:r>
        <w:rPr>
          <w:rFonts w:ascii="Times New Roman" w:cs="Times New Roman" w:eastAsia="Times New Roman" w:hAnsi="Times New Roman"/>
          <w:sz w:val="24"/>
          <w:szCs w:val="24"/>
        </w:rPr>
        <w:t xml:space="preserve">The methodological circularity is threefold: (a) the researchers who constructed the QSS framework are not independent evaluators of its novelty; (b) the Impact estimate (I′) reflects the researchers' own assessment of their contribution's projected value; (c) the Applicability Conditions in element C were specified by the authors who also benefit from the framework's positive reception. Any KVS computed under these conditions is a demonstration, not an evidence-based quality signal.</w:t>
      </w:r>
    </w:p>
    <w:p>
      <w:pPr>
        <w:spacing w:before="80" w:after="80" w:line="276"/>
        <w:jc w:val="both"/>
      </w:pPr>
      <w:r>
        <w:rPr>
          <w:rFonts w:ascii="Times New Roman" w:cs="Times New Roman" w:eastAsia="Times New Roman" w:hAnsi="Times New Roman"/>
          <w:sz w:val="24"/>
          <w:szCs w:val="24"/>
        </w:rPr>
        <w:t xml:space="preserve">We report the self-KVS score in Appendix A for transparency and as a worked example of how the framework applies to academic contributions as a substrate. Readers should not interpret KVS = 0.413 as an independent or authoritative quality assessment of this paper.</w:t>
      </w:r>
    </w:p>
    <w:p>
      <w:pPr>
        <w:pStyle w:val="Heading2"/>
        <w:spacing w:before="240" w:after="120"/>
      </w:pPr>
      <w:r>
        <w:rPr>
          <w:rFonts w:ascii="Times New Roman" w:cs="Times New Roman" w:eastAsia="Times New Roman" w:hAnsi="Times New Roman"/>
          <w:b/>
          <w:bCs/>
          <w:color w:val="1F6B75"/>
          <w:sz w:val="26"/>
          <w:szCs w:val="26"/>
        </w:rPr>
        <w:t xml:space="preserve">7.2 The 'Generative Completeness' Claim</w:t>
      </w:r>
    </w:p>
    <w:p>
      <w:pPr>
        <w:spacing w:before="80" w:after="80" w:line="276"/>
        <w:jc w:val="both"/>
      </w:pPr>
      <w:r>
        <w:rPr>
          <w:rFonts w:ascii="Times New Roman" w:cs="Times New Roman" w:eastAsia="Times New Roman" w:hAnsi="Times New Roman"/>
          <w:sz w:val="24"/>
          <w:szCs w:val="24"/>
        </w:rPr>
        <w:t xml:space="preserve">Proposition 5.2 proves, by counterexample, that each QSS element is necessary. It does not prove that {A, D, P, C} is sufficient—that no additional elements would improve reusability. We cannot rule out that a fifth element (e.g., a formal statement of the counterfactual, or an explicit encoding of the failure mode when P is applied outside C) would materially improve propagation fidelity. The claim is minimality (no element can be removed), not sufficiency (no element could be added). Future empirical work should test whether QSS records with supplementary elements produce better propagation outcomes than minimal QSS records.</w:t>
      </w:r>
    </w:p>
    <w:p>
      <w:pPr>
        <w:pStyle w:val="Heading2"/>
        <w:spacing w:before="240" w:after="120"/>
      </w:pPr>
      <w:r>
        <w:rPr>
          <w:rFonts w:ascii="Times New Roman" w:cs="Times New Roman" w:eastAsia="Times New Roman" w:hAnsi="Times New Roman"/>
          <w:b/>
          <w:bCs/>
          <w:color w:val="1F6B75"/>
          <w:sz w:val="26"/>
          <w:szCs w:val="26"/>
        </w:rPr>
        <w:t xml:space="preserve">7.3 Relationship to Adjacent Literature</w:t>
      </w:r>
    </w:p>
    <w:p>
      <w:pPr>
        <w:spacing w:before="80" w:after="80" w:line="276"/>
        <w:jc w:val="both"/>
      </w:pPr>
      <w:r>
        <w:rPr>
          <w:rFonts w:ascii="Times New Roman" w:cs="Times New Roman" w:eastAsia="Times New Roman" w:hAnsi="Times New Roman"/>
          <w:sz w:val="24"/>
          <w:szCs w:val="24"/>
        </w:rPr>
        <w:t xml:space="preserve">The QSS shares structural features with argument templates in AI-assisted argumentation (Walton, 2008), case-based reasoning schemas (Kolodner, 1993), and design rationale frameworks (Moran &amp; Carroll, 1996). The primary distinction is that QSS is embedded in a formal scoring and governance system (KVS, MDL, Governance Council) that creates accountability for the accuracy of QSS elements—not merely a documentation format. Prior frameworks document reasoning; QSS creates incentives for accurate documentation.</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8. Conclusion</w:t>
      </w:r>
    </w:p>
    <w:p>
      <w:pPr>
        <w:spacing w:before="80" w:after="80" w:line="276"/>
        <w:jc w:val="both"/>
      </w:pPr>
      <w:r>
        <w:rPr>
          <w:rFonts w:ascii="Times New Roman" w:cs="Times New Roman" w:eastAsia="Times New Roman" w:hAnsi="Times New Roman"/>
          <w:sz w:val="24"/>
          <w:szCs w:val="24"/>
        </w:rPr>
        <w:t xml:space="preserve">The Question Structure Schema formalizes the cognitive infrastructure underlying bisociative improvement discovery. By requiring explicit specification of the Governing Assumption challenged, the Orthogonal Domain from which the challenge derives, the Structural Principle extracted from that domain, and the Applicability Conditions that bound its transfer, QSS transforms improvement records from conclusions into reusable reasoning templates.</w:t>
      </w:r>
    </w:p>
    <w:p>
      <w:pPr>
        <w:spacing w:before="80" w:after="80" w:line="276"/>
        <w:jc w:val="both"/>
      </w:pPr>
      <w:r>
        <w:rPr>
          <w:rFonts w:ascii="Times New Roman" w:cs="Times New Roman" w:eastAsia="Times New Roman" w:hAnsi="Times New Roman"/>
          <w:sz w:val="24"/>
          <w:szCs w:val="24"/>
        </w:rPr>
        <w:t xml:space="preserve">The three formal results—Challenge Taxonomy Exhaustiveness (Proposition 5.1), Minimum Generative Completeness (Proposition 5.2), and Library Quality Convergence (Theorem 5.3)—establish the theoretical soundness of the schema. Their limitations—the honest majority assumption underlying Theorem 5.3, the potential ambiguity in Aristotelian classification at the margins, and the open question of whether QSS is sufficient as well as necessary—define the empirical research agenda for Phase 3 validation.</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Corrections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1: Theorem 5.1 reclassified as Proposition and properly grounded</w:t>
            </w:r>
          </w:p>
          <w:p>
            <w:pPr>
              <w:spacing w:before="40" w:after="40" w:line="260"/>
            </w:pPr>
            <w:r>
              <w:rPr>
                <w:rFonts w:ascii="Times New Roman" w:cs="Times New Roman" w:eastAsia="Times New Roman" w:hAnsi="Times New Roman"/>
                <w:sz w:val="22"/>
                <w:szCs w:val="22"/>
              </w:rPr>
              <w:t xml:space="preserve">Prior draft presented the Challenge Taxonomy as a Theorem without proof. It is now</w:t>
            </w:r>
          </w:p>
          <w:p>
            <w:pPr>
              <w:spacing w:before="40" w:after="40" w:line="260"/>
            </w:pPr>
            <w:r>
              <w:rPr>
                <w:rFonts w:ascii="Times New Roman" w:cs="Times New Roman" w:eastAsia="Times New Roman" w:hAnsi="Times New Roman"/>
                <w:sz w:val="22"/>
                <w:szCs w:val="22"/>
              </w:rPr>
              <w:t xml:space="preserve">classified as a Proposition (a well-supported claim requiring domain knowledge rather</w:t>
            </w:r>
          </w:p>
          <w:p>
            <w:pPr>
              <w:spacing w:before="40" w:after="40" w:line="260"/>
            </w:pPr>
            <w:r>
              <w:rPr>
                <w:rFonts w:ascii="Times New Roman" w:cs="Times New Roman" w:eastAsia="Times New Roman" w:hAnsi="Times New Roman"/>
                <w:sz w:val="22"/>
                <w:szCs w:val="22"/>
              </w:rPr>
              <w:t xml:space="preserve">than mathematical proof) and grounded in Aristotle's Topics I.4 and the exhaustiveness</w:t>
            </w:r>
          </w:p>
          <w:p>
            <w:pPr>
              <w:spacing w:before="40" w:after="40" w:line="260"/>
            </w:pPr>
            <w:r>
              <w:rPr>
                <w:rFonts w:ascii="Times New Roman" w:cs="Times New Roman" w:eastAsia="Times New Roman" w:hAnsi="Times New Roman"/>
                <w:sz w:val="22"/>
                <w:szCs w:val="22"/>
              </w:rPr>
              <w:t xml:space="preserve">argument from Stock (1888, §339). The limitation—that edge cases may be ambiguous—is</w:t>
            </w:r>
          </w:p>
          <w:p>
            <w:pPr>
              <w:spacing w:before="40" w:after="40" w:line="260"/>
            </w:pPr>
            <w:r>
              <w:rPr>
                <w:rFonts w:ascii="Times New Roman" w:cs="Times New Roman" w:eastAsia="Times New Roman" w:hAnsi="Times New Roman"/>
                <w:sz w:val="22"/>
                <w:szCs w:val="22"/>
              </w:rPr>
              <w:t xml:space="preserve">explicitly acknowledged.</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2: Proposition 5.2 counterexamples made concrete</w:t>
            </w:r>
          </w:p>
          <w:p>
            <w:pPr>
              <w:spacing w:before="40" w:after="40" w:line="260"/>
            </w:pPr>
            <w:r>
              <w:rPr>
                <w:rFonts w:ascii="Times New Roman" w:cs="Times New Roman" w:eastAsia="Times New Roman" w:hAnsi="Times New Roman"/>
                <w:sz w:val="22"/>
                <w:szCs w:val="22"/>
              </w:rPr>
              <w:t xml:space="preserve">Prior draft stated that fifteen counterexamples exist but provided none. Proposition 5.2</w:t>
            </w:r>
          </w:p>
          <w:p>
            <w:pPr>
              <w:spacing w:before="40" w:after="40" w:line="260"/>
            </w:pPr>
            <w:r>
              <w:rPr>
                <w:rFonts w:ascii="Times New Roman" w:cs="Times New Roman" w:eastAsia="Times New Roman" w:hAnsi="Times New Roman"/>
                <w:sz w:val="22"/>
                <w:szCs w:val="22"/>
              </w:rPr>
              <w:t xml:space="preserve">now includes four concrete counterexamples—one per element—showing specifically what</w:t>
            </w:r>
          </w:p>
          <w:p>
            <w:pPr>
              <w:spacing w:before="40" w:after="40" w:line="260"/>
            </w:pPr>
            <w:r>
              <w:rPr>
                <w:rFonts w:ascii="Times New Roman" w:cs="Times New Roman" w:eastAsia="Times New Roman" w:hAnsi="Times New Roman"/>
                <w:sz w:val="22"/>
                <w:szCs w:val="22"/>
              </w:rPr>
              <w:t xml:space="preserve">class of institutional insight is lost when each element is absent.</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3: Theorem 5.3 honest majority condition analyzed</w:t>
            </w:r>
          </w:p>
          <w:p>
            <w:pPr>
              <w:spacing w:before="40" w:after="40" w:line="260"/>
            </w:pPr>
            <w:r>
              <w:rPr>
                <w:rFonts w:ascii="Times New Roman" w:cs="Times New Roman" w:eastAsia="Times New Roman" w:hAnsi="Times New Roman"/>
                <w:sz w:val="22"/>
                <w:szCs w:val="22"/>
              </w:rPr>
              <w:t xml:space="preserve">Prior draft stated the honest majority condition without analyzing whether network</w:t>
            </w:r>
          </w:p>
          <w:p>
            <w:pPr>
              <w:spacing w:before="40" w:after="40" w:line="260"/>
            </w:pPr>
            <w:r>
              <w:rPr>
                <w:rFonts w:ascii="Times New Roman" w:cs="Times New Roman" w:eastAsia="Times New Roman" w:hAnsi="Times New Roman"/>
                <w:sz w:val="22"/>
                <w:szCs w:val="22"/>
              </w:rPr>
              <w:t xml:space="preserve">incentives maintain it. Section 7 of Theorem 5.3 now identifies three specific scenarios</w:t>
            </w:r>
          </w:p>
          <w:p>
            <w:pPr>
              <w:spacing w:before="40" w:after="40" w:line="260"/>
            </w:pPr>
            <w:r>
              <w:rPr>
                <w:rFonts w:ascii="Times New Roman" w:cs="Times New Roman" w:eastAsia="Times New Roman" w:hAnsi="Times New Roman"/>
                <w:sz w:val="22"/>
                <w:szCs w:val="22"/>
              </w:rPr>
              <w:t xml:space="preserve">under which honest majority fails and provides mitigations for each.</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4: Self-KVS scoring explicitly labeled as demonstration</w:t>
            </w:r>
          </w:p>
          <w:p>
            <w:pPr>
              <w:spacing w:before="40" w:after="40" w:line="260"/>
            </w:pPr>
            <w:r>
              <w:rPr>
                <w:rFonts w:ascii="Times New Roman" w:cs="Times New Roman" w:eastAsia="Times New Roman" w:hAnsi="Times New Roman"/>
                <w:sz w:val="22"/>
                <w:szCs w:val="22"/>
              </w:rPr>
              <w:t xml:space="preserve">Prior draft reported KVS = 0.502 for this paper without adequate caveat. Section 7.1</w:t>
            </w:r>
          </w:p>
          <w:p>
            <w:pPr>
              <w:spacing w:before="40" w:after="40" w:line="260"/>
            </w:pPr>
            <w:r>
              <w:rPr>
                <w:rFonts w:ascii="Times New Roman" w:cs="Times New Roman" w:eastAsia="Times New Roman" w:hAnsi="Times New Roman"/>
                <w:sz w:val="22"/>
                <w:szCs w:val="22"/>
              </w:rPr>
              <w:t xml:space="preserve">now explicitly identifies the threefold circularity and states that the self-KVS score</w:t>
            </w:r>
          </w:p>
          <w:p>
            <w:pPr>
              <w:spacing w:before="40" w:after="40" w:line="260"/>
            </w:pPr>
            <w:r>
              <w:rPr>
                <w:rFonts w:ascii="Times New Roman" w:cs="Times New Roman" w:eastAsia="Times New Roman" w:hAnsi="Times New Roman"/>
                <w:sz w:val="22"/>
                <w:szCs w:val="22"/>
              </w:rPr>
              <w:t xml:space="preserve">is a demonstration of self-referential applicability, not an independent quality signal.</w:t>
            </w:r>
          </w:p>
        </w:tc>
      </w:tr>
    </w:tbl>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References</w:t>
      </w:r>
    </w:p>
    <w:p>
      <w:pPr>
        <w:spacing w:before="80" w:after="80" w:line="276"/>
        <w:jc w:val="both"/>
      </w:pPr>
      <w:r>
        <w:rPr>
          <w:rFonts w:ascii="Times New Roman" w:cs="Times New Roman" w:eastAsia="Times New Roman" w:hAnsi="Times New Roman"/>
          <w:sz w:val="24"/>
          <w:szCs w:val="24"/>
        </w:rPr>
        <w:t xml:space="preserve">Argote, L., &amp; Epple, D. (1990). Learning curves in manufacturing. Science, 247(4945), 920–924.</w:t>
      </w:r>
    </w:p>
    <w:p>
      <w:pPr>
        <w:spacing w:before="80" w:after="80" w:line="276"/>
        <w:jc w:val="both"/>
      </w:pPr>
      <w:r>
        <w:rPr>
          <w:rFonts w:ascii="Times New Roman" w:cs="Times New Roman" w:eastAsia="Times New Roman" w:hAnsi="Times New Roman"/>
          <w:sz w:val="24"/>
          <w:szCs w:val="24"/>
        </w:rPr>
        <w:t xml:space="preserve">Aristotle. Topics. (Trans. R. Smith, 1997). Clarendon Press.</w:t>
      </w:r>
    </w:p>
    <w:p>
      <w:pPr>
        <w:spacing w:before="80" w:after="80" w:line="276"/>
        <w:jc w:val="both"/>
      </w:pPr>
      <w:r>
        <w:rPr>
          <w:rFonts w:ascii="Times New Roman" w:cs="Times New Roman" w:eastAsia="Times New Roman" w:hAnsi="Times New Roman"/>
          <w:sz w:val="24"/>
          <w:szCs w:val="24"/>
        </w:rPr>
        <w:t xml:space="preserve">Dubitzky, W., Granzow, M., &amp; Berrar, D. P. (Eds.). (2012). Fundamentals of data mining in genomics and drug discovery. Springer.</w:t>
      </w:r>
    </w:p>
    <w:p>
      <w:pPr>
        <w:spacing w:before="80" w:after="80" w:line="276"/>
        <w:jc w:val="both"/>
      </w:pPr>
      <w:r>
        <w:rPr>
          <w:rFonts w:ascii="Times New Roman" w:cs="Times New Roman" w:eastAsia="Times New Roman" w:hAnsi="Times New Roman"/>
          <w:sz w:val="24"/>
          <w:szCs w:val="24"/>
        </w:rPr>
        <w:t xml:space="preserve">Gelman, A., Carlin, J. B., Stern, H. S., Dunson, D. B., Vehtari, A., &amp; Rubin, D. B. (2013). Bayesian data analysis (3rd ed.). CRC Press.</w:t>
      </w:r>
    </w:p>
    <w:p>
      <w:pPr>
        <w:spacing w:before="80" w:after="80" w:line="276"/>
        <w:jc w:val="both"/>
      </w:pPr>
      <w:r>
        <w:rPr>
          <w:rFonts w:ascii="Times New Roman" w:cs="Times New Roman" w:eastAsia="Times New Roman" w:hAnsi="Times New Roman"/>
          <w:sz w:val="24"/>
          <w:szCs w:val="24"/>
        </w:rPr>
        <w:t xml:space="preserve">Kolodner, J. (1993). Case-based reasoning. Morgan Kaufmann.</w:t>
      </w:r>
    </w:p>
    <w:p>
      <w:pPr>
        <w:spacing w:before="80" w:after="80" w:line="276"/>
        <w:jc w:val="both"/>
      </w:pPr>
      <w:r>
        <w:rPr>
          <w:rFonts w:ascii="Times New Roman" w:cs="Times New Roman" w:eastAsia="Times New Roman" w:hAnsi="Times New Roman"/>
          <w:sz w:val="24"/>
          <w:szCs w:val="24"/>
        </w:rPr>
        <w:t xml:space="preserve">Koestler, A. (1964). The act of creation. Penguin Books.</w:t>
      </w:r>
    </w:p>
    <w:p>
      <w:pPr>
        <w:spacing w:before="80" w:after="80" w:line="276"/>
        <w:jc w:val="both"/>
      </w:pPr>
      <w:r>
        <w:rPr>
          <w:rFonts w:ascii="Times New Roman" w:cs="Times New Roman" w:eastAsia="Times New Roman" w:hAnsi="Times New Roman"/>
          <w:sz w:val="24"/>
          <w:szCs w:val="24"/>
        </w:rPr>
        <w:t xml:space="preserve">Krantz, D. H., Luce, R. D., Suppes, P., &amp; Tversky, A. (1971). Foundations of measurement, Vol. 1. Academic Press.</w:t>
      </w:r>
    </w:p>
    <w:p>
      <w:pPr>
        <w:spacing w:before="80" w:after="80" w:line="276"/>
        <w:jc w:val="both"/>
      </w:pPr>
      <w:r>
        <w:rPr>
          <w:rFonts w:ascii="Times New Roman" w:cs="Times New Roman" w:eastAsia="Times New Roman" w:hAnsi="Times New Roman"/>
          <w:sz w:val="24"/>
          <w:szCs w:val="24"/>
        </w:rPr>
        <w:t xml:space="preserve">Levitt, B., &amp; March, J. G. (1988). Organizational learning. Annual Review of Sociology, 14, 319–340.</w:t>
      </w:r>
    </w:p>
    <w:p>
      <w:pPr>
        <w:spacing w:before="80" w:after="80" w:line="276"/>
        <w:jc w:val="both"/>
      </w:pPr>
      <w:r>
        <w:rPr>
          <w:rFonts w:ascii="Times New Roman" w:cs="Times New Roman" w:eastAsia="Times New Roman" w:hAnsi="Times New Roman"/>
          <w:sz w:val="24"/>
          <w:szCs w:val="24"/>
        </w:rPr>
        <w:t xml:space="preserve">Luce, R. D., &amp; Tukey, J. W. (1964). Simultaneous conjoint measurement. Journal of Mathematical Psychology, 1(1), 1–27.</w:t>
      </w:r>
    </w:p>
    <w:p>
      <w:pPr>
        <w:spacing w:before="80" w:after="80" w:line="276"/>
        <w:jc w:val="both"/>
      </w:pPr>
      <w:r>
        <w:rPr>
          <w:rFonts w:ascii="Times New Roman" w:cs="Times New Roman" w:eastAsia="Times New Roman" w:hAnsi="Times New Roman"/>
          <w:sz w:val="24"/>
          <w:szCs w:val="24"/>
        </w:rPr>
        <w:t xml:space="preserve">Moran, T. P., &amp; Carroll, J. M. (Eds.). (1996). Design rationale: Concepts, techniques, and use. Erlbaum.</w:t>
      </w:r>
    </w:p>
    <w:p>
      <w:pPr>
        <w:spacing w:before="80" w:after="80" w:line="276"/>
        <w:jc w:val="both"/>
      </w:pPr>
      <w:r>
        <w:rPr>
          <w:rFonts w:ascii="Times New Roman" w:cs="Times New Roman" w:eastAsia="Times New Roman" w:hAnsi="Times New Roman"/>
          <w:sz w:val="24"/>
          <w:szCs w:val="24"/>
        </w:rPr>
        <w:t xml:space="preserve">Stock, G. W. J. (1888). Introduction to the study of logic. Longmans, Green.</w:t>
      </w:r>
    </w:p>
    <w:p>
      <w:pPr>
        <w:spacing w:before="80" w:after="80" w:line="276"/>
        <w:jc w:val="both"/>
      </w:pPr>
      <w:r>
        <w:rPr>
          <w:rFonts w:ascii="Times New Roman" w:cs="Times New Roman" w:eastAsia="Times New Roman" w:hAnsi="Times New Roman"/>
          <w:sz w:val="24"/>
          <w:szCs w:val="24"/>
        </w:rPr>
        <w:t xml:space="preserve">Walton, D. (2008). Argumentation schemes. Cambridge University Press.</w:t>
      </w:r>
    </w:p>
    <w:p>
      <w:pPr>
        <w:spacing w:before="80" w:after="80" w:line="276"/>
        <w:jc w:val="both"/>
      </w:pPr>
      <w:r>
        <w:rPr>
          <w:rFonts w:ascii="Times New Roman" w:cs="Times New Roman" w:eastAsia="Times New Roman" w:hAnsi="Times New Roman"/>
          <w:sz w:val="24"/>
          <w:szCs w:val="24"/>
        </w:rPr>
        <w:t xml:space="preserve">Walsh, J. P., &amp; Ungson, G. R. (1991). Organizational memory. Academy of Management Review, 16(1), 57–91.</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Appendix A: Self-KVS Score — Methodological Demonstration</w:t>
      </w:r>
    </w:p>
    <w:p>
      <w:pPr>
        <w:spacing w:before="80" w:after="80" w:line="276"/>
        <w:jc w:val="both"/>
      </w:pPr>
      <w:r>
        <w:rPr>
          <w:rFonts w:ascii="Times New Roman" w:cs="Times New Roman" w:eastAsia="Times New Roman" w:hAnsi="Times New Roman"/>
          <w:i/>
          <w:iCs/>
          <w:color w:val="444444"/>
          <w:sz w:val="22"/>
          <w:szCs w:val="22"/>
        </w:rPr>
        <w:t xml:space="preserve">This appendix is a demonstration of self-referential applicability (Paper 1, Theorem 4.2). The researchers scoring this paper are not independent evaluators. See Section 7.1 for full circularity disclosure.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Component</w:t>
            </w:r>
          </w:p>
        </w:tc>
        <w:tc>
          <w:tcPr>
            <w:tcW w:type="dxa" w:w="18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Value</w:t>
            </w:r>
          </w:p>
        </w:tc>
        <w:tc>
          <w:tcPr>
            <w:tcW w:type="dxa" w:w="53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Basis</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N (Novelty)</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0.86</w:t>
            </w:r>
          </w:p>
        </w:tc>
        <w:tc>
          <w:tcPr>
            <w:tcW w:type="dxa" w:w="53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Jaccard distance from prior reasoning/QSS literature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I′ (Impact)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0.60</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Estimated improvement in meta-improvement cycle fidelity / I_max = 5.0</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 (Complexity)</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0.80</w:t>
            </w:r>
          </w:p>
        </w:tc>
        <w:tc>
          <w:tcPr>
            <w:tcW w:type="dxa" w:w="53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Adoption requires QSS training; 1 new step per improvement cycle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 (Timeliness)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1.00</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Immediately relevant to any organization implementing Meta-Kaizen</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KVS</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0.413</w:t>
            </w:r>
          </w:p>
        </w:tc>
        <w:tc>
          <w:tcPr>
            <w:tcW w:type="dxa" w:w="53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0.86 × 0.60 × 0.80 × 1.00 = 0.413</w:t>
            </w:r>
          </w:p>
        </w:tc>
      </w:tr>
    </w:tbl>
    <w:p>
      <w:pPr>
        <w:spacing w:before="100" w:after="100"/>
      </w:pPr>
    </w:p>
    <w:p>
      <w:pPr>
        <w:spacing w:before="80" w:after="80" w:line="276"/>
        <w:jc w:val="both"/>
      </w:pPr>
      <w:r>
        <w:rPr>
          <w:rFonts w:ascii="Times New Roman" w:cs="Times New Roman" w:eastAsia="Times New Roman" w:hAnsi="Times New Roman"/>
          <w:i/>
          <w:iCs/>
          <w:color w:val="444444"/>
          <w:sz w:val="22"/>
          <w:szCs w:val="22"/>
        </w:rPr>
        <w:t xml:space="preserve">Note: Prior drafts of this appendix reported KVS = 0.502, which is arithmetically inconsistent with the component values shown (0.86 × 0.60 × 0.80 × 1.00 = 0.413, not 0.502). The table has been corrected to KVS = 0.413. This value is below the κ = 0.50 adoption threshold—a result that should not be interpreted as a quality judgment, but as an honest illustration that a first-pass self-evaluation by the framework's authors yields a sub-threshold score, consistent with the circularity caveat in Section 7.1.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1F6B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2026-03-06T06:00:56.914Z</dcterms:created>
  <dcterms:modified xsi:type="dcterms:W3CDTF">2026-03-06T06:00:56.915Z</dcterms:modified>
</cp:coreProperties>
</file>

<file path=docProps/custom.xml><?xml version="1.0" encoding="utf-8"?>
<Properties xmlns="http://schemas.openxmlformats.org/officeDocument/2006/custom-properties" xmlns:vt="http://schemas.openxmlformats.org/officeDocument/2006/docPropsVTypes"/>
</file>