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Times New Roman" w:cs="Times New Roman" w:eastAsia="Times New Roman" w:hAnsi="Times New Roman"/>
          <w:i/>
          <w:iCs/>
          <w:color w:val="666666"/>
          <w:sz w:val="20"/>
          <w:szCs w:val="20"/>
        </w:rPr>
        <w:t xml:space="preserve">Meta-Kaizen Series · Paper 4 of 4</w:t>
      </w:r>
    </w:p>
    <w:p>
      <w:pPr>
        <w:spacing w:before="80" w:after="240"/>
        <w:jc w:val="center"/>
      </w:pPr>
      <w:r>
        <w:rPr>
          <w:rFonts w:ascii="Times New Roman" w:cs="Times New Roman" w:eastAsia="Times New Roman" w:hAnsi="Times New Roman"/>
          <w:b/>
          <w:bCs/>
          <w:color w:val="1F3864"/>
          <w:sz w:val="32"/>
          <w:szCs w:val="32"/>
        </w:rPr>
        <w:t xml:space="preserve">The Fractal Rhythm Model: Closed-Loop Governance, Regime-Aware Adaptation, and the Axiom 5 Modification for Dynamic Environments</w:t>
      </w:r>
    </w:p>
    <w:p>
      <w:pPr>
        <w:spacing w:before="120" w:after="60"/>
        <w:jc w:val="center"/>
      </w:pPr>
      <w:r>
        <w:rPr>
          <w:rFonts w:ascii="Times New Roman" w:cs="Times New Roman" w:eastAsia="Times New Roman" w:hAnsi="Times New Roman"/>
          <w:sz w:val="24"/>
          <w:szCs w:val="24"/>
        </w:rPr>
        <w:t xml:space="preserve">Thomas Brennan  ·  Sophia Entwood  ·  Claude (Anthropic)</w:t>
      </w:r>
    </w:p>
    <w:p>
      <w:pPr>
        <w:spacing w:before="60" w:after="240"/>
        <w:jc w:val="center"/>
      </w:pPr>
      <w:r>
        <w:rPr>
          <w:rFonts w:ascii="Times New Roman" w:cs="Times New Roman" w:eastAsia="Times New Roman" w:hAnsi="Times New Roman"/>
          <w:i/>
          <w:iCs/>
          <w:color w:val="555555"/>
          <w:sz w:val="20"/>
          <w:szCs w:val="20"/>
        </w:rPr>
        <w:t xml:space="preserve">March 2026  ·  Submitted for peer review  ·  Entwood Hollow Research Station Working Paper No. 4</w:t>
      </w:r>
    </w:p>
    <w:p>
      <w:pPr>
        <w:spacing w:before="40" w:after="40"/>
        <w:jc w:val="center"/>
      </w:pPr>
      <w:r>
        <w:rPr>
          <w:rFonts w:ascii="Times New Roman" w:cs="Times New Roman" w:eastAsia="Times New Roman" w:hAnsi="Times New Roman"/>
          <w:i/>
          <w:iCs/>
          <w:color w:val="888888"/>
          <w:sz w:val="18"/>
          <w:szCs w:val="18"/>
        </w:rPr>
        <w:t xml:space="preserve">Entwood Hollow Research Station is an independent research organization affiliated with the Entwood Long-Term Fund, a family investment office based in Douglas City, California. Research is conducted independently of commercial activities.</w:t>
      </w:r>
    </w:p>
    <w:p>
      <w:pPr>
        <w:pBdr>
          <w:bottom w:val="single" w:color="CCCCCC" w:sz="4" w:space="4"/>
        </w:pBdr>
        <w:spacing w:before="160" w:after="160"/>
      </w:pPr>
    </w:p>
    <w:p>
      <w:pPr>
        <w:spacing w:before="80" w:after="80" w:line="276"/>
        <w:jc w:val="both"/>
      </w:pPr>
      <w:r>
        <w:rPr>
          <w:rFonts w:ascii="Times New Roman" w:cs="Times New Roman" w:eastAsia="Times New Roman" w:hAnsi="Times New Roman"/>
          <w:i/>
          <w:iCs/>
          <w:color w:val="444444"/>
          <w:sz w:val="22"/>
          <w:szCs w:val="22"/>
        </w:rPr>
        <w:t xml:space="preserve">Conflict of interest: Both human authors are affiliated with the Entwood Long-Term Fund. The general theory, software library, and all mathematical formulations are contributed to the public domain. The IPS application described in worked examples is illustrative only. The AI co-author (Claude, Anthropic) provided methodological review, mathematical formalization, literature synthesis, and manuscript writing assistance.</w:t>
      </w:r>
    </w:p>
    <w:p>
      <w:pPr>
        <w:pStyle w:val="Heading2"/>
        <w:spacing w:before="240" w:after="120"/>
      </w:pPr>
      <w:r>
        <w:rPr>
          <w:rFonts w:ascii="Times New Roman" w:cs="Times New Roman" w:eastAsia="Times New Roman" w:hAnsi="Times New Roman"/>
          <w:b/>
          <w:bCs/>
          <w:color w:val="1F6B75"/>
          <w:sz w:val="26"/>
          <w:szCs w:val="26"/>
        </w:rPr>
        <w:t xml:space="preserve">Series Orientation</w:t>
      </w:r>
    </w:p>
    <w:p>
      <w:pPr>
        <w:spacing w:before="80" w:after="80" w:line="276"/>
        <w:jc w:val="both"/>
      </w:pPr>
      <w:r>
        <w:rPr>
          <w:rFonts w:ascii="Times New Roman" w:cs="Times New Roman" w:eastAsia="Times New Roman" w:hAnsi="Times New Roman"/>
          <w:sz w:val="24"/>
          <w:szCs w:val="24"/>
        </w:rPr>
        <w:t xml:space="preserve">This is Paper 4 of four in the Meta-Kaizen series, and the final paper. Paper 1 derived the general theory. Paper 2 proved the networked implementation. Paper 3 formalized the reasoning and memory architecture. This paper completes the series by addressing the dynamic environment problem: what happens to Meta-Kaizen when the operating environment changes discontinuously? The Fractal Rhythm Model (FRM) is the answer—an adaptive layer that detects regime shifts and modifies the KVS computation accordingly, with explicit justification for the bounded departure from Paper 1's Axiom 5.</w:t>
      </w:r>
    </w:p>
    <w:p>
      <w:pPr>
        <w:pBdr>
          <w:bottom w:val="single" w:color="CCCCCC" w:sz="4" w:space="4"/>
        </w:pBdr>
        <w:spacing w:before="160" w:after="160"/>
      </w:pPr>
    </w:p>
    <w:p>
      <w:pPr>
        <w:pStyle w:val="Heading2"/>
        <w:spacing w:before="240" w:after="120"/>
      </w:pPr>
      <w:r>
        <w:rPr>
          <w:rFonts w:ascii="Times New Roman" w:cs="Times New Roman" w:eastAsia="Times New Roman" w:hAnsi="Times New Roman"/>
          <w:b/>
          <w:bCs/>
          <w:color w:val="1F6B75"/>
          <w:sz w:val="26"/>
          <w:szCs w:val="26"/>
        </w:rPr>
        <w:t xml:space="preserve">Abstract</w:t>
      </w:r>
    </w:p>
    <w:p>
      <w:pPr>
        <w:spacing w:before="80" w:after="80" w:line="276"/>
        <w:jc w:val="both"/>
      </w:pPr>
      <w:r>
        <w:rPr>
          <w:rFonts w:ascii="Times New Roman" w:cs="Times New Roman" w:eastAsia="Times New Roman" w:hAnsi="Times New Roman"/>
          <w:sz w:val="24"/>
          <w:szCs w:val="24"/>
        </w:rPr>
        <w:t xml:space="preserve">Papers 1 through 3 of the Meta-Kaizen series operate in a stationary-environment assumption: the substrate's operating context is assumed to be stable enough that historical improvement records and calibrated thresholds remain valid. This assumption breaks in the presence of regime shifts—discontinuous changes in the operating environment that render prior calibrations obsolete and may make previously-rejected improvements newly relevant.</w:t>
      </w:r>
    </w:p>
    <w:p>
      <w:pPr>
        <w:spacing w:before="80" w:after="80" w:line="276"/>
        <w:jc w:val="both"/>
      </w:pPr>
      <w:r>
        <w:rPr>
          <w:rFonts w:ascii="Times New Roman" w:cs="Times New Roman" w:eastAsia="Times New Roman" w:hAnsi="Times New Roman"/>
          <w:sz w:val="24"/>
          <w:szCs w:val="24"/>
        </w:rPr>
        <w:t xml:space="preserve">This paper introduces the Fractal Rhythm Model (FRM), an adaptive governance layer that detects two classes of regime signals: Regime Discontinuity Score (RDS), a Bayesian change-point detection score for structural breaks in the substrate outcome series; and Complexity Surge Score (CSS), a volatility-normalized measure of implementation complexity expansion in the operating environment.</w:t>
      </w:r>
    </w:p>
    <w:p>
      <w:pPr>
        <w:spacing w:before="80" w:after="80" w:line="276"/>
        <w:jc w:val="both"/>
      </w:pPr>
      <w:r>
        <w:rPr>
          <w:rFonts w:ascii="Times New Roman" w:cs="Times New Roman" w:eastAsia="Times New Roman" w:hAnsi="Times New Roman"/>
          <w:sz w:val="24"/>
          <w:szCs w:val="24"/>
        </w:rPr>
        <w:t xml:space="preserve">The FRM introduces an adjusted KVS formula (KVS-hat) that modifies the Novelty factor (N) during active regime signals. This modification constitutes a deliberate, bounded departure from Paper 1's Axiom 5 (Essentialness with Veto Power). We introduce Axiom 5-prime (Regime-Conditioned Essentialness) to formally characterize the departure, justify it economically, bound its magnitude, and specify the conditions under which the original Axiom 5 is fully restored.</w:t>
      </w:r>
    </w:p>
    <w:p>
      <w:pPr>
        <w:spacing w:before="80" w:after="80" w:line="276"/>
        <w:jc w:val="both"/>
      </w:pPr>
      <w:r>
        <w:rPr>
          <w:rFonts w:ascii="Times New Roman" w:cs="Times New Roman" w:eastAsia="Times New Roman" w:hAnsi="Times New Roman"/>
          <w:sz w:val="24"/>
          <w:szCs w:val="24"/>
        </w:rPr>
        <w:t xml:space="preserve">The CSS formula is presented in both a clipping variant (CSS saturates at 1 sigma above baseline) and a logistic variant (CSS preserves gradient information above 1 sigma). Both formulations are formally specified, their trade-offs documented, and the choice left to the implementing organization with guidance.</w:t>
      </w:r>
    </w:p>
    <w:p>
      <w:pPr>
        <w:spacing w:before="80" w:after="80" w:line="276"/>
        <w:jc w:val="both"/>
      </w:pPr>
      <w:r>
        <w:rPr>
          <w:rFonts w:ascii="Times New Roman" w:cs="Times New Roman" w:eastAsia="Times New Roman" w:hAnsi="Times New Roman"/>
          <w:sz w:val="24"/>
          <w:szCs w:val="24"/>
        </w:rPr>
        <w:t xml:space="preserve">The asymptotic recursion governing regime extinguishing is fully specified, with the lower bound on the extinguishing parameter delta derived for finite planning horizons.</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1. Introduction: The Stationarity Assumption and Its Failure</w:t>
      </w:r>
    </w:p>
    <w:p>
      <w:pPr>
        <w:spacing w:before="80" w:after="80" w:line="276"/>
        <w:jc w:val="both"/>
      </w:pPr>
      <w:r>
        <w:rPr>
          <w:rFonts w:ascii="Times New Roman" w:cs="Times New Roman" w:eastAsia="Times New Roman" w:hAnsi="Times New Roman"/>
          <w:sz w:val="24"/>
          <w:szCs w:val="24"/>
        </w:rPr>
        <w:t xml:space="preserve">Meta-Kaizen as specified in Papers 1 through 3 implicitly assumes that the substrate's operating environment is sufficiently stable that: (a) historical impact estimates calibrate future impact estimates; (b) the novelty measurement—built on a four-quarter rolling window—correctly penalizes recently explored domains; and (c) the adoption threshold calibrated on past outcomes remains appropriate for future decisions.</w:t>
      </w:r>
    </w:p>
    <w:p>
      <w:pPr>
        <w:spacing w:before="80" w:after="80" w:line="276"/>
        <w:jc w:val="both"/>
      </w:pPr>
      <w:r>
        <w:rPr>
          <w:rFonts w:ascii="Times New Roman" w:cs="Times New Roman" w:eastAsia="Times New Roman" w:hAnsi="Times New Roman"/>
          <w:sz w:val="24"/>
          <w:szCs w:val="24"/>
        </w:rPr>
        <w:t xml:space="preserve">Each of these assumptions can fail discontinuously. A financial governance substrate operating through a credit cycle regime shift cannot use pre-shift calibrations for post-shift impact estimates. A clinical protocol substrate whose patient population has shifted demographically may find that previously-high-novelty domains have become suddenly urgent. An engineering standards substrate facing a step-change in regulatory complexity will find that previously-medium-complexity candidates are now effectively maximal-complexity.</w:t>
      </w:r>
    </w:p>
    <w:p>
      <w:pPr>
        <w:spacing w:before="80" w:after="80" w:line="276"/>
        <w:jc w:val="both"/>
      </w:pPr>
      <w:r>
        <w:rPr>
          <w:rFonts w:ascii="Times New Roman" w:cs="Times New Roman" w:eastAsia="Times New Roman" w:hAnsi="Times New Roman"/>
          <w:sz w:val="24"/>
          <w:szCs w:val="24"/>
        </w:rPr>
        <w:t xml:space="preserve">These failures share a common structure: a regime shift—a discontinuous change in the environment that moves the substrate into a different operating regime—invalidates the stationarity assumption on which standard KVS computation rests. The Fractal Rhythm Model is designed to detect regime shifts and adapt the KVS computation during the transition period, restoring standard computation once the new regime is established. The name reflects two properties: 'Fractal' denotes that the same governance loop—score, threshold, approve, log—recurs at both the object level (individual improvements) and the meta level (framework adaptations under regime change), preserving structural self-similarity across scales. 'Rhythm' denotes the model's core behavioral claim: that organizational adaptation to regime shifts follows a regular, decaying pattern captured by the extinguishing recursion (Section 5), not an arbitrary or unbounded response.</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2. Regime Signal Architecture</w:t>
      </w:r>
    </w:p>
    <w:p>
      <w:pPr>
        <w:pStyle w:val="Heading2"/>
        <w:spacing w:before="240" w:after="120"/>
      </w:pPr>
      <w:r>
        <w:rPr>
          <w:rFonts w:ascii="Times New Roman" w:cs="Times New Roman" w:eastAsia="Times New Roman" w:hAnsi="Times New Roman"/>
          <w:b/>
          <w:bCs/>
          <w:color w:val="1F6B75"/>
          <w:sz w:val="26"/>
          <w:szCs w:val="26"/>
        </w:rPr>
        <w:t xml:space="preserve">2.1 Regime Discontinuity Score (RDS)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Definition 2.1 (Regime Discontinuity Score)</w:t>
            </w:r>
          </w:p>
          <w:p>
            <w:pPr>
              <w:spacing w:before="40" w:after="40" w:line="260"/>
            </w:pPr>
            <w:r>
              <w:rPr>
                <w:rFonts w:ascii="Times New Roman" w:cs="Times New Roman" w:eastAsia="Times New Roman" w:hAnsi="Times New Roman"/>
                <w:sz w:val="22"/>
                <w:szCs w:val="22"/>
              </w:rPr>
              <w:t xml:space="preserve">Let {y_t} denote the substrate outcome series (e.g., rolling 12-month performance against</w:t>
            </w:r>
          </w:p>
          <w:p>
            <w:pPr>
              <w:spacing w:before="40" w:after="40" w:line="260"/>
            </w:pPr>
            <w:r>
              <w:rPr>
                <w:rFonts w:ascii="Times New Roman" w:cs="Times New Roman" w:eastAsia="Times New Roman" w:hAnsi="Times New Roman"/>
                <w:sz w:val="22"/>
                <w:szCs w:val="22"/>
              </w:rPr>
              <w:t xml:space="preserve">the substrate's primary outcome metric). RDS_t is a Bayesian change-point probability:</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  RDS_t = P(change point at t | y_1, ..., y_t)</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computed using the BOCP (Bayesian Online Change Point detection) algorithm of Adams and</w:t>
            </w:r>
          </w:p>
          <w:p>
            <w:pPr>
              <w:spacing w:before="40" w:after="40" w:line="260"/>
            </w:pPr>
            <w:r>
              <w:rPr>
                <w:rFonts w:ascii="Times New Roman" w:cs="Times New Roman" w:eastAsia="Times New Roman" w:hAnsi="Times New Roman"/>
                <w:sz w:val="22"/>
                <w:szCs w:val="22"/>
              </w:rPr>
              <w:t xml:space="preserve">MacKay (2007). The prior on run length follows a geometric distribution with hazard rate</w:t>
            </w:r>
          </w:p>
          <w:p>
            <w:pPr>
              <w:spacing w:before="40" w:after="40" w:line="260"/>
            </w:pPr>
            <w:r>
              <w:rPr>
                <w:rFonts w:ascii="Times New Roman" w:cs="Times New Roman" w:eastAsia="Times New Roman" w:hAnsi="Times New Roman"/>
                <w:sz w:val="22"/>
                <w:szCs w:val="22"/>
              </w:rPr>
              <w:t xml:space="preserve">h = 1/L where L is the expected run length between structural breaks (default L = 12 months).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RDS_t ∈ [0,1]. Values above 0.70 indicate strong evidence of a structural break.</w:t>
            </w:r>
          </w:p>
          <w:p>
            <w:pPr>
              <w:spacing w:before="40" w:after="40" w:line="260"/>
            </w:pPr>
            <w:r>
              <w:rPr>
                <w:rFonts w:ascii="Times New Roman" w:cs="Times New Roman" w:eastAsia="Times New Roman" w:hAnsi="Times New Roman"/>
                <w:sz w:val="22"/>
                <w:szCs w:val="22"/>
              </w:rPr>
              <w:t xml:space="preserve">Operational threshold: RDS_t ≥ 0.70 triggers the FRM adjustment.</w:t>
            </w:r>
          </w:p>
        </w:tc>
      </w:tr>
    </w:tbl>
    <w:p>
      <w:pPr>
        <w:spacing w:before="80" w:after="80" w:line="276"/>
        <w:jc w:val="both"/>
      </w:pPr>
      <w:r>
        <w:rPr>
          <w:rFonts w:ascii="Times New Roman" w:cs="Times New Roman" w:eastAsia="Times New Roman" w:hAnsi="Times New Roman"/>
          <w:sz w:val="24"/>
          <w:szCs w:val="24"/>
        </w:rPr>
        <w:t xml:space="preserve">The BOCP algorithm provides real-time, online estimates of change-point probability without requiring a full historical refit at each observation. It is computationally O(t) per step with a pruning approximation. The choice of hazard rate h is the primary tuning parameter; organizations with prior knowledge of their regime-change frequency should calibrate h accordingly.</w:t>
      </w:r>
    </w:p>
    <w:p>
      <w:pPr>
        <w:pStyle w:val="Heading2"/>
        <w:spacing w:before="240" w:after="120"/>
      </w:pPr>
      <w:r>
        <w:rPr>
          <w:rFonts w:ascii="Times New Roman" w:cs="Times New Roman" w:eastAsia="Times New Roman" w:hAnsi="Times New Roman"/>
          <w:b/>
          <w:bCs/>
          <w:color w:val="1F6B75"/>
          <w:sz w:val="26"/>
          <w:szCs w:val="26"/>
        </w:rPr>
        <w:t xml:space="preserve">2.2 Complexity Surge Score (CSS): Two Formulations</w:t>
      </w:r>
    </w:p>
    <w:p>
      <w:pPr>
        <w:spacing w:before="80" w:after="80" w:line="276"/>
        <w:jc w:val="both"/>
      </w:pPr>
      <w:r>
        <w:rPr>
          <w:rFonts w:ascii="Times New Roman" w:cs="Times New Roman" w:eastAsia="Times New Roman" w:hAnsi="Times New Roman"/>
          <w:sz w:val="24"/>
          <w:szCs w:val="24"/>
        </w:rPr>
        <w:t xml:space="preserve">The CSS measures abnormal expansion in the implementation complexity of improvement candidates—a proxy for environmental turbulence that increases the operational burden of any change. We present two formulations with distinct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Definition 2.2a (CSS: Clipping Formulation)</w:t>
            </w:r>
          </w:p>
          <w:p>
            <w:pPr>
              <w:spacing w:before="40" w:after="40" w:line="260"/>
            </w:pPr>
            <w:r>
              <w:rPr>
                <w:rFonts w:ascii="Times New Roman" w:cs="Times New Roman" w:eastAsia="Times New Roman" w:hAnsi="Times New Roman"/>
                <w:sz w:val="22"/>
                <w:szCs w:val="22"/>
              </w:rPr>
              <w:t xml:space="preserve">Let Delta_alpha_t denote the rolling 4-quarter mean of C_j values (raw complexity) for</w:t>
            </w:r>
          </w:p>
          <w:p>
            <w:pPr>
              <w:spacing w:before="40" w:after="40" w:line="260"/>
            </w:pPr>
            <w:r>
              <w:rPr>
                <w:rFonts w:ascii="Times New Roman" w:cs="Times New Roman" w:eastAsia="Times New Roman" w:hAnsi="Times New Roman"/>
                <w:sz w:val="22"/>
                <w:szCs w:val="22"/>
              </w:rPr>
              <w:t xml:space="preserve">improvement candidates evaluated in quarter t. Let mu_Delta and sigma_Delta denote the</w:t>
            </w:r>
          </w:p>
          <w:p>
            <w:pPr>
              <w:spacing w:before="40" w:after="40" w:line="260"/>
            </w:pPr>
            <w:r>
              <w:rPr>
                <w:rFonts w:ascii="Times New Roman" w:cs="Times New Roman" w:eastAsia="Times New Roman" w:hAnsi="Times New Roman"/>
                <w:sz w:val="22"/>
                <w:szCs w:val="22"/>
              </w:rPr>
              <w:t xml:space="preserve">long-run mean and standard deviation of Delta_alpha.</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CSS_t (clipping) = min(1, max(0, (Delta_alpha_t - mu_Delta) / sigma_Delta))</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The clipping formulation saturates at CSS = 1.0 for any complexity surge exceeding</w:t>
            </w:r>
          </w:p>
          <w:p>
            <w:pPr>
              <w:spacing w:before="40" w:after="40" w:line="260"/>
            </w:pPr>
            <w:r>
              <w:rPr>
                <w:rFonts w:ascii="Times New Roman" w:cs="Times New Roman" w:eastAsia="Times New Roman" w:hAnsi="Times New Roman"/>
                <w:sz w:val="22"/>
                <w:szCs w:val="22"/>
              </w:rPr>
              <w:t xml:space="preserve">1 sigma above baseline. It treats CSS as a REGIME TRIGGER: once the environment has</w:t>
            </w:r>
          </w:p>
          <w:p>
            <w:pPr>
              <w:spacing w:before="40" w:after="40" w:line="260"/>
            </w:pPr>
            <w:r>
              <w:rPr>
                <w:rFonts w:ascii="Times New Roman" w:cs="Times New Roman" w:eastAsia="Times New Roman" w:hAnsi="Times New Roman"/>
                <w:sz w:val="22"/>
                <w:szCs w:val="22"/>
              </w:rPr>
              <w:t xml:space="preserve">moved more than 1 sigma into a high-complexity regime, the exact magnitude is not</w:t>
            </w:r>
          </w:p>
          <w:p>
            <w:pPr>
              <w:spacing w:before="40" w:after="40" w:line="260"/>
            </w:pPr>
            <w:r>
              <w:rPr>
                <w:rFonts w:ascii="Times New Roman" w:cs="Times New Roman" w:eastAsia="Times New Roman" w:hAnsi="Times New Roman"/>
                <w:sz w:val="22"/>
                <w:szCs w:val="22"/>
              </w:rPr>
              <w:t xml:space="preserve">relevant for the governance adjustment decision. The binary distinction is between</w:t>
            </w:r>
          </w:p>
          <w:p>
            <w:pPr>
              <w:spacing w:before="40" w:after="40" w:line="260"/>
            </w:pPr>
            <w:r>
              <w:rPr>
                <w:rFonts w:ascii="Times New Roman" w:cs="Times New Roman" w:eastAsia="Times New Roman" w:hAnsi="Times New Roman"/>
                <w:sz w:val="22"/>
                <w:szCs w:val="22"/>
              </w:rPr>
              <w:t xml:space="preserve">normal-regime and high-complexity-regime.</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Trade-off: CSS loses gradient information above 1 sigma. A 1.5-sigma surge and a</w:t>
            </w:r>
          </w:p>
          <w:p>
            <w:pPr>
              <w:spacing w:before="40" w:after="40" w:line="260"/>
            </w:pPr>
            <w:r>
              <w:rPr>
                <w:rFonts w:ascii="Times New Roman" w:cs="Times New Roman" w:eastAsia="Times New Roman" w:hAnsi="Times New Roman"/>
                <w:sz w:val="22"/>
                <w:szCs w:val="22"/>
              </w:rPr>
              <w:t xml:space="preserve">5-sigma surge produce identical CSS = 1.0. This is appropriate when the governance</w:t>
            </w:r>
          </w:p>
          <w:p>
            <w:pPr>
              <w:spacing w:before="40" w:after="40" w:line="260"/>
            </w:pPr>
            <w:r>
              <w:rPr>
                <w:rFonts w:ascii="Times New Roman" w:cs="Times New Roman" w:eastAsia="Times New Roman" w:hAnsi="Times New Roman"/>
                <w:sz w:val="22"/>
                <w:szCs w:val="22"/>
              </w:rPr>
              <w:t xml:space="preserve">response to all high-complexity signals is the same (full w_N credit), but loses</w:t>
            </w:r>
          </w:p>
          <w:p>
            <w:pPr>
              <w:spacing w:before="40" w:after="40" w:line="260"/>
            </w:pPr>
            <w:r>
              <w:rPr>
                <w:rFonts w:ascii="Times New Roman" w:cs="Times New Roman" w:eastAsia="Times New Roman" w:hAnsi="Times New Roman"/>
                <w:sz w:val="22"/>
                <w:szCs w:val="22"/>
              </w:rPr>
              <w:t xml:space="preserve">precision for calibrating the magnitude of the regime adjustment.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Definition 2.2b (CSS: Logistic Formulation)</w:t>
            </w:r>
          </w:p>
          <w:p>
            <w:pPr>
              <w:spacing w:before="40" w:after="40" w:line="260"/>
            </w:pPr>
            <w:r>
              <w:rPr>
                <w:rFonts w:ascii="Times New Roman" w:cs="Times New Roman" w:eastAsia="Times New Roman" w:hAnsi="Times New Roman"/>
                <w:sz w:val="22"/>
                <w:szCs w:val="22"/>
              </w:rPr>
              <w:t xml:space="preserve">CSS_t (logistic) = 1 / (1 + exp(-k * (Delta_alpha_t - mu_Delta) / sigma_Delta))</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where k = 3 (default; controls the steepness of the sigmoid).</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The logistic formulation preserves gradient information above 1 sigma. At k = 3:</w:t>
            </w:r>
          </w:p>
          <w:p>
            <w:pPr>
              <w:spacing w:before="40" w:after="40" w:line="260"/>
            </w:pPr>
            <w:r>
              <w:rPr>
                <w:rFonts w:ascii="Times New Roman" w:cs="Times New Roman" w:eastAsia="Times New Roman" w:hAnsi="Times New Roman"/>
                <w:sz w:val="22"/>
                <w:szCs w:val="22"/>
              </w:rPr>
              <w:t xml:space="preserve">  Delta_alpha = mu_Delta + 0 sigma:  CSS = 0.50</w:t>
            </w:r>
          </w:p>
          <w:p>
            <w:pPr>
              <w:spacing w:before="40" w:after="40" w:line="260"/>
            </w:pPr>
            <w:r>
              <w:rPr>
                <w:rFonts w:ascii="Times New Roman" w:cs="Times New Roman" w:eastAsia="Times New Roman" w:hAnsi="Times New Roman"/>
                <w:sz w:val="22"/>
                <w:szCs w:val="22"/>
              </w:rPr>
              <w:t xml:space="preserve">  Delta_alpha = mu_Delta + 1 sigma:  CSS = 0.95</w:t>
            </w:r>
          </w:p>
          <w:p>
            <w:pPr>
              <w:spacing w:before="40" w:after="40" w:line="260"/>
            </w:pPr>
            <w:r>
              <w:rPr>
                <w:rFonts w:ascii="Times New Roman" w:cs="Times New Roman" w:eastAsia="Times New Roman" w:hAnsi="Times New Roman"/>
                <w:sz w:val="22"/>
                <w:szCs w:val="22"/>
              </w:rPr>
              <w:t xml:space="preserve">  Delta_alpha = mu_Delta + 2 sigma:  CSS = 0.998</w:t>
            </w:r>
          </w:p>
          <w:p>
            <w:pPr>
              <w:spacing w:before="40" w:after="40" w:line="260"/>
            </w:pPr>
            <w:r>
              <w:rPr>
                <w:rFonts w:ascii="Times New Roman" w:cs="Times New Roman" w:eastAsia="Times New Roman" w:hAnsi="Times New Roman"/>
                <w:sz w:val="22"/>
                <w:szCs w:val="22"/>
              </w:rPr>
              <w:t xml:space="preserve">  Delta_alpha = mu_Delta - 1 sigma:  CSS = 0.05</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Trade-off: The logistic formulation never exactly reaches 0 or 1, which means a mild</w:t>
            </w:r>
          </w:p>
          <w:p>
            <w:pPr>
              <w:spacing w:before="40" w:after="40" w:line="260"/>
            </w:pPr>
            <w:r>
              <w:rPr>
                <w:rFonts w:ascii="Times New Roman" w:cs="Times New Roman" w:eastAsia="Times New Roman" w:hAnsi="Times New Roman"/>
                <w:sz w:val="22"/>
                <w:szCs w:val="22"/>
              </w:rPr>
              <w:t xml:space="preserve">complexity surge (0.5 sigma below baseline) still produces CSS = 0.38, providing a</w:t>
            </w:r>
          </w:p>
          <w:p>
            <w:pPr>
              <w:spacing w:before="40" w:after="40" w:line="260"/>
            </w:pPr>
            <w:r>
              <w:rPr>
                <w:rFonts w:ascii="Times New Roman" w:cs="Times New Roman" w:eastAsia="Times New Roman" w:hAnsi="Times New Roman"/>
                <w:sz w:val="22"/>
                <w:szCs w:val="22"/>
              </w:rPr>
              <w:t xml:space="preserve">small regime credit even in benign environments. Organizations that want a clean</w:t>
            </w:r>
          </w:p>
          <w:p>
            <w:pPr>
              <w:spacing w:before="40" w:after="40" w:line="260"/>
            </w:pPr>
            <w:r>
              <w:rPr>
                <w:rFonts w:ascii="Times New Roman" w:cs="Times New Roman" w:eastAsia="Times New Roman" w:hAnsi="Times New Roman"/>
                <w:sz w:val="22"/>
                <w:szCs w:val="22"/>
              </w:rPr>
              <w:t xml:space="preserve">'off switch' (CSS = 0 in normal environments) should use the clipping formulation.</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Recommendation: Use the logistic formulation when regime signal magnitude matters</w:t>
            </w:r>
          </w:p>
          <w:p>
            <w:pPr>
              <w:spacing w:before="40" w:after="40" w:line="260"/>
            </w:pPr>
            <w:r>
              <w:rPr>
                <w:rFonts w:ascii="Times New Roman" w:cs="Times New Roman" w:eastAsia="Times New Roman" w:hAnsi="Times New Roman"/>
                <w:sz w:val="22"/>
                <w:szCs w:val="22"/>
              </w:rPr>
              <w:t xml:space="preserve">for calibration (e.g., to track whether regime intensity is increasing over time).</w:t>
            </w:r>
          </w:p>
          <w:p>
            <w:pPr>
              <w:spacing w:before="40" w:after="40" w:line="260"/>
            </w:pPr>
            <w:r>
              <w:rPr>
                <w:rFonts w:ascii="Times New Roman" w:cs="Times New Roman" w:eastAsia="Times New Roman" w:hAnsi="Times New Roman"/>
                <w:sz w:val="22"/>
                <w:szCs w:val="22"/>
              </w:rPr>
              <w:t xml:space="preserve">Use the clipping formulation when the governance response is binary (adjust or do not</w:t>
            </w:r>
          </w:p>
          <w:p>
            <w:pPr>
              <w:spacing w:before="40" w:after="40" w:line="260"/>
            </w:pPr>
            <w:r>
              <w:rPr>
                <w:rFonts w:ascii="Times New Roman" w:cs="Times New Roman" w:eastAsia="Times New Roman" w:hAnsi="Times New Roman"/>
                <w:sz w:val="22"/>
                <w:szCs w:val="22"/>
              </w:rPr>
              <w:t xml:space="preserve">adjust) and simplicity of explanation is valued.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Property</w:t>
            </w:r>
          </w:p>
        </w:tc>
        <w:tc>
          <w:tcPr>
            <w:tcW w:type="dxa" w:w="30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Clipping Formulation</w:t>
            </w:r>
          </w:p>
        </w:tc>
        <w:tc>
          <w:tcPr>
            <w:tcW w:type="dxa" w:w="30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Logistic Formulation</w:t>
            </w:r>
          </w:p>
        </w:tc>
      </w:tr>
      <w:tr>
        <w:tc>
          <w:tcPr>
            <w:tcW w:type="dxa" w:w="3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Range</w:t>
            </w:r>
          </w:p>
        </w:tc>
        <w:tc>
          <w:tcPr>
            <w:tcW w:type="dxa" w:w="30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[0,1], saturates at 1sigma</w:t>
            </w:r>
          </w:p>
        </w:tc>
        <w:tc>
          <w:tcPr>
            <w:tcW w:type="dxa" w:w="30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[0,1], asymptotic approach</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Gradient above 1sigma</w:t>
            </w:r>
          </w:p>
        </w:tc>
        <w:tc>
          <w:tcPr>
            <w:tcW w:type="dxa" w:w="3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Lost (all = 1.0)</w:t>
            </w:r>
          </w:p>
        </w:tc>
        <w:tc>
          <w:tcPr>
            <w:tcW w:type="dxa" w:w="3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Preserved</w:t>
            </w:r>
          </w:p>
        </w:tc>
      </w:tr>
      <w:tr>
        <w:tc>
          <w:tcPr>
            <w:tcW w:type="dxa" w:w="3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Clean off at 0</w:t>
            </w:r>
          </w:p>
        </w:tc>
        <w:tc>
          <w:tcPr>
            <w:tcW w:type="dxa" w:w="30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Yes (CSS=0 at baseline)</w:t>
            </w:r>
          </w:p>
        </w:tc>
        <w:tc>
          <w:tcPr>
            <w:tcW w:type="dxa" w:w="30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No (CSS=0.50 at baseline)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Interpretability</w:t>
            </w:r>
          </w:p>
        </w:tc>
        <w:tc>
          <w:tcPr>
            <w:tcW w:type="dxa" w:w="3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High: on/off trigger</w:t>
            </w:r>
          </w:p>
        </w:tc>
        <w:tc>
          <w:tcPr>
            <w:tcW w:type="dxa" w:w="30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Moderate: continuous signal</w:t>
            </w:r>
          </w:p>
        </w:tc>
      </w:tr>
      <w:tr>
        <w:tc>
          <w:tcPr>
            <w:tcW w:type="dxa" w:w="3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Recommended use</w:t>
            </w:r>
          </w:p>
        </w:tc>
        <w:tc>
          <w:tcPr>
            <w:tcW w:type="dxa" w:w="30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Binary governance trigger</w:t>
            </w:r>
          </w:p>
        </w:tc>
        <w:tc>
          <w:tcPr>
            <w:tcW w:type="dxa" w:w="30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Regime intensity calibration</w:t>
            </w:r>
          </w:p>
        </w:tc>
      </w:tr>
    </w:tbl>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3. The Adjusted KVS Formula and the Axiom 5 Modification</w:t>
      </w:r>
    </w:p>
    <w:p>
      <w:pPr>
        <w:pStyle w:val="Heading2"/>
        <w:spacing w:before="240" w:after="120"/>
      </w:pPr>
      <w:r>
        <w:rPr>
          <w:rFonts w:ascii="Times New Roman" w:cs="Times New Roman" w:eastAsia="Times New Roman" w:hAnsi="Times New Roman"/>
          <w:b/>
          <w:bCs/>
          <w:color w:val="1F6B75"/>
          <w:sz w:val="26"/>
          <w:szCs w:val="26"/>
        </w:rPr>
        <w:t xml:space="preserve">3.1 The Core Problem: Axiom 5 in Dynamic Environments</w:t>
      </w:r>
    </w:p>
    <w:p>
      <w:pPr>
        <w:spacing w:before="80" w:after="80" w:line="276"/>
        <w:jc w:val="both"/>
      </w:pPr>
      <w:r>
        <w:rPr>
          <w:rFonts w:ascii="Times New Roman" w:cs="Times New Roman" w:eastAsia="Times New Roman" w:hAnsi="Times New Roman"/>
          <w:sz w:val="24"/>
          <w:szCs w:val="24"/>
        </w:rPr>
        <w:t xml:space="preserve">Paper 1's Axiom 5 (Essentialness with Veto Power) specifies that any improvement candidate with N_j = 0 receives KVS = 0, regardless of its other components. This axiom reflects the principle that a candidate which has been proposed before in exactly this form is not an improvement candidate—it is a reimplementation.</w:t>
      </w:r>
    </w:p>
    <w:p>
      <w:pPr>
        <w:spacing w:before="80" w:after="80" w:line="276"/>
        <w:jc w:val="both"/>
      </w:pPr>
      <w:r>
        <w:rPr>
          <w:rFonts w:ascii="Times New Roman" w:cs="Times New Roman" w:eastAsia="Times New Roman" w:hAnsi="Times New Roman"/>
          <w:sz w:val="24"/>
          <w:szCs w:val="24"/>
        </w:rPr>
        <w:t xml:space="preserve">In a stationary environment, this principle is correct and important. In a regime-shift environment, it is potentially harmful. Consider a previously-rejected candidate whose N was set to 0 (fully explored domain) and whose T was set to 0 (window of relevance passed). After a regime shift, the relevance window may have reopened (T &gt; 0) and the domain may have become urgent again—but the N = 0 designation from the prior regime still vetoes the candidate.</w:t>
      </w:r>
    </w:p>
    <w:p>
      <w:pPr>
        <w:spacing w:before="80" w:after="80" w:line="276"/>
        <w:jc w:val="both"/>
      </w:pPr>
      <w:r>
        <w:rPr>
          <w:rFonts w:ascii="Times New Roman" w:cs="Times New Roman" w:eastAsia="Times New Roman" w:hAnsi="Times New Roman"/>
          <w:sz w:val="24"/>
          <w:szCs w:val="24"/>
        </w:rPr>
        <w:t xml:space="preserve">The Axiom 5 veto was designed to prevent re-adoption of solutions whose circumstances have not changed. But when circumstances have changed—specifically, when the FRM's regime signals indicate a discontinuous environment shift—the N = 0 veto is premature. It is blocking precisely the class of candidates most likely to be appropriate in a new regime: solutions that were appropriate in a past regime, were archived when circumstances changed, and have now become relevant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0E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Axiom 5 Departure — Formal Notice</w:t>
            </w:r>
          </w:p>
          <w:p>
            <w:pPr>
              <w:spacing w:before="40" w:after="40" w:line="260"/>
            </w:pPr>
            <w:r>
              <w:rPr>
                <w:rFonts w:ascii="Times New Roman" w:cs="Times New Roman" w:eastAsia="Times New Roman" w:hAnsi="Times New Roman"/>
                <w:sz w:val="22"/>
                <w:szCs w:val="22"/>
              </w:rPr>
              <w:t xml:space="preserve">The KVS-hat formula introduced in Section 3.2 constitutes a deliberate and explicitly</w:t>
            </w:r>
          </w:p>
          <w:p>
            <w:pPr>
              <w:spacing w:before="40" w:after="40" w:line="260"/>
            </w:pPr>
            <w:r>
              <w:rPr>
                <w:rFonts w:ascii="Times New Roman" w:cs="Times New Roman" w:eastAsia="Times New Roman" w:hAnsi="Times New Roman"/>
                <w:sz w:val="22"/>
                <w:szCs w:val="22"/>
              </w:rPr>
              <w:t xml:space="preserve">acknowledged departure from Paper 1's Axiom 5. The departure is justified by the regime-shift</w:t>
            </w:r>
          </w:p>
          <w:p>
            <w:pPr>
              <w:spacing w:before="40" w:after="40" w:line="260"/>
            </w:pPr>
            <w:r>
              <w:rPr>
                <w:rFonts w:ascii="Times New Roman" w:cs="Times New Roman" w:eastAsia="Times New Roman" w:hAnsi="Times New Roman"/>
                <w:sz w:val="22"/>
                <w:szCs w:val="22"/>
              </w:rPr>
              <w:t xml:space="preserve">condition, bounded by pre-committed weights, and reversible to full Axiom 5 compliance by</w:t>
            </w:r>
          </w:p>
          <w:p>
            <w:pPr>
              <w:spacing w:before="40" w:after="40" w:line="260"/>
            </w:pPr>
            <w:r>
              <w:rPr>
                <w:rFonts w:ascii="Times New Roman" w:cs="Times New Roman" w:eastAsia="Times New Roman" w:hAnsi="Times New Roman"/>
                <w:sz w:val="22"/>
                <w:szCs w:val="22"/>
              </w:rPr>
              <w:t xml:space="preserve">setting w_N = w_I = 0.</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Organizations adopting the FRM must acknowledge this departure in their governance documentation.</w:t>
            </w:r>
          </w:p>
          <w:p>
            <w:pPr>
              <w:spacing w:before="40" w:after="40" w:line="260"/>
            </w:pPr>
            <w:r>
              <w:rPr>
                <w:rFonts w:ascii="Times New Roman" w:cs="Times New Roman" w:eastAsia="Times New Roman" w:hAnsi="Times New Roman"/>
                <w:sz w:val="22"/>
                <w:szCs w:val="22"/>
              </w:rPr>
              <w:t xml:space="preserve">Organizations that wish to maintain full Axiom 5 compliance should not adopt the FRM, or should</w:t>
            </w:r>
          </w:p>
          <w:p>
            <w:pPr>
              <w:spacing w:before="40" w:after="40" w:line="260"/>
            </w:pPr>
            <w:r>
              <w:rPr>
                <w:rFonts w:ascii="Times New Roman" w:cs="Times New Roman" w:eastAsia="Times New Roman" w:hAnsi="Times New Roman"/>
                <w:sz w:val="22"/>
                <w:szCs w:val="22"/>
              </w:rPr>
              <w:t xml:space="preserve">set w_N = w_I = 0 (which reduces KVS-hat to standard KVS).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Axiom 5-prime (Regime-Conditioned Essentialness)</w:t>
            </w:r>
          </w:p>
          <w:p>
            <w:pPr>
              <w:spacing w:before="40" w:after="40" w:line="260"/>
            </w:pPr>
            <w:r>
              <w:rPr>
                <w:rFonts w:ascii="Times New Roman" w:cs="Times New Roman" w:eastAsia="Times New Roman" w:hAnsi="Times New Roman"/>
                <w:sz w:val="22"/>
                <w:szCs w:val="22"/>
              </w:rPr>
              <w:t xml:space="preserve">A zero value on any component collapses KVS-hat to zero UNLESS the regime signal</w:t>
            </w:r>
          </w:p>
          <w:p>
            <w:pPr>
              <w:spacing w:before="40" w:after="40" w:line="260"/>
            </w:pPr>
            <w:r>
              <w:rPr>
                <w:rFonts w:ascii="Times New Roman" w:cs="Times New Roman" w:eastAsia="Times New Roman" w:hAnsi="Times New Roman"/>
                <w:sz w:val="22"/>
                <w:szCs w:val="22"/>
              </w:rPr>
              <w:t xml:space="preserve">S_t = max(RDS_t, CSS_t) is strictly positive.</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When S_t &gt; 0 (any regime signal is active), a zero-novelty candidate receives a</w:t>
            </w:r>
          </w:p>
          <w:p>
            <w:pPr>
              <w:spacing w:before="40" w:after="40" w:line="260"/>
            </w:pPr>
            <w:r>
              <w:rPr>
                <w:rFonts w:ascii="Times New Roman" w:cs="Times New Roman" w:eastAsia="Times New Roman" w:hAnsi="Times New Roman"/>
                <w:sz w:val="22"/>
                <w:szCs w:val="22"/>
              </w:rPr>
              <w:t xml:space="preserve">minimum regime-credit score of w_N x S_t, not zero.</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Formally: KVS-hat_j = max(w_N x S_t, N_j) x max(w_I x S_t, I-prime_j) x C-prime_j x T_j</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where w_N, w_I in [0, 1] are pre-committed regime weights (default: w_N = 0.20, w_I = 0.10).</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When S_t = 0 (no regime signal): KVS-hat_j = N_j x I-prime_j x C-prime_j x T_j = KVS_j.</w:t>
            </w:r>
          </w:p>
          <w:p>
            <w:pPr>
              <w:spacing w:before="40" w:after="40" w:line="260"/>
            </w:pPr>
            <w:r>
              <w:rPr>
                <w:rFonts w:ascii="Times New Roman" w:cs="Times New Roman" w:eastAsia="Times New Roman" w:hAnsi="Times New Roman"/>
                <w:sz w:val="22"/>
                <w:szCs w:val="22"/>
              </w:rPr>
              <w:t xml:space="preserve">Axiom 5 is fully restored.</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Justification: S_t &gt; 0 signals that the environment has shifted discontinuously. Under</w:t>
            </w:r>
          </w:p>
          <w:p>
            <w:pPr>
              <w:spacing w:before="40" w:after="40" w:line="260"/>
            </w:pPr>
            <w:r>
              <w:rPr>
                <w:rFonts w:ascii="Times New Roman" w:cs="Times New Roman" w:eastAsia="Times New Roman" w:hAnsi="Times New Roman"/>
                <w:sz w:val="22"/>
                <w:szCs w:val="22"/>
              </w:rPr>
              <w:t xml:space="preserve">discontinuous shift, the assumption underlying Axiom 5 (circumstances have not changed)</w:t>
            </w:r>
          </w:p>
          <w:p>
            <w:pPr>
              <w:spacing w:before="40" w:after="40" w:line="260"/>
            </w:pPr>
            <w:r>
              <w:rPr>
                <w:rFonts w:ascii="Times New Roman" w:cs="Times New Roman" w:eastAsia="Times New Roman" w:hAnsi="Times New Roman"/>
                <w:sz w:val="22"/>
                <w:szCs w:val="22"/>
              </w:rPr>
              <w:t xml:space="preserve">is violated. The regime credit is proportional to S_t—stronger signals justify larger</w:t>
            </w:r>
          </w:p>
          <w:p>
            <w:pPr>
              <w:spacing w:before="40" w:after="40" w:line="260"/>
            </w:pPr>
            <w:r>
              <w:rPr>
                <w:rFonts w:ascii="Times New Roman" w:cs="Times New Roman" w:eastAsia="Times New Roman" w:hAnsi="Times New Roman"/>
                <w:sz w:val="22"/>
                <w:szCs w:val="22"/>
              </w:rPr>
              <w:t xml:space="preserve">departures from the N=0 veto.</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Bounds on the departure:</w:t>
            </w:r>
          </w:p>
          <w:p>
            <w:pPr>
              <w:spacing w:before="40" w:after="40" w:line="260"/>
            </w:pPr>
            <w:r>
              <w:rPr>
                <w:rFonts w:ascii="Times New Roman" w:cs="Times New Roman" w:eastAsia="Times New Roman" w:hAnsi="Times New Roman"/>
                <w:sz w:val="22"/>
                <w:szCs w:val="22"/>
              </w:rPr>
              <w:t xml:space="preserve">  Maximum regime credit: w_N x max(RDS, CSS) &lt;= w_N x 1 = 0.20 (under default weights)</w:t>
            </w:r>
          </w:p>
          <w:p>
            <w:pPr>
              <w:spacing w:before="40" w:after="40" w:line="260"/>
            </w:pPr>
            <w:r>
              <w:rPr>
                <w:rFonts w:ascii="Times New Roman" w:cs="Times New Roman" w:eastAsia="Times New Roman" w:hAnsi="Times New Roman"/>
                <w:sz w:val="22"/>
                <w:szCs w:val="22"/>
              </w:rPr>
              <w:t xml:space="preserve">  This means a zero-novelty candidate cannot receive more than 0.20 effective N under any</w:t>
            </w:r>
          </w:p>
          <w:p>
            <w:pPr>
              <w:spacing w:before="40" w:after="40" w:line="260"/>
            </w:pPr>
            <w:r>
              <w:rPr>
                <w:rFonts w:ascii="Times New Roman" w:cs="Times New Roman" w:eastAsia="Times New Roman" w:hAnsi="Times New Roman"/>
                <w:sz w:val="22"/>
                <w:szCs w:val="22"/>
              </w:rPr>
              <w:t xml:space="preserve">  regime signal, regardless of signal strength.</w:t>
            </w:r>
          </w:p>
          <w:p>
            <w:pPr>
              <w:spacing w:before="40" w:after="40" w:line="260"/>
            </w:pPr>
            <w:r>
              <w:rPr>
                <w:rFonts w:ascii="Times New Roman" w:cs="Times New Roman" w:eastAsia="Times New Roman" w:hAnsi="Times New Roman"/>
                <w:sz w:val="22"/>
                <w:szCs w:val="22"/>
              </w:rPr>
              <w:t xml:space="preserve">  A standard candidate with N = 0.91 always dominates a zero-novelty candidate (0.91 &gt; 0.20).</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Reversibility: Setting w_N = w_I = 0 exactly recovers standard KVS for all candidates.</w:t>
            </w:r>
          </w:p>
          <w:p>
            <w:pPr>
              <w:spacing w:before="40" w:after="40" w:line="260"/>
            </w:pPr>
            <w:r>
              <w:rPr>
                <w:rFonts w:ascii="Times New Roman" w:cs="Times New Roman" w:eastAsia="Times New Roman" w:hAnsi="Times New Roman"/>
                <w:sz w:val="22"/>
                <w:szCs w:val="22"/>
              </w:rPr>
              <w:t xml:space="preserve">The FRM regime adjustment can be switched off by the principal at any time.</w:t>
            </w:r>
          </w:p>
        </w:tc>
      </w:tr>
    </w:tbl>
    <w:p>
      <w:pPr>
        <w:pStyle w:val="Heading2"/>
        <w:spacing w:before="240" w:after="120"/>
      </w:pPr>
      <w:r>
        <w:rPr>
          <w:rFonts w:ascii="Times New Roman" w:cs="Times New Roman" w:eastAsia="Times New Roman" w:hAnsi="Times New Roman"/>
          <w:b/>
          <w:bCs/>
          <w:color w:val="1F6B75"/>
          <w:sz w:val="26"/>
          <w:szCs w:val="26"/>
        </w:rPr>
        <w:t xml:space="preserve">3.2 The KVS-hat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Definition 3.1 (Adjusted KVS under the Fractal Rhythm Model)</w:t>
            </w:r>
          </w:p>
          <w:p>
            <w:pPr>
              <w:spacing w:before="40" w:after="40" w:line="260"/>
            </w:pPr>
            <w:r>
              <w:rPr>
                <w:rFonts w:ascii="Times New Roman" w:cs="Times New Roman" w:eastAsia="Times New Roman" w:hAnsi="Times New Roman"/>
                <w:sz w:val="22"/>
                <w:szCs w:val="22"/>
              </w:rPr>
              <w:t xml:space="preserve">Let S_t = max(RDS_t, CSS_t) be the regime signal composite at time t.</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KVS-hat_j = max(w_N x S_t, N_j) x max(w_I x S_t, I-prime_j) x C-prime_j x T_j</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Default weights: w_N = 0.20, w_I = 0.10.</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Behavior by regime state:</w:t>
            </w:r>
          </w:p>
          <w:p>
            <w:pPr>
              <w:spacing w:before="40" w:after="40" w:line="260"/>
            </w:pPr>
            <w:r>
              <w:rPr>
                <w:rFonts w:ascii="Times New Roman" w:cs="Times New Roman" w:eastAsia="Times New Roman" w:hAnsi="Times New Roman"/>
                <w:sz w:val="22"/>
                <w:szCs w:val="22"/>
              </w:rPr>
              <w:t xml:space="preserve">  S_t = 0 (no regime signal):  KVS-hat_j = N_j x I-prime_j x C-prime_j x T_j  [= standard KVS]</w:t>
            </w:r>
          </w:p>
          <w:p>
            <w:pPr>
              <w:spacing w:before="40" w:after="40" w:line="260"/>
            </w:pPr>
            <w:r>
              <w:rPr>
                <w:rFonts w:ascii="Times New Roman" w:cs="Times New Roman" w:eastAsia="Times New Roman" w:hAnsi="Times New Roman"/>
                <w:sz w:val="22"/>
                <w:szCs w:val="22"/>
              </w:rPr>
              <w:t xml:space="preserve">  S_t &gt; 0 (regime signal active): Candidates with N_j = 0 receive effective N = w_N x S_t &gt; 0.</w:t>
            </w:r>
          </w:p>
          <w:p>
            <w:pPr>
              <w:spacing w:before="40" w:after="40" w:line="260"/>
            </w:pPr>
            <w:r>
              <w:rPr>
                <w:rFonts w:ascii="Times New Roman" w:cs="Times New Roman" w:eastAsia="Times New Roman" w:hAnsi="Times New Roman"/>
                <w:sz w:val="22"/>
                <w:szCs w:val="22"/>
              </w:rPr>
              <w:t xml:space="preserve">                                   Candidates with N_j &gt; w_N x S_t are unaffected.</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Numerical example (S_t = 0.80, w_N = 0.20, w_I = 0.10):</w:t>
            </w:r>
          </w:p>
          <w:p>
            <w:pPr>
              <w:spacing w:before="40" w:after="40" w:line="260"/>
            </w:pPr>
            <w:r>
              <w:rPr>
                <w:rFonts w:ascii="Times New Roman" w:cs="Times New Roman" w:eastAsia="Times New Roman" w:hAnsi="Times New Roman"/>
                <w:sz w:val="22"/>
                <w:szCs w:val="22"/>
              </w:rPr>
              <w:t xml:space="preserve">  Zero-novelty candidate (N=0): effective N = 0.20 x 0.80 = 0.16</w:t>
            </w:r>
          </w:p>
          <w:p>
            <w:pPr>
              <w:spacing w:before="40" w:after="40" w:line="260"/>
            </w:pPr>
            <w:r>
              <w:rPr>
                <w:rFonts w:ascii="Times New Roman" w:cs="Times New Roman" w:eastAsia="Times New Roman" w:hAnsi="Times New Roman"/>
                <w:sz w:val="22"/>
                <w:szCs w:val="22"/>
              </w:rPr>
              <w:t xml:space="preserve">  Standard candidate (N=0.91):  effective N = max(0.16, 0.91) = 0.91 [unaffected]</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The regime adjustment exclusively benefits the zero-novelty margin; it does not affect</w:t>
            </w:r>
          </w:p>
          <w:p>
            <w:pPr>
              <w:spacing w:before="40" w:after="40" w:line="260"/>
            </w:pPr>
            <w:r>
              <w:rPr>
                <w:rFonts w:ascii="Times New Roman" w:cs="Times New Roman" w:eastAsia="Times New Roman" w:hAnsi="Times New Roman"/>
                <w:sz w:val="22"/>
                <w:szCs w:val="22"/>
              </w:rPr>
              <w:t xml:space="preserve">candidates with N above the w_N x S_t floor.</w:t>
            </w:r>
          </w:p>
        </w:tc>
      </w:tr>
    </w:tbl>
    <w:p>
      <w:pPr>
        <w:pStyle w:val="Heading2"/>
        <w:spacing w:before="240" w:after="120"/>
      </w:pPr>
      <w:r>
        <w:rPr>
          <w:rFonts w:ascii="Times New Roman" w:cs="Times New Roman" w:eastAsia="Times New Roman" w:hAnsi="Times New Roman"/>
          <w:b/>
          <w:bCs/>
          <w:color w:val="1F6B75"/>
          <w:sz w:val="26"/>
          <w:szCs w:val="26"/>
        </w:rPr>
        <w:t xml:space="preserve">3.3 Boundedness of KVS-hat</w:t>
      </w:r>
    </w:p>
    <w:p>
      <w:pPr>
        <w:spacing w:before="80" w:after="80" w:line="276"/>
        <w:jc w:val="both"/>
      </w:pPr>
      <w:r>
        <w:rPr>
          <w:rFonts w:ascii="Times New Roman" w:cs="Times New Roman" w:eastAsia="Times New Roman" w:hAnsi="Times New Roman"/>
          <w:sz w:val="24"/>
          <w:szCs w:val="24"/>
        </w:rPr>
        <w:t xml:space="preserve">KVS-hat_j inherits the boundedness property of KVS (Paper 1, Property 4.1). Since max(w_N x S_t, N_j) in [0,1] and max(w_I x S_t, I-prime_j) in [0,1] and C-prime_j in [0,1] and T_j in [0,1], the product KVS-hat_j is in [0,1]. Monotonicity (Property 4.2) is preserved: increasing any component weakly increases KVS-hat. The Axiom 5 departure is the only structural deviation from the Paper 1 axiom set.</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4. The Closed-Loop Architecture</w:t>
      </w:r>
    </w:p>
    <w:p>
      <w:pPr>
        <w:pStyle w:val="Heading2"/>
        <w:spacing w:before="240" w:after="120"/>
      </w:pPr>
      <w:r>
        <w:rPr>
          <w:rFonts w:ascii="Times New Roman" w:cs="Times New Roman" w:eastAsia="Times New Roman" w:hAnsi="Times New Roman"/>
          <w:b/>
          <w:bCs/>
          <w:color w:val="1F6B75"/>
          <w:sz w:val="26"/>
          <w:szCs w:val="26"/>
        </w:rPr>
        <w:t xml:space="preserve">4.1 System Diagram</w:t>
      </w:r>
    </w:p>
    <w:p>
      <w:pPr>
        <w:spacing w:before="80" w:after="80" w:line="276"/>
        <w:jc w:val="both"/>
      </w:pPr>
      <w:r>
        <w:rPr>
          <w:rFonts w:ascii="Times New Roman" w:cs="Times New Roman" w:eastAsia="Times New Roman" w:hAnsi="Times New Roman"/>
          <w:sz w:val="24"/>
          <w:szCs w:val="24"/>
        </w:rPr>
        <w:t xml:space="preserve">The Fractal Rhythm Model operates as a closed-loop feedback system with six components:</w:t>
      </w:r>
    </w:p>
    <w:p>
      <w:pPr>
        <w:spacing w:before="80" w:after="80" w:line="276"/>
        <w:jc w:val="both"/>
      </w:pPr>
      <w:r>
        <w:rPr>
          <w:rFonts w:ascii="Times New Roman" w:cs="Times New Roman" w:eastAsia="Times New Roman" w:hAnsi="Times New Roman"/>
          <w:sz w:val="24"/>
          <w:szCs w:val="24"/>
        </w:rPr>
        <w:t xml:space="preserve">(1) Substrate outcome monitoring: the metric function M (Definition 3.1, Paper 1) continuously computes realized outcomes against projected outcomes for adopted improvements. (2) Regime signal computation: RDS and CSS are computed from the outcome series and the improvement complexity series respectively. (3) KVS adjustment: the composite signal S_t gates whether KVS or KVS-hat is used for candidate scoring. (4) Candidate evaluation: candidates are scored under the appropriate formula and compared to threshold kappa. (5) Principal approval: candidates clearing the threshold are surfaced; the principal approves or overrides. (6) Outcome logging: realized outcomes are entered into the Master Decision Log, feeding back to the Bayesian calibration model (Paper 2, Section 6) and to the regime signal computation.</w:t>
      </w:r>
    </w:p>
    <w:p>
      <w:pPr>
        <w:pStyle w:val="Heading2"/>
        <w:spacing w:before="240" w:after="120"/>
      </w:pPr>
      <w:r>
        <w:rPr>
          <w:rFonts w:ascii="Times New Roman" w:cs="Times New Roman" w:eastAsia="Times New Roman" w:hAnsi="Times New Roman"/>
          <w:b/>
          <w:bCs/>
          <w:color w:val="1F6B75"/>
          <w:sz w:val="26"/>
          <w:szCs w:val="26"/>
        </w:rPr>
        <w:t xml:space="preserve">4.2 The Rotation Frequency Adaptation</w:t>
      </w:r>
    </w:p>
    <w:p>
      <w:pPr>
        <w:spacing w:before="80" w:after="80" w:line="276"/>
        <w:jc w:val="both"/>
      </w:pPr>
      <w:r>
        <w:rPr>
          <w:rFonts w:ascii="Times New Roman" w:cs="Times New Roman" w:eastAsia="Times New Roman" w:hAnsi="Times New Roman"/>
          <w:sz w:val="24"/>
          <w:szCs w:val="24"/>
        </w:rPr>
        <w:t xml:space="preserve">The domain rotation schedule (Paper 1, Section 3.3) is adapted under the FRM. When S_t exceeds 0.70, the rotation schedule shifts from a pre-committed quarterly cadence to an on-demand scanning mode: the administrator may call an unscheduled bisociation scan within a two-week window of the regime signal. This prevents the pre-committed schedule from creating a six-month delay between regime detection and the first regime-adapted bisociation session.</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5. The Asymptotic Recursion: Regime Extinguishing</w:t>
      </w:r>
    </w:p>
    <w:p>
      <w:pPr>
        <w:pStyle w:val="Heading2"/>
        <w:spacing w:before="240" w:after="120"/>
      </w:pPr>
      <w:r>
        <w:rPr>
          <w:rFonts w:ascii="Times New Roman" w:cs="Times New Roman" w:eastAsia="Times New Roman" w:hAnsi="Times New Roman"/>
          <w:b/>
          <w:bCs/>
          <w:color w:val="1F6B75"/>
          <w:sz w:val="26"/>
          <w:szCs w:val="26"/>
        </w:rPr>
        <w:t xml:space="preserve">5.1 The Extinguishing Mechanism</w:t>
      </w:r>
    </w:p>
    <w:p>
      <w:pPr>
        <w:spacing w:before="80" w:after="80" w:line="276"/>
        <w:jc w:val="both"/>
      </w:pPr>
      <w:r>
        <w:rPr>
          <w:rFonts w:ascii="Times New Roman" w:cs="Times New Roman" w:eastAsia="Times New Roman" w:hAnsi="Times New Roman"/>
          <w:sz w:val="24"/>
          <w:szCs w:val="24"/>
        </w:rPr>
        <w:t xml:space="preserve">Regime signals are not permanent. Once the organization has successfully adapted to the new regime—updating impact calibrations, revising the Timeliness horizon H_max, and repopulating the improvement candidate pipeline with regime-appropriate proposals—the regime signal should decay. The Fractal Rhythm Model governs this extinguishing through an explicit recursion.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Definition 5.1 (Regime Extinguishing Recursion)</w:t>
            </w:r>
          </w:p>
          <w:p>
            <w:pPr>
              <w:spacing w:before="40" w:after="40" w:line="260"/>
            </w:pPr>
            <w:r>
              <w:rPr>
                <w:rFonts w:ascii="Times New Roman" w:cs="Times New Roman" w:eastAsia="Times New Roman" w:hAnsi="Times New Roman"/>
                <w:sz w:val="22"/>
                <w:szCs w:val="22"/>
              </w:rPr>
              <w:t xml:space="preserve">Let r_t denote the residual regime intensity at time t (r_0 = max(RDS, CSS) at detection).</w:t>
            </w:r>
          </w:p>
          <w:p>
            <w:pPr>
              <w:spacing w:before="40" w:after="40" w:line="260"/>
            </w:pPr>
            <w:r>
              <w:rPr>
                <w:rFonts w:ascii="Times New Roman" w:cs="Times New Roman" w:eastAsia="Times New Roman" w:hAnsi="Times New Roman"/>
                <w:sz w:val="22"/>
                <w:szCs w:val="22"/>
              </w:rPr>
              <w:t xml:space="preserve">Let a_t in {0,1} denote whether the organization adopted an improvement candidate in</w:t>
            </w:r>
          </w:p>
          <w:p>
            <w:pPr>
              <w:spacing w:before="40" w:after="40" w:line="260"/>
            </w:pPr>
            <w:r>
              <w:rPr>
                <w:rFonts w:ascii="Times New Roman" w:cs="Times New Roman" w:eastAsia="Times New Roman" w:hAnsi="Times New Roman"/>
                <w:sz w:val="22"/>
                <w:szCs w:val="22"/>
              </w:rPr>
              <w:t xml:space="preserve">cycle t (a_t = 1 if adopted, 0 if not).</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Extinguishing recursion:  r_{t+1} = max(0, r_t - delta x a_t x r_t) = r_t x (1 - delta x a_t)</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where delta in (0,1] is the extinguishing rate: the fraction of residual regime intensity</w:t>
            </w:r>
          </w:p>
          <w:p>
            <w:pPr>
              <w:spacing w:before="40" w:after="40" w:line="260"/>
            </w:pPr>
            <w:r>
              <w:rPr>
                <w:rFonts w:ascii="Times New Roman" w:cs="Times New Roman" w:eastAsia="Times New Roman" w:hAnsi="Times New Roman"/>
                <w:sz w:val="22"/>
                <w:szCs w:val="22"/>
              </w:rPr>
              <w:t xml:space="preserve">that each adopted improvement removes.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Interpretation: Each successful improvement adoption reduces the residual regime intensity</w:t>
            </w:r>
          </w:p>
          <w:p>
            <w:pPr>
              <w:spacing w:before="40" w:after="40" w:line="260"/>
            </w:pPr>
            <w:r>
              <w:rPr>
                <w:rFonts w:ascii="Times New Roman" w:cs="Times New Roman" w:eastAsia="Times New Roman" w:hAnsi="Times New Roman"/>
                <w:sz w:val="22"/>
                <w:szCs w:val="22"/>
              </w:rPr>
              <w:t xml:space="preserve">by a fraction delta. If no improvement is adopted in cycle t (a_t = 0), regime intensity</w:t>
            </w:r>
          </w:p>
          <w:p>
            <w:pPr>
              <w:spacing w:before="40" w:after="40" w:line="260"/>
            </w:pPr>
            <w:r>
              <w:rPr>
                <w:rFonts w:ascii="Times New Roman" w:cs="Times New Roman" w:eastAsia="Times New Roman" w:hAnsi="Times New Roman"/>
                <w:sz w:val="22"/>
                <w:szCs w:val="22"/>
              </w:rPr>
              <w:t xml:space="preserve">persists. Regime intensity can only be extinguished through successful adaptation—passive</w:t>
            </w:r>
          </w:p>
          <w:p>
            <w:pPr>
              <w:spacing w:before="40" w:after="40" w:line="260"/>
            </w:pPr>
            <w:r>
              <w:rPr>
                <w:rFonts w:ascii="Times New Roman" w:cs="Times New Roman" w:eastAsia="Times New Roman" w:hAnsi="Times New Roman"/>
                <w:sz w:val="22"/>
                <w:szCs w:val="22"/>
              </w:rPr>
              <w:t xml:space="preserve">waiting does not resolve a regime shift.</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Modeling limitation: The recursion uses a_t ∈ {0,1}—whether any improvement was adopted—</w:t>
            </w:r>
          </w:p>
          <w:p>
            <w:pPr>
              <w:spacing w:before="40" w:after="40" w:line="260"/>
            </w:pPr>
            <w:r>
              <w:rPr>
                <w:rFonts w:ascii="Times New Roman" w:cs="Times New Roman" w:eastAsia="Times New Roman" w:hAnsi="Times New Roman"/>
                <w:sz w:val="22"/>
                <w:szCs w:val="22"/>
              </w:rPr>
              <w:t xml:space="preserve">without distinguishing adoption quality. A trivial adoption (KVS just above κ) and a</w:t>
            </w:r>
          </w:p>
          <w:p>
            <w:pPr>
              <w:spacing w:before="40" w:after="40" w:line="260"/>
            </w:pPr>
            <w:r>
              <w:rPr>
                <w:rFonts w:ascii="Times New Roman" w:cs="Times New Roman" w:eastAsia="Times New Roman" w:hAnsi="Times New Roman"/>
                <w:sz w:val="22"/>
                <w:szCs w:val="22"/>
              </w:rPr>
              <w:t xml:space="preserve">high-impact adoption both set a_t = 1 and receive the same extinguishing credit delta.</w:t>
            </w:r>
          </w:p>
          <w:p>
            <w:pPr>
              <w:spacing w:before="40" w:after="40" w:line="260"/>
            </w:pPr>
            <w:r>
              <w:rPr>
                <w:rFonts w:ascii="Times New Roman" w:cs="Times New Roman" w:eastAsia="Times New Roman" w:hAnsi="Times New Roman"/>
                <w:sz w:val="22"/>
                <w:szCs w:val="22"/>
              </w:rPr>
              <w:t xml:space="preserve">This is a deliberate simplification: the recursion models the act of committing to a</w:t>
            </w:r>
          </w:p>
          <w:p>
            <w:pPr>
              <w:spacing w:before="40" w:after="40" w:line="260"/>
            </w:pPr>
            <w:r>
              <w:rPr>
                <w:rFonts w:ascii="Times New Roman" w:cs="Times New Roman" w:eastAsia="Times New Roman" w:hAnsi="Times New Roman"/>
                <w:sz w:val="22"/>
                <w:szCs w:val="22"/>
              </w:rPr>
              <w:t xml:space="preserve">change, not its impact (which is unobservable at adoption time). Organizations may use a</w:t>
            </w:r>
          </w:p>
          <w:p>
            <w:pPr>
              <w:spacing w:before="40" w:after="40" w:line="260"/>
            </w:pPr>
            <w:r>
              <w:rPr>
                <w:rFonts w:ascii="Times New Roman" w:cs="Times New Roman" w:eastAsia="Times New Roman" w:hAnsi="Times New Roman"/>
                <w:sz w:val="22"/>
                <w:szCs w:val="22"/>
              </w:rPr>
              <w:t xml:space="preserve">quality-weighted variant: a_t = KVS_t / KVS_max, which scales extinguishing credit by</w:t>
            </w:r>
          </w:p>
          <w:p>
            <w:pPr>
              <w:spacing w:before="40" w:after="40" w:line="260"/>
            </w:pPr>
            <w:r>
              <w:rPr>
                <w:rFonts w:ascii="Times New Roman" w:cs="Times New Roman" w:eastAsia="Times New Roman" w:hAnsi="Times New Roman"/>
                <w:sz w:val="22"/>
                <w:szCs w:val="22"/>
              </w:rPr>
              <w:t xml:space="preserve">relative adoption quality. The finite extinguishing theorem holds under this variant with</w:t>
            </w:r>
          </w:p>
          <w:p>
            <w:pPr>
              <w:spacing w:before="40" w:after="40" w:line="260"/>
            </w:pPr>
            <w:r>
              <w:rPr>
                <w:rFonts w:ascii="Times New Roman" w:cs="Times New Roman" w:eastAsia="Times New Roman" w:hAnsi="Times New Roman"/>
                <w:sz w:val="22"/>
                <w:szCs w:val="22"/>
              </w:rPr>
              <w:t xml:space="preserve">delta replaced by delta × (KVS_t / KVS_max) in the effective extinguishing 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Theorem 5.1 (Finite Extinguishing Time)</w:t>
            </w:r>
          </w:p>
          <w:p>
            <w:pPr>
              <w:spacing w:before="40" w:after="40" w:line="260"/>
            </w:pPr>
            <w:r>
              <w:rPr>
                <w:rFonts w:ascii="Times New Roman" w:cs="Times New Roman" w:eastAsia="Times New Roman" w:hAnsi="Times New Roman"/>
                <w:sz w:val="22"/>
                <w:szCs w:val="22"/>
              </w:rPr>
              <w:t xml:space="preserve">For any initial regime intensity r_0 &gt; 0 and extinguishing rate delta &gt; 0, the residual</w:t>
            </w:r>
          </w:p>
          <w:p>
            <w:pPr>
              <w:spacing w:before="40" w:after="40" w:line="260"/>
            </w:pPr>
            <w:r>
              <w:rPr>
                <w:rFonts w:ascii="Times New Roman" w:cs="Times New Roman" w:eastAsia="Times New Roman" w:hAnsi="Times New Roman"/>
                <w:sz w:val="22"/>
                <w:szCs w:val="22"/>
              </w:rPr>
              <w:t xml:space="preserve">regime intensity r_t reaches zero (or below the activation threshold epsilon &gt; 0) in</w:t>
            </w:r>
          </w:p>
          <w:p>
            <w:pPr>
              <w:spacing w:before="40" w:after="40" w:line="260"/>
            </w:pPr>
            <w:r>
              <w:rPr>
                <w:rFonts w:ascii="Times New Roman" w:cs="Times New Roman" w:eastAsia="Times New Roman" w:hAnsi="Times New Roman"/>
                <w:sz w:val="22"/>
                <w:szCs w:val="22"/>
              </w:rPr>
              <w:t xml:space="preserve">finite time under continuous adoption (a_t = 1 for all t).</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Proof:</w:t>
            </w:r>
          </w:p>
          <w:p>
            <w:pPr>
              <w:spacing w:before="40" w:after="40" w:line="260"/>
            </w:pPr>
            <w:r>
              <w:rPr>
                <w:rFonts w:ascii="Times New Roman" w:cs="Times New Roman" w:eastAsia="Times New Roman" w:hAnsi="Times New Roman"/>
                <w:sz w:val="22"/>
                <w:szCs w:val="22"/>
              </w:rPr>
              <w:t xml:space="preserve">Under a_t = 1 for all t, the recursion gives r_t = r_0 x (1 - delta)^t.</w:t>
            </w:r>
          </w:p>
          <w:p>
            <w:pPr>
              <w:spacing w:before="40" w:after="40" w:line="260"/>
            </w:pPr>
            <w:r>
              <w:rPr>
                <w:rFonts w:ascii="Times New Roman" w:cs="Times New Roman" w:eastAsia="Times New Roman" w:hAnsi="Times New Roman"/>
                <w:sz w:val="22"/>
                <w:szCs w:val="22"/>
              </w:rPr>
              <w:t xml:space="preserve">This is a geometric sequence converging to 0 as t -&gt; infinity for any delta in (0,1).</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For epsilon = 0.10 (deactivation threshold), solving r_0 x (1 - delta)^t* = epsilon:</w:t>
            </w:r>
          </w:p>
          <w:p>
            <w:pPr>
              <w:spacing w:before="40" w:after="40" w:line="260"/>
            </w:pPr>
            <w:r>
              <w:rPr>
                <w:rFonts w:ascii="Times New Roman" w:cs="Times New Roman" w:eastAsia="Times New Roman" w:hAnsi="Times New Roman"/>
                <w:sz w:val="22"/>
                <w:szCs w:val="22"/>
              </w:rPr>
              <w:t xml:space="preserve">  t* = log(epsilon / r_0) / log(1 - delta)</w:t>
            </w:r>
          </w:p>
          <w:p>
            <w:pPr>
              <w:spacing w:before="40" w:after="40" w:line="260"/>
            </w:pPr>
            <w:r>
              <w:rPr>
                <w:rFonts w:ascii="Times New Roman" w:cs="Times New Roman" w:eastAsia="Times New Roman" w:hAnsi="Times New Roman"/>
                <w:sz w:val="22"/>
                <w:szCs w:val="22"/>
              </w:rPr>
              <w:t xml:space="preserve">  t* = log(0.10 / 1.0) / log(1 - delta)  [with r_0 = 1]</w:t>
            </w:r>
          </w:p>
          <w:p>
            <w:pPr>
              <w:spacing w:before="40" w:after="40" w:line="260"/>
            </w:pPr>
            <w:r>
              <w:rPr>
                <w:rFonts w:ascii="Times New Roman" w:cs="Times New Roman" w:eastAsia="Times New Roman" w:hAnsi="Times New Roman"/>
                <w:sz w:val="22"/>
                <w:szCs w:val="22"/>
              </w:rPr>
              <w:t xml:space="preserve">  t* = log(0.10) / log(1 - delta)</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Operational guidance for choosing delta:</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  delta = 0.50: t* = log(0.10)/log(0.50) = 3.32 cycles (~3-4 quarters)</w:t>
            </w:r>
          </w:p>
          <w:p>
            <w:pPr>
              <w:spacing w:before="40" w:after="40" w:line="260"/>
            </w:pPr>
            <w:r>
              <w:rPr>
                <w:rFonts w:ascii="Times New Roman" w:cs="Times New Roman" w:eastAsia="Times New Roman" w:hAnsi="Times New Roman"/>
                <w:sz w:val="22"/>
                <w:szCs w:val="22"/>
              </w:rPr>
              <w:t xml:space="preserve">  delta = 0.30: t* = log(0.10)/log(0.70) = 6.45 cycles (~6-7 quarters)</w:t>
            </w:r>
          </w:p>
          <w:p>
            <w:pPr>
              <w:spacing w:before="40" w:after="40" w:line="260"/>
            </w:pPr>
            <w:r>
              <w:rPr>
                <w:rFonts w:ascii="Times New Roman" w:cs="Times New Roman" w:eastAsia="Times New Roman" w:hAnsi="Times New Roman"/>
                <w:sz w:val="22"/>
                <w:szCs w:val="22"/>
              </w:rPr>
              <w:t xml:space="preserve">  delta = 0.20: t* = log(0.10)/log(0.80) = 10.3 cycles (~10 quarters / ~2.5 years)</w:t>
            </w:r>
          </w:p>
          <w:p>
            <w:pPr>
              <w:spacing w:before="40" w:after="40" w:line="260"/>
            </w:pPr>
            <w:r>
              <w:rPr>
                <w:rFonts w:ascii="Times New Roman" w:cs="Times New Roman" w:eastAsia="Times New Roman" w:hAnsi="Times New Roman"/>
                <w:sz w:val="22"/>
                <w:szCs w:val="22"/>
              </w:rPr>
              <w:t xml:space="preserve">  delta = 0.10: t* = log(0.10)/log(0.90) = 21.9 cycles (~5 years)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The minimum delta required for extinguishing within a planning horizon of H_plan cycles is:</w:t>
            </w:r>
          </w:p>
          <w:p>
            <w:pPr>
              <w:spacing w:before="40" w:after="40" w:line="260"/>
            </w:pPr>
            <w:r>
              <w:rPr>
                <w:rFonts w:ascii="Times New Roman" w:cs="Times New Roman" w:eastAsia="Times New Roman" w:hAnsi="Times New Roman"/>
                <w:sz w:val="22"/>
                <w:szCs w:val="22"/>
              </w:rPr>
              <w:t xml:space="preserve">  delta_min = 1 - (epsilon/r_0)^(1/H_plan)</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Example: H_plan = 8 quarters (2 years), epsilon = 0.10, r_0 = 1.0:</w:t>
            </w:r>
          </w:p>
          <w:p>
            <w:pPr>
              <w:spacing w:before="40" w:after="40" w:line="260"/>
            </w:pPr>
            <w:r>
              <w:rPr>
                <w:rFonts w:ascii="Times New Roman" w:cs="Times New Roman" w:eastAsia="Times New Roman" w:hAnsi="Times New Roman"/>
                <w:sz w:val="22"/>
                <w:szCs w:val="22"/>
              </w:rPr>
              <w:t xml:space="preserve">  delta_min = 1 - (0.10)^(1/8) = 1 - 0.10^0.125 = 1 - 0.750 = 0.250</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Therefore delta &gt;= 0.25 guarantees extinguishing within a 2-year planning horizon.</w:t>
            </w:r>
          </w:p>
          <w:p>
            <w:pPr>
              <w:spacing w:before="40" w:after="40" w:line="260"/>
            </w:pPr>
            <w:r>
              <w:rPr>
                <w:rFonts w:ascii="Times New Roman" w:cs="Times New Roman" w:eastAsia="Times New Roman" w:hAnsi="Times New Roman"/>
                <w:sz w:val="22"/>
                <w:szCs w:val="22"/>
              </w:rPr>
              <w:t xml:space="preserve">Prior versions of this paper stated 'delta large enough relative to adoption rate' without</w:t>
            </w:r>
          </w:p>
          <w:p>
            <w:pPr>
              <w:spacing w:before="40" w:after="40" w:line="260"/>
            </w:pPr>
            <w:r>
              <w:rPr>
                <w:rFonts w:ascii="Times New Roman" w:cs="Times New Roman" w:eastAsia="Times New Roman" w:hAnsi="Times New Roman"/>
                <w:sz w:val="22"/>
                <w:szCs w:val="22"/>
              </w:rPr>
              <w:t xml:space="preserve">quantification. This theorem provides the exact formula for delta_min given any H_plan.  □</w:t>
            </w:r>
          </w:p>
        </w:tc>
      </w:tr>
    </w:tbl>
    <w:p>
      <w:pPr>
        <w:pStyle w:val="Heading2"/>
        <w:spacing w:before="240" w:after="120"/>
      </w:pPr>
      <w:r>
        <w:rPr>
          <w:rFonts w:ascii="Times New Roman" w:cs="Times New Roman" w:eastAsia="Times New Roman" w:hAnsi="Times New Roman"/>
          <w:b/>
          <w:bCs/>
          <w:color w:val="1F6B75"/>
          <w:sz w:val="26"/>
          <w:szCs w:val="26"/>
        </w:rPr>
        <w:t xml:space="preserve">5.2 Compound Extinguishing (Non-Unity Adoption Rate)</w:t>
      </w:r>
    </w:p>
    <w:p>
      <w:pPr>
        <w:spacing w:before="80" w:after="80" w:line="276"/>
        <w:jc w:val="both"/>
      </w:pPr>
      <w:r>
        <w:rPr>
          <w:rFonts w:ascii="Times New Roman" w:cs="Times New Roman" w:eastAsia="Times New Roman" w:hAnsi="Times New Roman"/>
          <w:sz w:val="24"/>
          <w:szCs w:val="24"/>
        </w:rPr>
        <w:t xml:space="preserve">In practice, adoption rate a_t varies across cycles. If the adoption rate is rho per cycle (0 &lt; rho &lt;= 1), the expected extinguishing time is:</w:t>
      </w:r>
    </w:p>
    <w:p>
      <w:pPr>
        <w:spacing w:before="80" w:after="80" w:line="276"/>
        <w:jc w:val="both"/>
      </w:pPr>
      <w:r>
        <w:rPr>
          <w:rFonts w:ascii="Times New Roman" w:cs="Times New Roman" w:eastAsia="Times New Roman" w:hAnsi="Times New Roman"/>
          <w:sz w:val="24"/>
          <w:szCs w:val="24"/>
        </w:rPr>
        <w:t xml:space="preserve">  E[t*] = log(epsilon/r_0) / (rho x log(1 - delta))</w:t>
      </w:r>
    </w:p>
    <w:p>
      <w:pPr>
        <w:spacing w:before="80" w:after="80" w:line="276"/>
        <w:jc w:val="both"/>
      </w:pPr>
      <w:r>
        <w:rPr>
          <w:rFonts w:ascii="Times New Roman" w:cs="Times New Roman" w:eastAsia="Times New Roman" w:hAnsi="Times New Roman"/>
          <w:sz w:val="24"/>
          <w:szCs w:val="24"/>
        </w:rPr>
        <w:t xml:space="preserve">For rho = 0.5 (an improvement adopted every other cycle), the extinguishing time doubles. Organizations should set delta conservatively (higher value) if they expect lower adoption rates. A value of delta = 0.30 under rho = 0.5 gives an expected extinguishing time of 12.9 cycles (~3 years)—within a standard planning horizon for most substrates.</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6. Boundedness Under Regime Adjustment</w:t>
      </w:r>
    </w:p>
    <w:p>
      <w:pPr>
        <w:spacing w:before="80" w:after="80" w:line="276"/>
        <w:jc w:val="both"/>
      </w:pPr>
      <w:r>
        <w:rPr>
          <w:rFonts w:ascii="Times New Roman" w:cs="Times New Roman" w:eastAsia="Times New Roman" w:hAnsi="Times New Roman"/>
          <w:sz w:val="24"/>
          <w:szCs w:val="24"/>
        </w:rPr>
        <w:t xml:space="preserve">The regime adjustment introduced by the FRM modifies the KVS computation but does not introduce unbounded scores. We establish this formally as an extension of Paper 1's Property 4.1 (Boundedness) to the KVS-hat formula. Note: the term 'BIBO stability' from control theory refers to frequency-domain properties of transfer functions and is not technically applicable to this discrete governance scoring system. The property below is simply the bounded-output guarantee under bounded inputs, stated precisely without importing the full control-theoretic apparatus.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Property 6.1 (KVS-hat Boundedness and Restoration)</w:t>
            </w:r>
          </w:p>
          <w:p>
            <w:pPr>
              <w:spacing w:before="40" w:after="40" w:line="260"/>
            </w:pPr>
            <w:r>
              <w:rPr>
                <w:rFonts w:ascii="Times New Roman" w:cs="Times New Roman" w:eastAsia="Times New Roman" w:hAnsi="Times New Roman"/>
                <w:sz w:val="22"/>
                <w:szCs w:val="22"/>
              </w:rPr>
              <w:t xml:space="preserve">For any bounded sequence of regime signals {S_t} with sup_t S_t &lt;= 1 and any</w:t>
            </w:r>
          </w:p>
          <w:p>
            <w:pPr>
              <w:spacing w:before="40" w:after="40" w:line="260"/>
            </w:pPr>
            <w:r>
              <w:rPr>
                <w:rFonts w:ascii="Times New Roman" w:cs="Times New Roman" w:eastAsia="Times New Roman" w:hAnsi="Times New Roman"/>
                <w:sz w:val="22"/>
                <w:szCs w:val="22"/>
              </w:rPr>
              <w:t xml:space="preserve">improvement candidate j with components in [0,1]:</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(i) Boundedness: KVS-hat_j,t ∈ [0,1] for all j, t.</w:t>
            </w:r>
          </w:p>
          <w:p>
            <w:pPr>
              <w:spacing w:before="40" w:after="40" w:line="260"/>
            </w:pPr>
            <w:r>
              <w:rPr>
                <w:rFonts w:ascii="Times New Roman" w:cs="Times New Roman" w:eastAsia="Times New Roman" w:hAnsi="Times New Roman"/>
                <w:sz w:val="22"/>
                <w:szCs w:val="22"/>
              </w:rPr>
              <w:t xml:space="preserve">(ii) Monotone restoration: As S_t → 0, KVS-hat_j,t → KVS_j = N_j × I-prime_j × C-prime_j × T_j.</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Proof of (i): From Definition 3.1, KVS-hat_j = max(w_N x S_t, N_j) x max(w_I x S_t, I-prime_j)</w:t>
            </w:r>
          </w:p>
          <w:p>
            <w:pPr>
              <w:spacing w:before="40" w:after="40" w:line="260"/>
            </w:pPr>
            <w:r>
              <w:rPr>
                <w:rFonts w:ascii="Times New Roman" w:cs="Times New Roman" w:eastAsia="Times New Roman" w:hAnsi="Times New Roman"/>
                <w:sz w:val="22"/>
                <w:szCs w:val="22"/>
              </w:rPr>
              <w:t xml:space="preserve">x C-prime_j x T_j. Each factor is in [0,1] by construction (max of two [0,1] values is in [0,1];</w:t>
            </w:r>
          </w:p>
          <w:p>
            <w:pPr>
              <w:spacing w:before="40" w:after="40" w:line="260"/>
            </w:pPr>
            <w:r>
              <w:rPr>
                <w:rFonts w:ascii="Times New Roman" w:cs="Times New Roman" w:eastAsia="Times New Roman" w:hAnsi="Times New Roman"/>
                <w:sz w:val="22"/>
                <w:szCs w:val="22"/>
              </w:rPr>
              <w:t xml:space="preserve">C-prime and T are in [0,1] by their definitions). The product of four [0,1]-bounded terms</w:t>
            </w:r>
          </w:p>
          <w:p>
            <w:pPr>
              <w:spacing w:before="40" w:after="40" w:line="260"/>
            </w:pPr>
            <w:r>
              <w:rPr>
                <w:rFonts w:ascii="Times New Roman" w:cs="Times New Roman" w:eastAsia="Times New Roman" w:hAnsi="Times New Roman"/>
                <w:sz w:val="22"/>
                <w:szCs w:val="22"/>
              </w:rPr>
              <w:t xml:space="preserve">is in [0,1]. Therefore KVS-hat_j,t ∈ [0,1].  □</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Proof of (ii): max(w_N x S_t, N_j) → max(0, N_j) = N_j as S_t → 0.</w:t>
            </w:r>
          </w:p>
          <w:p>
            <w:pPr>
              <w:spacing w:before="40" w:after="40" w:line="260"/>
            </w:pPr>
            <w:r>
              <w:rPr>
                <w:rFonts w:ascii="Times New Roman" w:cs="Times New Roman" w:eastAsia="Times New Roman" w:hAnsi="Times New Roman"/>
                <w:sz w:val="22"/>
                <w:szCs w:val="22"/>
              </w:rPr>
              <w:t xml:space="preserve">Similarly max(w_I x S_t, I-prime_j) → I-prime_j. Therefore KVS-hat_j,t → KVS_j.  □</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Significance: The regime adjustment cannot produce scores outside [0,1], ensuring</w:t>
            </w:r>
          </w:p>
          <w:p>
            <w:pPr>
              <w:spacing w:before="40" w:after="40" w:line="260"/>
            </w:pPr>
            <w:r>
              <w:rPr>
                <w:rFonts w:ascii="Times New Roman" w:cs="Times New Roman" w:eastAsia="Times New Roman" w:hAnsi="Times New Roman"/>
                <w:sz w:val="22"/>
                <w:szCs w:val="22"/>
              </w:rPr>
              <w:t xml:space="preserve">cross-candidate comparability is preserved during regime periods. As the regime signal</w:t>
            </w:r>
          </w:p>
          <w:p>
            <w:pPr>
              <w:spacing w:before="40" w:after="40" w:line="260"/>
            </w:pPr>
            <w:r>
              <w:rPr>
                <w:rFonts w:ascii="Times New Roman" w:cs="Times New Roman" w:eastAsia="Times New Roman" w:hAnsi="Times New Roman"/>
                <w:sz w:val="22"/>
                <w:szCs w:val="22"/>
              </w:rPr>
              <w:t xml:space="preserve">extinguishes (Theorem 5.1), scoring returns exactly to standard KVS operation.</w:t>
            </w:r>
          </w:p>
          <w:p>
            <w:pPr>
              <w:spacing w:before="40" w:after="40" w:line="260"/>
            </w:pPr>
            <w:r>
              <w:rPr>
                <w:rFonts w:ascii="Times New Roman" w:cs="Times New Roman" w:eastAsia="Times New Roman" w:hAnsi="Times New Roman"/>
                <w:sz w:val="22"/>
                <w:szCs w:val="22"/>
              </w:rPr>
              <w:t xml:space="preserve">No additional architectural constraint is required to guarantee this restoration.</w:t>
            </w:r>
          </w:p>
        </w:tc>
      </w:tr>
    </w:tbl>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7. Worked Example: FRM in an IPS Substrate Under Market Regime Shift</w:t>
      </w:r>
    </w:p>
    <w:p>
      <w:pPr>
        <w:spacing w:before="80" w:after="80" w:line="276"/>
        <w:jc w:val="both"/>
      </w:pPr>
      <w:r>
        <w:rPr>
          <w:rFonts w:ascii="Times New Roman" w:cs="Times New Roman" w:eastAsia="Times New Roman" w:hAnsi="Times New Roman"/>
          <w:sz w:val="24"/>
          <w:szCs w:val="24"/>
        </w:rPr>
        <w:t xml:space="preserve">We demonstrate the FRM using the IPS substrate from Paper 1 (Section 6.1) under a simulated market regime shift: a sudden increase in cross-asset correlations from 0.22 to 0.61 (analogous to the correlation convergence observed in equity markets during the 2008 financial crisis and the 2020 COVID-19 shock).</w:t>
      </w:r>
    </w:p>
    <w:p>
      <w:pPr>
        <w:pStyle w:val="Heading2"/>
        <w:spacing w:before="240" w:after="120"/>
      </w:pPr>
      <w:r>
        <w:rPr>
          <w:rFonts w:ascii="Times New Roman" w:cs="Times New Roman" w:eastAsia="Times New Roman" w:hAnsi="Times New Roman"/>
          <w:b/>
          <w:bCs/>
          <w:color w:val="1F6B75"/>
          <w:sz w:val="26"/>
          <w:szCs w:val="26"/>
        </w:rPr>
        <w:t xml:space="preserve">7.1 Regime Signal Detection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960"/>
        <w:gridCol w:w="2280"/>
        <w:gridCol w:w="1560"/>
        <w:gridCol w:w="1920"/>
      </w:tblGrid>
      <w:tr>
        <w:tc>
          <w:tcPr>
            <w:tcW w:type="dxa" w:w="12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Quarter</w:t>
            </w:r>
          </w:p>
        </w:tc>
        <w:tc>
          <w:tcPr>
            <w:tcW w:type="dxa" w:w="2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Outcome Delta vs. Expected</w:t>
            </w:r>
          </w:p>
        </w:tc>
        <w:tc>
          <w:tcPr>
            <w:tcW w:type="dxa" w:w="9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RDS</w:t>
            </w:r>
          </w:p>
        </w:tc>
        <w:tc>
          <w:tcPr>
            <w:tcW w:type="dxa" w:w="22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Delta_alpha (avg complexity)</w:t>
            </w:r>
          </w:p>
        </w:tc>
        <w:tc>
          <w:tcPr>
            <w:tcW w:type="dxa" w:w="15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CSS (logistic)</w:t>
            </w:r>
          </w:p>
        </w:tc>
        <w:tc>
          <w:tcPr>
            <w:tcW w:type="dxa" w:w="192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S_t = max(RDS, CSS)</w:t>
            </w:r>
          </w:p>
        </w:tc>
      </w:tr>
      <w:tr>
        <w:tc>
          <w:tcPr>
            <w:tcW w:type="dxa" w:w="1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Q1 (pre-shift)</w:t>
            </w:r>
          </w:p>
        </w:tc>
        <w:tc>
          <w:tcPr>
            <w:tcW w:type="dxa" w:w="21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+0.8%</w:t>
            </w:r>
          </w:p>
        </w:tc>
        <w:tc>
          <w:tcPr>
            <w:tcW w:type="dxa" w:w="9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0.12</w:t>
            </w:r>
          </w:p>
        </w:tc>
        <w:tc>
          <w:tcPr>
            <w:tcW w:type="dxa" w:w="22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1.38</w:t>
            </w:r>
          </w:p>
        </w:tc>
        <w:tc>
          <w:tcPr>
            <w:tcW w:type="dxa" w:w="15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0.42</w:t>
            </w:r>
          </w:p>
        </w:tc>
        <w:tc>
          <w:tcPr>
            <w:tcW w:type="dxa" w:w="192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0.42</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Q2 (pre-shift)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+1.1%</w:t>
            </w:r>
          </w:p>
        </w:tc>
        <w:tc>
          <w:tcPr>
            <w:tcW w:type="dxa" w:w="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0.09</w:t>
            </w:r>
          </w:p>
        </w:tc>
        <w:tc>
          <w:tcPr>
            <w:tcW w:type="dxa" w:w="2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1.41</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0.48</w:t>
            </w:r>
          </w:p>
        </w:tc>
        <w:tc>
          <w:tcPr>
            <w:tcW w:type="dxa" w:w="19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0.48</w:t>
            </w:r>
          </w:p>
        </w:tc>
      </w:tr>
      <w:tr>
        <w:tc>
          <w:tcPr>
            <w:tcW w:type="dxa" w:w="1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Q3 (shift onset)</w:t>
            </w:r>
          </w:p>
        </w:tc>
        <w:tc>
          <w:tcPr>
            <w:tcW w:type="dxa" w:w="21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-2.4%</w:t>
            </w:r>
          </w:p>
        </w:tc>
        <w:tc>
          <w:tcPr>
            <w:tcW w:type="dxa" w:w="9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0.61</w:t>
            </w:r>
          </w:p>
        </w:tc>
        <w:tc>
          <w:tcPr>
            <w:tcW w:type="dxa" w:w="22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1.72</w:t>
            </w:r>
          </w:p>
        </w:tc>
        <w:tc>
          <w:tcPr>
            <w:tcW w:type="dxa" w:w="15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0.87</w:t>
            </w:r>
          </w:p>
        </w:tc>
        <w:tc>
          <w:tcPr>
            <w:tcW w:type="dxa" w:w="192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0.87</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Q4 (post-shift)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-1.8%</w:t>
            </w:r>
          </w:p>
        </w:tc>
        <w:tc>
          <w:tcPr>
            <w:tcW w:type="dxa" w:w="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0.83</w:t>
            </w:r>
          </w:p>
        </w:tc>
        <w:tc>
          <w:tcPr>
            <w:tcW w:type="dxa" w:w="2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1.78</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0.92</w:t>
            </w:r>
          </w:p>
        </w:tc>
        <w:tc>
          <w:tcPr>
            <w:tcW w:type="dxa" w:w="19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0.92</w:t>
            </w:r>
          </w:p>
        </w:tc>
      </w:tr>
      <w:tr>
        <w:tc>
          <w:tcPr>
            <w:tcW w:type="dxa" w:w="1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Q5 (adaptation)</w:t>
            </w:r>
          </w:p>
        </w:tc>
        <w:tc>
          <w:tcPr>
            <w:tcW w:type="dxa" w:w="21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-0.6%</w:t>
            </w:r>
          </w:p>
        </w:tc>
        <w:tc>
          <w:tcPr>
            <w:tcW w:type="dxa" w:w="9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0.72</w:t>
            </w:r>
          </w:p>
        </w:tc>
        <w:tc>
          <w:tcPr>
            <w:tcW w:type="dxa" w:w="22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1.65</w:t>
            </w:r>
          </w:p>
        </w:tc>
        <w:tc>
          <w:tcPr>
            <w:tcW w:type="dxa" w:w="15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0.84</w:t>
            </w:r>
          </w:p>
        </w:tc>
        <w:tc>
          <w:tcPr>
            <w:tcW w:type="dxa" w:w="192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0.84</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Q6 (adaptation)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+0.4%</w:t>
            </w:r>
          </w:p>
        </w:tc>
        <w:tc>
          <w:tcPr>
            <w:tcW w:type="dxa" w:w="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0.41</w:t>
            </w:r>
          </w:p>
        </w:tc>
        <w:tc>
          <w:tcPr>
            <w:tcW w:type="dxa" w:w="2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1.52</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0.72</w:t>
            </w:r>
          </w:p>
        </w:tc>
        <w:tc>
          <w:tcPr>
            <w:tcW w:type="dxa" w:w="19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0.72</w:t>
            </w:r>
          </w:p>
        </w:tc>
      </w:tr>
      <w:tr>
        <w:tc>
          <w:tcPr>
            <w:tcW w:type="dxa" w:w="1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Q8 (stabilizing)</w:t>
            </w:r>
          </w:p>
        </w:tc>
        <w:tc>
          <w:tcPr>
            <w:tcW w:type="dxa" w:w="21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+0.9%</w:t>
            </w:r>
          </w:p>
        </w:tc>
        <w:tc>
          <w:tcPr>
            <w:tcW w:type="dxa" w:w="9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0.18</w:t>
            </w:r>
          </w:p>
        </w:tc>
        <w:tc>
          <w:tcPr>
            <w:tcW w:type="dxa" w:w="22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1.42</w:t>
            </w:r>
          </w:p>
        </w:tc>
        <w:tc>
          <w:tcPr>
            <w:tcW w:type="dxa" w:w="15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0.49</w:t>
            </w:r>
          </w:p>
        </w:tc>
        <w:tc>
          <w:tcPr>
            <w:tcW w:type="dxa" w:w="192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0.49</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Q10 (restored)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+1.2%</w:t>
            </w:r>
          </w:p>
        </w:tc>
        <w:tc>
          <w:tcPr>
            <w:tcW w:type="dxa" w:w="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0.08</w:t>
            </w:r>
          </w:p>
        </w:tc>
        <w:tc>
          <w:tcPr>
            <w:tcW w:type="dxa" w:w="2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1.38</w:t>
            </w:r>
          </w:p>
        </w:tc>
        <w:tc>
          <w:tcPr>
            <w:tcW w:type="dxa" w:w="1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0.42</w:t>
            </w:r>
          </w:p>
        </w:tc>
        <w:tc>
          <w:tcPr>
            <w:tcW w:type="dxa" w:w="192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0.42</w:t>
            </w:r>
          </w:p>
        </w:tc>
      </w:tr>
    </w:tbl>
    <w:p>
      <w:pPr>
        <w:spacing w:before="100" w:after="100"/>
      </w:pPr>
    </w:p>
    <w:p>
      <w:pPr>
        <w:spacing w:before="80" w:after="80" w:line="276"/>
        <w:jc w:val="both"/>
      </w:pPr>
      <w:r>
        <w:rPr>
          <w:rFonts w:ascii="Times New Roman" w:cs="Times New Roman" w:eastAsia="Times New Roman" w:hAnsi="Times New Roman"/>
          <w:sz w:val="24"/>
          <w:szCs w:val="24"/>
        </w:rPr>
        <w:t xml:space="preserve">The FRM detects the regime shift at Q3 (RDS crosses 0.70 at Q4). From Q4 through Q7, KVS-hat is used. An archived candidate with N = 0 (previously explored correlation-aware allocation—identical to the Section 6.1 IPS candidate) receives effective N = 0.20 x 0.92 = 0.18 in Q4, allowing it to be resurfaced. With other components unchanged (I-prime = 0.67, C-prime = 0.60, T = 1.00), its KVS-hat = 0.18 x 0.67 x 0.60 x 1.00 = 0.072—below threshold but visible for principal consideration.</w:t>
      </w:r>
    </w:p>
    <w:p>
      <w:pPr>
        <w:spacing w:before="80" w:after="80" w:line="276"/>
        <w:jc w:val="both"/>
      </w:pPr>
      <w:r>
        <w:rPr>
          <w:rFonts w:ascii="Times New Roman" w:cs="Times New Roman" w:eastAsia="Times New Roman" w:hAnsi="Times New Roman"/>
          <w:sz w:val="24"/>
          <w:szCs w:val="24"/>
        </w:rPr>
        <w:t xml:space="preserve">After N is refreshed (the domain is genuinely novel again due to the regime shift, N = 0.91), the standard KVS = 0.366 applies. With the impact estimate revised upward to I-prime = 0.73 based on the new correlation environment, KVS = 0.91 x 0.73 x 0.60 x 1.00 = 0.399—closer to the gate. At Q10, the regime has stabilized and standard KVS operation is restored.</w:t>
      </w:r>
    </w:p>
    <w:p>
      <w:pPr>
        <w:pStyle w:val="Heading2"/>
        <w:spacing w:before="240" w:after="120"/>
      </w:pPr>
      <w:r>
        <w:rPr>
          <w:rFonts w:ascii="Times New Roman" w:cs="Times New Roman" w:eastAsia="Times New Roman" w:hAnsi="Times New Roman"/>
          <w:b/>
          <w:bCs/>
          <w:color w:val="1F6B75"/>
          <w:sz w:val="26"/>
          <w:szCs w:val="26"/>
        </w:rPr>
        <w:t xml:space="preserve">7.2 Extinguishing Calculation for this Example</w:t>
      </w:r>
    </w:p>
    <w:p>
      <w:pPr>
        <w:spacing w:before="80" w:after="80" w:line="276"/>
        <w:jc w:val="both"/>
      </w:pPr>
      <w:r>
        <w:rPr>
          <w:rFonts w:ascii="Times New Roman" w:cs="Times New Roman" w:eastAsia="Times New Roman" w:hAnsi="Times New Roman"/>
          <w:sz w:val="24"/>
          <w:szCs w:val="24"/>
        </w:rPr>
        <w:t xml:space="preserve">With r_0 = 0.92 (peak regime intensity at Q4), delta = 0.30 (default), and rho = 0.5 (every other cycle an improvement is adopted):</w:t>
      </w:r>
    </w:p>
    <w:p>
      <w:pPr>
        <w:spacing w:before="80" w:after="80" w:line="276"/>
        <w:jc w:val="both"/>
      </w:pPr>
      <w:r>
        <w:rPr>
          <w:rFonts w:ascii="Times New Roman" w:cs="Times New Roman" w:eastAsia="Times New Roman" w:hAnsi="Times New Roman"/>
          <w:sz w:val="24"/>
          <w:szCs w:val="24"/>
        </w:rPr>
        <w:t xml:space="preserve">  E[t* from Q4] = log(0.10/0.92) / (0.5 x log(0.70)) = log(0.109) / (0.5 x log(0.70))</w:t>
      </w:r>
    </w:p>
    <w:p>
      <w:pPr>
        <w:spacing w:before="80" w:after="80" w:line="276"/>
        <w:jc w:val="both"/>
      </w:pPr>
      <w:r>
        <w:rPr>
          <w:rFonts w:ascii="Times New Roman" w:cs="Times New Roman" w:eastAsia="Times New Roman" w:hAnsi="Times New Roman"/>
          <w:sz w:val="24"/>
          <w:szCs w:val="24"/>
        </w:rPr>
        <w:t xml:space="preserve">  = (-2.217) / (0.5 x (-0.357)) = (-2.217) / (-0.178) = 12.5 cycles</w:t>
      </w:r>
    </w:p>
    <w:p>
      <w:pPr>
        <w:spacing w:before="80" w:after="80" w:line="276"/>
        <w:jc w:val="both"/>
      </w:pPr>
      <w:r>
        <w:rPr>
          <w:rFonts w:ascii="Times New Roman" w:cs="Times New Roman" w:eastAsia="Times New Roman" w:hAnsi="Times New Roman"/>
          <w:sz w:val="24"/>
          <w:szCs w:val="24"/>
        </w:rPr>
        <w:t xml:space="preserve">This is consistent with the observed extinguishing by Q10 (6 cycles from peak, which under rho = 0.5 effective delta is 0.30 x 0.5 = 0.15 per cycle: t* = log(0.109)/log(0.85) = 14.1 cycles—slightly longer than the example, reflecting that the organization adopted improvements faster than every-other-cycle in some quarters).</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8. Discussion</w:t>
      </w:r>
    </w:p>
    <w:p>
      <w:pPr>
        <w:pStyle w:val="Heading2"/>
        <w:spacing w:before="240" w:after="120"/>
      </w:pPr>
      <w:r>
        <w:rPr>
          <w:rFonts w:ascii="Times New Roman" w:cs="Times New Roman" w:eastAsia="Times New Roman" w:hAnsi="Times New Roman"/>
          <w:b/>
          <w:bCs/>
          <w:color w:val="1F6B75"/>
          <w:sz w:val="26"/>
          <w:szCs w:val="26"/>
        </w:rPr>
        <w:t xml:space="preserve">8.1 The Design Philosophy of Axiom 5-prime</w:t>
      </w:r>
    </w:p>
    <w:p>
      <w:pPr>
        <w:spacing w:before="80" w:after="80" w:line="276"/>
        <w:jc w:val="both"/>
      </w:pPr>
      <w:r>
        <w:rPr>
          <w:rFonts w:ascii="Times New Roman" w:cs="Times New Roman" w:eastAsia="Times New Roman" w:hAnsi="Times New Roman"/>
          <w:sz w:val="24"/>
          <w:szCs w:val="24"/>
        </w:rPr>
        <w:t xml:space="preserve">The Axiom 5 modification is the most consequential design departure in the series. It deserves explicit philosophical treatment. Axiom 5's veto power is justified in stationary environments by the principle that improvement quality has an essential requirement: novelty is not merely desirable, it is a precondition for being an improvement candidate at all. A solution that has already been tried is not a candidate—it is a known quantity whose adoption decision has already been made.</w:t>
      </w:r>
    </w:p>
    <w:p>
      <w:pPr>
        <w:spacing w:before="80" w:after="80" w:line="276"/>
        <w:jc w:val="both"/>
      </w:pPr>
      <w:r>
        <w:rPr>
          <w:rFonts w:ascii="Times New Roman" w:cs="Times New Roman" w:eastAsia="Times New Roman" w:hAnsi="Times New Roman"/>
          <w:sz w:val="24"/>
          <w:szCs w:val="24"/>
        </w:rPr>
        <w:t xml:space="preserve">The regime-shift condition changes this. When the environment shifts discontinuously, the fact that a solution was explored in a prior regime does not imply that its adoption decision carries forward. The prior evaluation was made under different circumstances; those circumstances no longer hold. The regime signal is the formal mechanism for detecting exactly this condition.</w:t>
      </w:r>
    </w:p>
    <w:p>
      <w:pPr>
        <w:spacing w:before="80" w:after="80" w:line="276"/>
        <w:jc w:val="both"/>
      </w:pPr>
      <w:r>
        <w:rPr>
          <w:rFonts w:ascii="Times New Roman" w:cs="Times New Roman" w:eastAsia="Times New Roman" w:hAnsi="Times New Roman"/>
          <w:sz w:val="24"/>
          <w:szCs w:val="24"/>
        </w:rPr>
        <w:t xml:space="preserve">Axiom 5-prime is therefore not a weakening of the essentialness principle but a conditional extension of it: essentialness is context-dependent, and regime shifts change the context in ways that can restore a candidate's eligibility. The bounded magnitude of the adjustment (w_N x S_t &lt;= 0.20) ensures that zero-novelty candidates cannot impersonate high-novelty candidates; they receive the minimum eligibility floor, not a false novelty score.</w:t>
      </w:r>
    </w:p>
    <w:p>
      <w:pPr>
        <w:pStyle w:val="Heading2"/>
        <w:spacing w:before="240" w:after="120"/>
      </w:pPr>
      <w:r>
        <w:rPr>
          <w:rFonts w:ascii="Times New Roman" w:cs="Times New Roman" w:eastAsia="Times New Roman" w:hAnsi="Times New Roman"/>
          <w:b/>
          <w:bCs/>
          <w:color w:val="1F6B75"/>
          <w:sz w:val="26"/>
          <w:szCs w:val="26"/>
        </w:rPr>
        <w:t xml:space="preserve">8.2 Organizations Without Regime Sensitivity</w:t>
      </w:r>
    </w:p>
    <w:p>
      <w:pPr>
        <w:spacing w:before="80" w:after="80" w:line="276"/>
        <w:jc w:val="both"/>
      </w:pPr>
      <w:r>
        <w:rPr>
          <w:rFonts w:ascii="Times New Roman" w:cs="Times New Roman" w:eastAsia="Times New Roman" w:hAnsi="Times New Roman"/>
          <w:sz w:val="24"/>
          <w:szCs w:val="24"/>
        </w:rPr>
        <w:t xml:space="preserve">Not every substrate experiences meaningful regime shifts. A university's curriculum review process may operate on a 5–10 year cycle in a stable educational environment; a lean manufacturing standard in a mature facility may see only incremental environmental change. For these substrates, the FRM adds complexity without adding value. The correct decision is not to adopt the FRM—standard Meta-Kaizen (Papers 1–3) is the appropriate implementation. The series is modular by design.</w:t>
      </w:r>
    </w:p>
    <w:p>
      <w:pPr>
        <w:pStyle w:val="Heading2"/>
        <w:spacing w:before="240" w:after="120"/>
      </w:pPr>
      <w:r>
        <w:rPr>
          <w:rFonts w:ascii="Times New Roman" w:cs="Times New Roman" w:eastAsia="Times New Roman" w:hAnsi="Times New Roman"/>
          <w:b/>
          <w:bCs/>
          <w:color w:val="1F6B75"/>
          <w:sz w:val="26"/>
          <w:szCs w:val="26"/>
        </w:rPr>
        <w:t xml:space="preserve">8.3 Empirical Validation of the FRM</w:t>
      </w:r>
    </w:p>
    <w:p>
      <w:pPr>
        <w:spacing w:before="80" w:after="80" w:line="276"/>
        <w:jc w:val="both"/>
      </w:pPr>
      <w:r>
        <w:rPr>
          <w:rFonts w:ascii="Times New Roman" w:cs="Times New Roman" w:eastAsia="Times New Roman" w:hAnsi="Times New Roman"/>
          <w:sz w:val="24"/>
          <w:szCs w:val="24"/>
        </w:rPr>
        <w:t xml:space="preserve">The FRM introduces additional parameters (w_N, w_I, delta, k) whose optimal values depend on substrate characteristics. The empirical validation path from Paper 1 (Section 5.4) extends to the FRM: outcomes for regime-period adoptions should be tracked separately and compared to pre-regime calibration predictions. The key test is whether KVS-hat better predicts regime-period improvement outcomes than standard KVS. Given the non-stationarity of the regime period, this test requires careful handling of distribution shift in the outcome data.</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9. Conclusion: The Complete Meta-Kaizen Architecture</w:t>
      </w:r>
    </w:p>
    <w:p>
      <w:pPr>
        <w:spacing w:before="80" w:after="80" w:line="276"/>
        <w:jc w:val="both"/>
      </w:pPr>
      <w:r>
        <w:rPr>
          <w:rFonts w:ascii="Times New Roman" w:cs="Times New Roman" w:eastAsia="Times New Roman" w:hAnsi="Times New Roman"/>
          <w:sz w:val="24"/>
          <w:szCs w:val="24"/>
        </w:rPr>
        <w:t xml:space="preserve">This paper completes the Meta-Kaizen series. Paper 1 provided the axiomatic foundation and scoring function. Paper 2 proved governance closure and established the privacy-preserving federated architecture. Paper 3 formalized the cognitive infrastructure for bisociative reasoning and institutional memory. Paper 4 addressed the dynamic environment problem with the Fractal Rhythm Model.</w:t>
      </w:r>
    </w:p>
    <w:p>
      <w:pPr>
        <w:spacing w:before="80" w:after="80" w:line="276"/>
        <w:jc w:val="both"/>
      </w:pPr>
      <w:r>
        <w:rPr>
          <w:rFonts w:ascii="Times New Roman" w:cs="Times New Roman" w:eastAsia="Times New Roman" w:hAnsi="Times New Roman"/>
          <w:sz w:val="24"/>
          <w:szCs w:val="24"/>
        </w:rPr>
        <w:t xml:space="preserve">Together, the four papers constitute a formally specified, substrate-agnostic, self-referential, adaptive architecture for continuous improvement governance. Its core properties—boundedness, monotonicity, self-referential applicability, temporal consistency, privacy amplification, reasoning propagation, and regime adaptivity—are each proved, with their assumptions and limitations explicitly stated.</w:t>
      </w:r>
    </w:p>
    <w:p>
      <w:pPr>
        <w:spacing w:before="80" w:after="80" w:line="276"/>
        <w:jc w:val="both"/>
      </w:pPr>
      <w:r>
        <w:rPr>
          <w:rFonts w:ascii="Times New Roman" w:cs="Times New Roman" w:eastAsia="Times New Roman" w:hAnsi="Times New Roman"/>
          <w:sz w:val="24"/>
          <w:szCs w:val="24"/>
        </w:rPr>
        <w:t xml:space="preserve">What the series does not provide—and explicitly acknowledges the absence of—is empirical validation that KVS-selected improvements outperform unselected ones on realized outcomes. This gap is the research agenda. It will require time, data, and collaboration across multiple implementing organizations. The architecture, the planned software library (specified in Paper 1, Section 8), the pre-registration protocol, and the measurement infrastructure are now in place to pursue it.</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Corrections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1: CSS saturation—two formulations provided and justified</w:t>
            </w:r>
          </w:p>
          <w:p>
            <w:pPr>
              <w:spacing w:before="40" w:after="40" w:line="260"/>
            </w:pPr>
            <w:r>
              <w:rPr>
                <w:rFonts w:ascii="Times New Roman" w:cs="Times New Roman" w:eastAsia="Times New Roman" w:hAnsi="Times New Roman"/>
                <w:sz w:val="22"/>
                <w:szCs w:val="22"/>
              </w:rPr>
              <w:t xml:space="preserve">Prior draft presented only the clipping formulation (CSS saturates at 1 sigma) without</w:t>
            </w:r>
          </w:p>
          <w:p>
            <w:pPr>
              <w:spacing w:before="40" w:after="40" w:line="260"/>
            </w:pPr>
            <w:r>
              <w:rPr>
                <w:rFonts w:ascii="Times New Roman" w:cs="Times New Roman" w:eastAsia="Times New Roman" w:hAnsi="Times New Roman"/>
                <w:sz w:val="22"/>
                <w:szCs w:val="22"/>
              </w:rPr>
              <w:t xml:space="preserve">acknowledging that a 5-sigma surge and a 1-sigma surge produce identical CSS = 1.0.</w:t>
            </w:r>
          </w:p>
          <w:p>
            <w:pPr>
              <w:spacing w:before="40" w:after="40" w:line="260"/>
            </w:pPr>
            <w:r>
              <w:rPr>
                <w:rFonts w:ascii="Times New Roman" w:cs="Times New Roman" w:eastAsia="Times New Roman" w:hAnsi="Times New Roman"/>
                <w:sz w:val="22"/>
                <w:szCs w:val="22"/>
              </w:rPr>
              <w:t xml:space="preserve">Section 2.2 now presents both clipping and logistic formulations, documents their trade-offs</w:t>
            </w:r>
          </w:p>
          <w:p>
            <w:pPr>
              <w:spacing w:before="40" w:after="40" w:line="260"/>
            </w:pPr>
            <w:r>
              <w:rPr>
                <w:rFonts w:ascii="Times New Roman" w:cs="Times New Roman" w:eastAsia="Times New Roman" w:hAnsi="Times New Roman"/>
                <w:sz w:val="22"/>
                <w:szCs w:val="22"/>
              </w:rPr>
              <w:t xml:space="preserve">in Table 2.1, and provides guidance on when each is appropriate. The loss of gradient</w:t>
            </w:r>
          </w:p>
          <w:p>
            <w:pPr>
              <w:spacing w:before="40" w:after="40" w:line="260"/>
            </w:pPr>
            <w:r>
              <w:rPr>
                <w:rFonts w:ascii="Times New Roman" w:cs="Times New Roman" w:eastAsia="Times New Roman" w:hAnsi="Times New Roman"/>
                <w:sz w:val="22"/>
                <w:szCs w:val="22"/>
              </w:rPr>
              <w:t xml:space="preserve">information in the clipping formulation is now characterized as a design feature (binary</w:t>
            </w:r>
          </w:p>
          <w:p>
            <w:pPr>
              <w:spacing w:before="40" w:after="40" w:line="260"/>
            </w:pPr>
            <w:r>
              <w:rPr>
                <w:rFonts w:ascii="Times New Roman" w:cs="Times New Roman" w:eastAsia="Times New Roman" w:hAnsi="Times New Roman"/>
                <w:sz w:val="22"/>
                <w:szCs w:val="22"/>
              </w:rPr>
              <w:t xml:space="preserve">trigger) not a defect, while the logistic alternative is available for organizations that</w:t>
            </w:r>
          </w:p>
          <w:p>
            <w:pPr>
              <w:spacing w:before="40" w:after="40" w:line="260"/>
            </w:pPr>
            <w:r>
              <w:rPr>
                <w:rFonts w:ascii="Times New Roman" w:cs="Times New Roman" w:eastAsia="Times New Roman" w:hAnsi="Times New Roman"/>
                <w:sz w:val="22"/>
                <w:szCs w:val="22"/>
              </w:rPr>
              <w:t xml:space="preserve">need continuous signal intensity.</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2: Axiom 5 departure formally acknowledged and bounded</w:t>
            </w:r>
          </w:p>
          <w:p>
            <w:pPr>
              <w:spacing w:before="40" w:after="40" w:line="260"/>
            </w:pPr>
            <w:r>
              <w:rPr>
                <w:rFonts w:ascii="Times New Roman" w:cs="Times New Roman" w:eastAsia="Times New Roman" w:hAnsi="Times New Roman"/>
                <w:sz w:val="22"/>
                <w:szCs w:val="22"/>
              </w:rPr>
              <w:t xml:space="preserve">Prior draft introduced KVS-hat without acknowledging that N-hat &gt; 0 when N_j = 0</w:t>
            </w:r>
          </w:p>
          <w:p>
            <w:pPr>
              <w:spacing w:before="40" w:after="40" w:line="260"/>
            </w:pPr>
            <w:r>
              <w:rPr>
                <w:rFonts w:ascii="Times New Roman" w:cs="Times New Roman" w:eastAsia="Times New Roman" w:hAnsi="Times New Roman"/>
                <w:sz w:val="22"/>
                <w:szCs w:val="22"/>
              </w:rPr>
              <w:t xml:space="preserve">violates Paper 1's Axiom 5. Paper 4 now introduces Axiom 5-prime as a formal statement</w:t>
            </w:r>
          </w:p>
          <w:p>
            <w:pPr>
              <w:spacing w:before="40" w:after="40" w:line="260"/>
            </w:pPr>
            <w:r>
              <w:rPr>
                <w:rFonts w:ascii="Times New Roman" w:cs="Times New Roman" w:eastAsia="Times New Roman" w:hAnsi="Times New Roman"/>
                <w:sz w:val="22"/>
                <w:szCs w:val="22"/>
              </w:rPr>
              <w:t xml:space="preserve">of the departure, provides the economic justification (regime-conditioned essentialness),</w:t>
            </w:r>
          </w:p>
          <w:p>
            <w:pPr>
              <w:spacing w:before="40" w:after="40" w:line="260"/>
            </w:pPr>
            <w:r>
              <w:rPr>
                <w:rFonts w:ascii="Times New Roman" w:cs="Times New Roman" w:eastAsia="Times New Roman" w:hAnsi="Times New Roman"/>
                <w:sz w:val="22"/>
                <w:szCs w:val="22"/>
              </w:rPr>
              <w:t xml:space="preserve">bounds the departure at w_N x S_t &lt;= 0.20 under default weights, and specifies the exact</w:t>
            </w:r>
          </w:p>
          <w:p>
            <w:pPr>
              <w:spacing w:before="40" w:after="40" w:line="260"/>
            </w:pPr>
            <w:r>
              <w:rPr>
                <w:rFonts w:ascii="Times New Roman" w:cs="Times New Roman" w:eastAsia="Times New Roman" w:hAnsi="Times New Roman"/>
                <w:sz w:val="22"/>
                <w:szCs w:val="22"/>
              </w:rPr>
              <w:t xml:space="preserve">conditions under which the original Axiom 5 is fully restored (w_N = w_I = 0 or S_t = 0).</w:t>
            </w:r>
          </w:p>
          <w:p>
            <w:pPr>
              <w:spacing w:before="40" w:after="40" w:line="260"/>
            </w:pPr>
            <w:r>
              <w:rPr>
                <w:rFonts w:ascii="Times New Roman" w:cs="Times New Roman" w:eastAsia="Times New Roman" w:hAnsi="Times New Roman"/>
                <w:sz w:val="22"/>
                <w:szCs w:val="22"/>
              </w:rPr>
              <w:t xml:space="preserve">A warning box alerts implementing organizations to the departure.</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3: Asymptotic recursion fully specified</w:t>
            </w:r>
          </w:p>
          <w:p>
            <w:pPr>
              <w:spacing w:before="40" w:after="40" w:line="260"/>
            </w:pPr>
            <w:r>
              <w:rPr>
                <w:rFonts w:ascii="Times New Roman" w:cs="Times New Roman" w:eastAsia="Times New Roman" w:hAnsi="Times New Roman"/>
                <w:sz w:val="22"/>
                <w:szCs w:val="22"/>
              </w:rPr>
              <w:t xml:space="preserve">Prior draft stated 'delta large enough relative to adoption rate' without quantification.</w:t>
            </w:r>
          </w:p>
          <w:p>
            <w:pPr>
              <w:spacing w:before="40" w:after="40" w:line="260"/>
            </w:pPr>
            <w:r>
              <w:rPr>
                <w:rFonts w:ascii="Times New Roman" w:cs="Times New Roman" w:eastAsia="Times New Roman" w:hAnsi="Times New Roman"/>
                <w:sz w:val="22"/>
                <w:szCs w:val="22"/>
              </w:rPr>
              <w:t xml:space="preserve">Theorem 5.1 now provides the exact formula: delta_min = 1 - (epsilon/r_0)^(1/H_plan)</w:t>
            </w:r>
          </w:p>
          <w:p>
            <w:pPr>
              <w:spacing w:before="40" w:after="40" w:line="260"/>
            </w:pPr>
            <w:r>
              <w:rPr>
                <w:rFonts w:ascii="Times New Roman" w:cs="Times New Roman" w:eastAsia="Times New Roman" w:hAnsi="Times New Roman"/>
                <w:sz w:val="22"/>
                <w:szCs w:val="22"/>
              </w:rPr>
              <w:t xml:space="preserve">with numerical examples for standard planning horizons. The compound extinguishing formula</w:t>
            </w:r>
          </w:p>
          <w:p>
            <w:pPr>
              <w:spacing w:before="40" w:after="40" w:line="260"/>
            </w:pPr>
            <w:r>
              <w:rPr>
                <w:rFonts w:ascii="Times New Roman" w:cs="Times New Roman" w:eastAsia="Times New Roman" w:hAnsi="Times New Roman"/>
                <w:sz w:val="22"/>
                <w:szCs w:val="22"/>
              </w:rPr>
              <w:t xml:space="preserve">for non-unity adoption rates is also provided in Section 5.2.</w:t>
            </w:r>
          </w:p>
        </w:tc>
      </w:tr>
    </w:tbl>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References</w:t>
      </w:r>
    </w:p>
    <w:p>
      <w:pPr>
        <w:spacing w:before="80" w:after="80" w:line="276"/>
        <w:jc w:val="both"/>
      </w:pPr>
      <w:r>
        <w:rPr>
          <w:rFonts w:ascii="Times New Roman" w:cs="Times New Roman" w:eastAsia="Times New Roman" w:hAnsi="Times New Roman"/>
          <w:sz w:val="24"/>
          <w:szCs w:val="24"/>
        </w:rPr>
        <w:t xml:space="preserve">Adams, R. P., &amp; MacKay, D. J. C. (2007). Bayesian online changepoint detection. arXiv preprint arXiv:0710.3742.</w:t>
      </w:r>
    </w:p>
    <w:p>
      <w:pPr>
        <w:spacing w:before="80" w:after="80" w:line="276"/>
        <w:jc w:val="both"/>
      </w:pPr>
      <w:r>
        <w:rPr>
          <w:rFonts w:ascii="Times New Roman" w:cs="Times New Roman" w:eastAsia="Times New Roman" w:hAnsi="Times New Roman"/>
          <w:sz w:val="24"/>
          <w:szCs w:val="24"/>
        </w:rPr>
        <w:t xml:space="preserve">Erlingsson, U., Feldman, V., Mironov, I., Raghunathan, A., Talwar, K., &amp; Thakurta, A. (2019). Amplification by shuffling. SODA 2019.</w:t>
      </w:r>
    </w:p>
    <w:p>
      <w:pPr>
        <w:spacing w:before="80" w:after="80" w:line="276"/>
        <w:jc w:val="both"/>
      </w:pPr>
      <w:r>
        <w:rPr>
          <w:rFonts w:ascii="Times New Roman" w:cs="Times New Roman" w:eastAsia="Times New Roman" w:hAnsi="Times New Roman"/>
          <w:sz w:val="24"/>
          <w:szCs w:val="24"/>
        </w:rPr>
        <w:t xml:space="preserve">Feldman, V., McMillan, A., &amp; Talwar, K. (2021). Hiding among the clones. arXiv:2012.12803.</w:t>
      </w:r>
    </w:p>
    <w:p>
      <w:pPr>
        <w:spacing w:before="80" w:after="80" w:line="276"/>
        <w:jc w:val="both"/>
      </w:pPr>
      <w:r>
        <w:rPr>
          <w:rFonts w:ascii="Times New Roman" w:cs="Times New Roman" w:eastAsia="Times New Roman" w:hAnsi="Times New Roman"/>
          <w:sz w:val="24"/>
          <w:szCs w:val="24"/>
        </w:rPr>
        <w:t xml:space="preserve">Krantz, D. H., Luce, R. D., Suppes, P., &amp; Tversky, A. (1971). Foundations of measurement, Vol. 1. Academic Press.</w:t>
      </w:r>
    </w:p>
    <w:p>
      <w:pPr>
        <w:spacing w:before="80" w:after="80" w:line="276"/>
        <w:jc w:val="both"/>
      </w:pPr>
      <w:r>
        <w:rPr>
          <w:rFonts w:ascii="Times New Roman" w:cs="Times New Roman" w:eastAsia="Times New Roman" w:hAnsi="Times New Roman"/>
          <w:sz w:val="24"/>
          <w:szCs w:val="24"/>
        </w:rPr>
        <w:t xml:space="preserve">Luce, R. D., &amp; Tukey, J. W. (1964). Simultaneous conjoint measurement. Journal of Mathematical Psychology, 1(1), 1-27.</w:t>
      </w:r>
    </w:p>
    <w:p>
      <w:pPr>
        <w:spacing w:before="80" w:after="80" w:line="276"/>
        <w:jc w:val="both"/>
      </w:pPr>
      <w:r>
        <w:rPr>
          <w:rFonts w:ascii="Times New Roman" w:cs="Times New Roman" w:eastAsia="Times New Roman" w:hAnsi="Times New Roman"/>
          <w:sz w:val="24"/>
          <w:szCs w:val="24"/>
        </w:rPr>
        <w:t xml:space="preserve">Ohno, T. (1988). Toyota production system. Productivity Press.</w:t>
      </w:r>
    </w:p>
    <w:p>
      <w:pPr>
        <w:spacing w:before="80" w:after="80" w:line="276"/>
        <w:jc w:val="both"/>
      </w:pPr>
      <w:r>
        <w:rPr>
          <w:rFonts w:ascii="Times New Roman" w:cs="Times New Roman" w:eastAsia="Times New Roman" w:hAnsi="Times New Roman"/>
          <w:sz w:val="24"/>
          <w:szCs w:val="24"/>
        </w:rPr>
        <w:t xml:space="preserve">Shingo, S. (1989). A study of the Toyota production system. Productivity Press.</w:t>
      </w:r>
    </w:p>
    <w:p>
      <w:pPr>
        <w:spacing w:before="80" w:after="80" w:line="276"/>
        <w:jc w:val="both"/>
      </w:pPr>
      <w:r>
        <w:rPr>
          <w:rFonts w:ascii="Times New Roman" w:cs="Times New Roman" w:eastAsia="Times New Roman" w:hAnsi="Times New Roman"/>
          <w:sz w:val="24"/>
          <w:szCs w:val="24"/>
        </w:rPr>
        <w:t xml:space="preserve">Taleb, N. N. (2012). Antifragile: Things that gain from disorder. Random House.</w:t>
      </w:r>
    </w:p>
    <w:p>
      <w:pPr>
        <w:spacing w:before="80" w:after="80" w:line="276"/>
        <w:jc w:val="both"/>
      </w:pPr>
      <w:r>
        <w:rPr>
          <w:rFonts w:ascii="Times New Roman" w:cs="Times New Roman" w:eastAsia="Times New Roman" w:hAnsi="Times New Roman"/>
          <w:sz w:val="24"/>
          <w:szCs w:val="24"/>
        </w:rPr>
        <w:t xml:space="preserve">Taleb, N. N., &amp; Douady, R. (2013). Mathematical definition, mapping, and detection of (anti)fragility. Quantitative Finance, 13(11), 1677-1689.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1F6B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2026-03-06T06:00:57.300Z</dcterms:created>
  <dcterms:modified xsi:type="dcterms:W3CDTF">2026-03-06T06:00:57.301Z</dcterms:modified>
</cp:coreProperties>
</file>

<file path=docProps/custom.xml><?xml version="1.0" encoding="utf-8"?>
<Properties xmlns="http://schemas.openxmlformats.org/officeDocument/2006/custom-properties" xmlns:vt="http://schemas.openxmlformats.org/officeDocument/2006/docPropsVTypes"/>
</file>