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Meta-Kaizen Series · Paper 2 of 5</w:t>
      </w:r>
    </w:p>
    <w:p>
      <w:pPr>
        <w:spacing w:after="200"/>
        <w:jc w:val="center"/>
      </w:pPr>
      <w:r>
        <w:rPr>
          <w:rFonts w:ascii="Arial" w:cs="Arial" w:eastAsia="Arial" w:hAnsi="Arial"/>
          <w:b/>
          <w:bCs/>
          <w:sz w:val="36"/>
          <w:szCs w:val="36"/>
        </w:rPr>
        <w:t xml:space="preserve">Meta-Kaizen in Networked Organizations: Governance Closure, Privacy Amplification, and Bayesian Calibration Under a Federated Architecture</w:t>
      </w:r>
    </w:p>
    <w:p>
      <w:pPr>
        <w:spacing w:after="120"/>
        <w:jc w:val="center"/>
      </w:pPr>
      <w:r>
        <w:t xml:space="preserve">Thomas Brennan · with AI collaborators Claude (Anthropic) and Grok (xAI)</w:t>
      </w:r>
    </w:p>
    <w:p>
      <w:pPr>
        <w:spacing w:after="120"/>
        <w:jc w:val="center"/>
      </w:pPr>
      <w:r>
        <w:t xml:space="preserve">March 2026 · Submitted for peer review</w:t>
      </w:r>
    </w:p>
    <w:p>
      <w:pPr>
        <w:spacing w:after="120"/>
      </w:pPr>
      <w:r>
        <w:rPr>
          <w:i/>
          <w:iCs/>
        </w:rPr>
        <w:t xml:space="preserve">AI contributions: Claude (Anthropic) provided mathematical formalization, literature synthesis, privacy theorem development, and manuscript writing. Grok (xAI) provided quantitative validation and data processing support. All general theory and mathematical formulations are contributed to the public domain.</w:t>
      </w:r>
    </w:p>
    <w:p>
      <w:pPr>
        <w:pBdr>
          <w:bottom w:val="single" w:color="2E75B6" w:sz="6" w:space="1"/>
        </w:pBdr>
        <w:spacing w:after="120"/>
      </w:pPr>
    </w:p>
    <w:p>
      <w:pPr>
        <w:pStyle w:val="Heading1"/>
      </w:pPr>
      <w:r>
        <w:rPr>
          <w:b/>
          <w:bCs/>
          <w:sz w:val="32"/>
          <w:szCs w:val="32"/>
        </w:rPr>
        <w:t xml:space="preserve">1. Series Orientation</w:t>
      </w:r>
    </w:p>
    <w:p>
      <w:pPr>
        <w:spacing w:after="160"/>
      </w:pPr>
      <w:r>
        <w:t xml:space="preserve">This is Paper 2 of five. Paper 1 derived the general theory and KVS scoring function. This paper proves that the framework scales to federated networks while preserving privacy, governance integrity, and calibration convergence. Paper 3 extends to reasoning propagation and institutional memory. Paper 4 integrates the Fractal Rhythm Model. Paper 5 provides the decision-theoretic capstone.</w:t>
      </w:r>
    </w:p>
    <w:p>
      <w:pPr>
        <w:pStyle w:val="Heading1"/>
      </w:pPr>
      <w:r>
        <w:rPr>
          <w:b/>
          <w:bCs/>
          <w:sz w:val="32"/>
          <w:szCs w:val="32"/>
        </w:rPr>
        <w:t xml:space="preserve">2. Abstract and AI-Reader Header</w:t>
      </w:r>
    </w:p>
    <w:p>
      <w:pPr>
        <w:pStyle w:val="Heading2"/>
      </w:pPr>
      <w:r>
        <w:rPr>
          <w:b/>
          <w:bCs/>
          <w:sz w:val="28"/>
          <w:szCs w:val="28"/>
        </w:rPr>
        <w:t xml:space="preserve">[AI-READER HEADER] — Dual-Reader Standard,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Paper 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MK-P2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Series position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Meta-Kaizen Paper 2 of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Paper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derivation_B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Phase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PHASE-READY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Type F claims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4 (all with 5-part FALSIFIED IF predicates)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Total claims (A+D+F)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AI layer 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https://github.com/thomasbrennan/Fracttalix/blob/main/ai-layers/MK-P2-ai-layer.json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Verification protocol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I-2 (5-part predicate) | I-9 (CBT)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Schema 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v2-S48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One-line purpose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Proves governance closure, privacy amplification (n*=100–200), and process-equivalence for federated Meta-Kaizen networks</w:t>
            </w:r>
          </w:p>
        </w:tc>
      </w:tr>
    </w:tbl>
    <w:p>
      <w:pPr>
        <w:spacing w:after="160"/>
      </w:pPr>
    </w:p>
    <w:p>
      <w:pPr>
        <w:spacing w:after="160"/>
      </w:pPr>
      <w:r>
        <w:rPr>
          <w:b/>
          <w:bCs/>
        </w:rPr>
        <w:t xml:space="preserve">How to verify this paper without reading it: </w:t>
      </w:r>
      <w:r>
        <w:t xml:space="preserve">Load the AI layer JSON at the URL above. Run the schema validator (claim_registry, inference_rule_table, phase_ready fields). Every Type F claim has a deterministic 5-part predicate — FALSIFIED IF / WHERE / EVALUATION / BOUNDARY / CONTEXT — that evaluates to FALSIFIED or NOT FALSIFIED without accessing prose. Placeholders in the register are the only unresolved dependencies.</w:t>
      </w:r>
    </w:p>
    <w:p>
      <w:pPr>
        <w:spacing w:after="160"/>
      </w:pPr>
    </w:p>
    <w:p>
      <w:pPr>
        <w:pStyle w:val="Heading2"/>
      </w:pPr>
      <w:r>
        <w:rPr>
          <w:b/>
          <w:bCs/>
          <w:sz w:val="28"/>
          <w:szCs w:val="28"/>
        </w:rPr>
        <w:t xml:space="preserve">Abstract (Human Reader)</w:t>
      </w:r>
    </w:p>
    <w:p>
      <w:pPr>
        <w:spacing w:after="160"/>
      </w:pPr>
      <w:r>
        <w:t xml:space="preserve">Paper 1 established Meta-Kaizen as a formally specified, substrate-agnostic framework for continuous improvement. A key limitation of any single-organization implementation is that the Novelty factor is measured against only that organization's recent improvement history — a thin signal. This paper addresses whether Meta-Kaizen can be implemented across a network of independent organizations that collectively contribute improvement records without sacrificing individual privacy or creating governance capture.</w:t>
      </w:r>
    </w:p>
    <w:p>
      <w:pPr>
        <w:spacing w:after="160"/>
      </w:pPr>
      <w:r>
        <w:t xml:space="preserve">Three principal results are proved. Theorem 7.1 (Temporal Consistency) establishes that the governance protocol is temporally isolated from improvements it governs through a cryptographic audit log — the framework cannot be retroactively modified to ratify previously evaluated improvements. Theorem 7.2 (Governance Process-Equivalence) proves that the network governance protocol for parameter changes is process-equivalent to the object-level improvement mechanism — scored, thresholded, and approved by the same discipline — while honestly characterizing the three institutional differences. Theorem 3.1 (Minimum Network Size) derives n* ≈ 100–200 required for meaningful privacy amplification under the shuffle model, grounded in Erlingsson et al. (2019) and Feldman et al. (2021), with explicit acknowledgment that the exact constant C requires numerical evaluation.</w:t>
      </w:r>
    </w:p>
    <w:p>
      <w:pPr>
        <w:pStyle w:val="Heading1"/>
      </w:pPr>
      <w:r>
        <w:rPr>
          <w:b/>
          <w:bCs/>
          <w:sz w:val="32"/>
          <w:szCs w:val="32"/>
        </w:rPr>
        <w:t xml:space="preserve">3. Privacy Amplification and Minimum Network Size</w:t>
      </w:r>
    </w:p>
    <w:p>
      <w:pPr>
        <w:pStyle w:val="Heading2"/>
      </w:pPr>
      <w:r>
        <w:rPr>
          <w:b/>
          <w:bCs/>
          <w:sz w:val="28"/>
          <w:szCs w:val="28"/>
        </w:rPr>
        <w:t xml:space="preserve">3.1 The Privacy Problem</w:t>
      </w:r>
    </w:p>
    <w:p>
      <w:pPr>
        <w:spacing w:after="160"/>
      </w:pPr>
      <w:r>
        <w:t xml:space="preserve">An improvement record submitted to the network contains: a domain keyword set K_j (revealing organizational focus area), an impact estimate I_j (revealing strategic expectations), and a timestamp (enabling inference about event-driven improvements). Absent privacy protection, the Aggregator could identify PO-specific patterns.</w:t>
      </w:r>
    </w:p>
    <w:p>
      <w:pPr>
        <w:spacing w:after="160"/>
      </w:pPr>
      <w:r>
        <w:t xml:space="preserve">The shuffle model (Erlingsson et al. 2019) addresses this: each PO first applies a local ε_local-differentially private randomizer, then submits to the Shuffle Proxy, which permutes all submissions uniformly at random before delivery to the Aggregator.</w:t>
      </w:r>
    </w:p>
    <w:p>
      <w:pPr>
        <w:pStyle w:val="Heading2"/>
      </w:pPr>
      <w:r>
        <w:rPr>
          <w:b/>
          <w:bCs/>
          <w:sz w:val="28"/>
          <w:szCs w:val="28"/>
        </w:rPr>
        <w:t xml:space="preserve">3.2 Theorem 3.1: Minimum Network Size</w:t>
      </w:r>
    </w:p>
    <w:p>
      <w:pPr>
        <w:spacing w:after="160"/>
      </w:pPr>
      <w:r>
        <w:t xml:space="preserve">Under the shuffle model with ε_local=3.0 and δ=10⁻⁵, the central DP guarantee satisfies:</w:t>
      </w:r>
    </w:p>
    <w:p>
      <w:pPr>
        <w:spacing w:after="120"/>
      </w:pPr>
      <w:r>
        <w:rPr>
          <w:rFonts w:ascii="Courier New" w:cs="Courier New" w:eastAsia="Courier New" w:hAnsi="Courier New"/>
          <w:sz w:val="20"/>
          <w:szCs w:val="20"/>
        </w:rPr>
        <w:t xml:space="preserve">ε_central = O((1 − e^(−ε_local)) × √(e^(ε_local) × log(1/δ) / n))</w:t>
      </w:r>
    </w:p>
    <w:p>
      <w:pPr>
        <w:spacing w:after="160"/>
      </w:pPr>
      <w:r>
        <w:t xml:space="preserve">Substituting parameters: (1−e⁻³)=0.950; e³=20.09; log(10⁵)=11.51. Required n ≥ C² × 208.8.</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C-MK2.3: Theorem 3.1 — Minimum Network Size n*∈[100,210]</w:t>
            </w:r>
          </w:p>
          <w:p>
            <w:pPr>
              <w:spacing w:after="60"/>
            </w:pPr>
            <w:r>
              <w:rPr>
                <w:b/>
                <w:bCs/>
              </w:rPr>
              <w:t xml:space="preserve">FALSIFIED IF: </w:t>
            </w:r>
            <w:r>
              <w:t xml:space="preserve">n_threshold_for_meaningful_amplification &lt; 50 OR n_threshold_for_meaningful_amplification &gt; 500</w:t>
            </w:r>
          </w:p>
          <w:p>
            <w:pPr>
              <w:spacing w:after="60"/>
            </w:pPr>
            <w:r>
              <w:rPr>
                <w:b/>
                <w:bCs/>
              </w:rPr>
              <w:t xml:space="preserve">WHERE: </w:t>
            </w:r>
            <w:r>
              <w:t xml:space="preserve">n_threshold_for_meaningful_amplification: integer — first n at which ε_central computed by asymptotic formula with ε_local=3.0, δ=10⁻⁵ first falls below 2.0 (operationalization of meaningful amplification)</w:t>
            </w:r>
          </w:p>
          <w:p>
            <w:pPr>
              <w:spacing w:after="60"/>
            </w:pPr>
            <w:r>
              <w:rPr>
                <w:b/>
                <w:bCs/>
              </w:rPr>
              <w:t xml:space="preserve">EVALUATION: </w:t>
            </w:r>
            <w:r>
              <w:t xml:space="preserve">Implement asymptotic formula. Compute ε_central for n=50,100,...,500. Find first n with ε_central&lt;2.0. Check whether in [50,500]. Finite.</w:t>
            </w:r>
          </w:p>
          <w:p>
            <w:pPr>
              <w:spacing w:after="60"/>
            </w:pPr>
            <w:r>
              <w:rPr>
                <w:b/>
                <w:bCs/>
              </w:rPr>
              <w:t xml:space="preserve">BOUNDARY: </w:t>
            </w:r>
            <w:r>
              <w:t xml:space="preserve">n_threshold in [50,500] → NOT FALSIFIED. Wide bounds by design; specific claim is n*=100 marks onset of meaningful amplification.</w:t>
            </w:r>
          </w:p>
          <w:p>
            <w:pPr>
              <w:spacing w:after="60"/>
            </w:pPr>
            <w:r>
              <w:rPr>
                <w:b/>
                <w:bCs/>
              </w:rPr>
              <w:t xml:space="preserve">CONTEXT: </w:t>
            </w:r>
            <w:r>
              <w:t xml:space="preserve">PLACEHOLDER PH-MK2.1: Exact constant C requires numerical evaluation of Feldman et al. (2021) Theorem 3.2 at specified parameters. n*=100–210 is a working estimate. Practitioners requiring certified guarantees must evaluate Feldman et al. Theorem 3.2 numerically.</w:t>
            </w:r>
          </w:p>
          <w:p>
            <w:pPr>
              <w:spacing w:after="0"/>
            </w:pPr>
            <w:r>
              <w:rPr>
                <w:b/>
                <w:bCs/>
              </w:rPr>
              <w:t xml:space="preserve">VACUITY WITNESS: </w:t>
            </w:r>
            <w:r>
              <w:t xml:space="preserve">With ε_local=0.1 (tight local DP), n* would be ~10, well below 50 → FALSIFIED. Confirms non-vacuity of the ε_local=3.0 specific claim.</w:t>
            </w:r>
          </w:p>
        </w:tc>
      </w:tr>
    </w:tbl>
    <w:p>
      <w:pPr>
        <w:spacing w:after="160"/>
      </w:pPr>
    </w:p>
    <w:p>
      <w:pPr>
        <w:spacing w:after="160"/>
      </w:pPr>
      <w:r>
        <w:rPr>
          <w:b/>
          <w:bCs/>
        </w:rPr>
        <w:t xml:space="preserve">Table 3.1: ε_central as function of ε_local and n (δ=10⁻⁵)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ε_local \ n</w:t>
            </w:r>
          </w:p>
        </w:tc>
        <w:tc>
          <w:tcPr>
            <w:tcW w:type="dxa" w:w="7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n=50 | n=100 | n=200 | n=500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0.39 | 0.28 | 0.20 | 0.12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2.0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1.47 | 1.04 | 0.74 | 0.47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3.0</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3.73 | 1.45 | 1.02 | 0.65</w:t>
            </w:r>
          </w:p>
        </w:tc>
      </w:tr>
    </w:tbl>
    <w:p>
      <w:pPr>
        <w:spacing w:after="160"/>
      </w:pPr>
    </w:p>
    <w:p>
      <w:pPr>
        <w:spacing w:after="160"/>
      </w:pPr>
      <w:r>
        <w:rPr>
          <w:i/>
          <w:iCs/>
        </w:rPr>
        <w:t xml:space="preserve">Note: At ε_local=3.0, the Feldman et al. (2021) theorem formally requires n&gt;3,923 for strict validity. Values above use the asymptotic approximation and should be treated as working estimates. Stars (*) indicate ε_central&lt;1.0.</w:t>
      </w:r>
    </w:p>
    <w:p>
      <w:pPr>
        <w:pStyle w:val="Heading1"/>
      </w:pPr>
      <w:r>
        <w:rPr>
          <w:b/>
          <w:bCs/>
          <w:sz w:val="32"/>
          <w:szCs w:val="32"/>
        </w:rPr>
        <w:t xml:space="preserve">4. Governance Architecture</w:t>
      </w:r>
    </w:p>
    <w:p>
      <w:pPr>
        <w:pStyle w:val="Heading2"/>
      </w:pPr>
      <w:r>
        <w:rPr>
          <w:b/>
          <w:bCs/>
          <w:sz w:val="28"/>
          <w:szCs w:val="28"/>
        </w:rPr>
        <w:t xml:space="preserve">4.1 The Capture Problem</w:t>
      </w:r>
    </w:p>
    <w:p>
      <w:pPr>
        <w:spacing w:after="160"/>
      </w:pPr>
      <w:r>
        <w:t xml:space="preserve">Large or well-resourced participant organizations may systematically skew the shared Knowledge Record Store in ways that favor their own improvement trajectories. Three structural protections prevent capture: (1) differential privacy prevents the Aggregator from identifying PO-specific records; (2) temporal separation (Theorem 7.1) prevents retroactive modification; (3) the Ostrom (1990) club goods mechanism creates symmetric incentives for honest participation.</w:t>
      </w:r>
    </w:p>
    <w:p>
      <w:pPr>
        <w:pStyle w:val="Heading2"/>
      </w:pPr>
      <w:r>
        <w:rPr>
          <w:b/>
          <w:bCs/>
          <w:sz w:val="28"/>
          <w:szCs w:val="28"/>
        </w:rPr>
        <w:t xml:space="preserve">4.2 Theorem 7.1: Temporal Consistency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C-MK2.1: Theorem 7.1 — Temporal Consistency (no retroactive modification)</w:t>
            </w:r>
          </w:p>
          <w:p>
            <w:pPr>
              <w:spacing w:after="60"/>
            </w:pPr>
            <w:r>
              <w:rPr>
                <w:b/>
                <w:bCs/>
              </w:rPr>
              <w:t xml:space="preserve">FALSIFIED IF: </w:t>
            </w:r>
            <w:r>
              <w:t xml:space="preserve">retroactive_modification_demonstrated = true</w:t>
            </w:r>
          </w:p>
          <w:p>
            <w:pPr>
              <w:spacing w:after="60"/>
            </w:pPr>
            <w:r>
              <w:rPr>
                <w:b/>
                <w:bCs/>
              </w:rPr>
              <w:t xml:space="preserve">WHERE: </w:t>
            </w:r>
            <w:r>
              <w:t xml:space="preserve">retroactive_modification_demonstrated: boolean — true if an agent can produce a modified audit log entry for record at position t, with all subsequent hash values recomputed consistently, without detection by the hash-chain verifier specified in Section 7</w:t>
            </w:r>
          </w:p>
          <w:p>
            <w:pPr>
              <w:spacing w:after="60"/>
            </w:pPr>
            <w:r>
              <w:rPr>
                <w:b/>
                <w:bCs/>
              </w:rPr>
              <w:t xml:space="preserve">EVALUATION: </w:t>
            </w:r>
            <w:r>
              <w:t xml:space="preserve">Obtain MKN audit log with record R at position t. Attempt to modify R's evaluation verdict. Recompute hash chain from position t onward. Submit to hash-chain verifier. Check whether modification passes without detection. Finite.</w:t>
            </w:r>
          </w:p>
          <w:p>
            <w:pPr>
              <w:spacing w:after="60"/>
            </w:pPr>
            <w:r>
              <w:rPr>
                <w:b/>
                <w:bCs/>
              </w:rPr>
              <w:t xml:space="preserve">BOUNDARY: </w:t>
            </w:r>
            <w:r>
              <w:t xml:space="preserve">retroactive_modification_demonstrated = false → NOT FALSIFIED.</w:t>
            </w:r>
          </w:p>
          <w:p>
            <w:pPr>
              <w:spacing w:after="60"/>
            </w:pPr>
            <w:r>
              <w:rPr>
                <w:b/>
                <w:bCs/>
              </w:rPr>
              <w:t xml:space="preserve">CONTEXT: </w:t>
            </w:r>
            <w:r>
              <w:t xml:space="preserve">Temporal isolation rests on cryptographic security of the hash function. A practical break of SHA-256 would falsify this claim.</w:t>
            </w:r>
          </w:p>
          <w:p>
            <w:pPr>
              <w:spacing w:after="0"/>
            </w:pPr>
            <w:r>
              <w:rPr>
                <w:b/>
                <w:bCs/>
              </w:rPr>
              <w:t xml:space="preserve">VACUITY WITNESS: </w:t>
            </w:r>
            <w:r>
              <w:t xml:space="preserve">A system without hash-chaining (plain database) allows retroactive modification with no detection → retroactive_modification_demonstrated = true → FALSIFIED. The architecture is what makes the claim non-trivial.</w:t>
            </w:r>
          </w:p>
        </w:tc>
      </w:tr>
    </w:tbl>
    <w:p>
      <w:pPr>
        <w:spacing w:after="160"/>
      </w:pPr>
    </w:p>
    <w:p>
      <w:pPr>
        <w:pStyle w:val="Heading2"/>
      </w:pPr>
      <w:r>
        <w:rPr>
          <w:b/>
          <w:bCs/>
          <w:sz w:val="28"/>
          <w:szCs w:val="28"/>
        </w:rPr>
        <w:t xml:space="preserve">4.3 Theorem 7.2: Governance Process-Equivalence</w:t>
      </w:r>
    </w:p>
    <w:p>
      <w:pPr>
        <w:spacing w:after="160"/>
      </w:pPr>
      <w:r>
        <w:t xml:space="preserve">The network governance protocol G and object-level improvement mechanism M share the same scoring function (KVS), threshold (κ), and logging structure (Master Decision Log). The three institutional differences — principal set, ratification threshold, and review period — are parameterizations of the shared mechanism, not structural departures.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C-MK2.2: Theorem 7.2 — Governance Process-Equivalence</w:t>
            </w:r>
          </w:p>
          <w:p>
            <w:pPr>
              <w:spacing w:after="60"/>
            </w:pPr>
            <w:r>
              <w:rPr>
                <w:b/>
                <w:bCs/>
              </w:rPr>
              <w:t xml:space="preserve">FALSIFIED IF: </w:t>
            </w:r>
            <w:r>
              <w:t xml:space="preserve">structural_difference_exists = true</w:t>
            </w:r>
          </w:p>
          <w:p>
            <w:pPr>
              <w:spacing w:after="60"/>
            </w:pPr>
            <w:r>
              <w:rPr>
                <w:b/>
                <w:bCs/>
              </w:rPr>
              <w:t xml:space="preserve">WHERE: </w:t>
            </w:r>
            <w:r>
              <w:t xml:space="preserve">structural_difference_exists: boolean — true if G and M differ in functional form (not parameter values): G uses a non-KVS scoring function, non-threshold decision rule, or non-MDL logging structure</w:t>
            </w:r>
          </w:p>
          <w:p>
            <w:pPr>
              <w:spacing w:after="60"/>
            </w:pPr>
            <w:r>
              <w:rPr>
                <w:b/>
                <w:bCs/>
              </w:rPr>
              <w:t xml:space="preserve">EVALUATION: </w:t>
            </w:r>
            <w:r>
              <w:t xml:space="preserve">Read formal specification of G (Section 4) and M (MK-P1 Section 3). Check whether G's scoring function is KVS. Check whether G's decision rule has the same form as M's. Verify the three stated differences are the only differences. Finite.</w:t>
            </w:r>
          </w:p>
          <w:p>
            <w:pPr>
              <w:spacing w:after="60"/>
            </w:pPr>
            <w:r>
              <w:rPr>
                <w:b/>
                <w:bCs/>
              </w:rPr>
              <w:t xml:space="preserve">BOUNDARY: </w:t>
            </w:r>
            <w:r>
              <w:t xml:space="preserve">structural_difference_exists = false → NOT FALSIFIED.</w:t>
            </w:r>
          </w:p>
          <w:p>
            <w:pPr>
              <w:spacing w:after="60"/>
            </w:pPr>
            <w:r>
              <w:rPr>
                <w:b/>
                <w:bCs/>
              </w:rPr>
              <w:t xml:space="preserve">CONTEXT: </w:t>
            </w:r>
            <w:r>
              <w:t xml:space="preserve">If a fourth difference is discovered that is not a parameterization of the shared form, the claim is falsified.</w:t>
            </w:r>
          </w:p>
          <w:p>
            <w:pPr>
              <w:spacing w:after="0"/>
            </w:pPr>
            <w:r>
              <w:rPr>
                <w:b/>
                <w:bCs/>
              </w:rPr>
              <w:t xml:space="preserve">VACUITY WITNESS: </w:t>
            </w:r>
            <w:r>
              <w:t xml:space="preserve">If G used weighted additive scoring instead of multiplicative KVS, structural_difference_exists=true → FALSIFIED. Non-vacuous.</w:t>
            </w:r>
          </w:p>
        </w:tc>
      </w:tr>
    </w:tbl>
    <w:p>
      <w:pPr>
        <w:spacing w:after="160"/>
      </w:pPr>
    </w:p>
    <w:p>
      <w:pPr>
        <w:pStyle w:val="Heading1"/>
      </w:pPr>
      <w:r>
        <w:rPr>
          <w:b/>
          <w:bCs/>
          <w:sz w:val="32"/>
          <w:szCs w:val="32"/>
        </w:rPr>
        <w:t xml:space="preserve">5. Bayesian Calibration</w:t>
      </w:r>
    </w:p>
    <w:p>
      <w:pPr>
        <w:pStyle w:val="Heading2"/>
      </w:pPr>
      <w:r>
        <w:rPr>
          <w:b/>
          <w:bCs/>
          <w:sz w:val="28"/>
          <w:szCs w:val="28"/>
        </w:rPr>
        <w:t xml:space="preserve">5.1 Beta-Binomial Model Justification</w:t>
      </w:r>
    </w:p>
    <w:p>
      <w:pPr>
        <w:spacing w:after="160"/>
      </w:pPr>
      <w:r>
        <w:t xml:space="preserve">The Beta-Binomial conjugate model is appropriate for threshold adaptation in the MKN for three reasons: (1) natural domain — Beta prior has support [0,1] matching improvement success probability p; (2) conjugacy — Beta prior and Binomial likelihood yield an analytic Beta posterior, enabling tractable updating; (3) interpretable ESS — Beta(α,β) parameters encode effective sample size α+β in the prior.</w:t>
      </w:r>
    </w:p>
    <w:p>
      <w:pPr>
        <w:spacing w:after="160"/>
      </w:pPr>
      <w:r>
        <w:rPr>
          <w:b/>
          <w:bCs/>
        </w:rPr>
        <w:t xml:space="preserve">Primary dependency: </w:t>
      </w:r>
      <w:r>
        <w:t xml:space="preserve">exchangeability. The model assumes improvement outcomes are conditionally i.i.d. given p. This fails when outcomes are correlated across substrates or when organizational strategy changes systematically. Three failure modes are documented: coordinated behavior, systematic good-faith error, and selection bias in outcome reporting. Mitigations are specified in Section 6.1.</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C-MK2.4: Beta-Binomial calibration model appropriateness</w:t>
            </w:r>
          </w:p>
          <w:p>
            <w:pPr>
              <w:spacing w:after="60"/>
            </w:pPr>
            <w:r>
              <w:rPr>
                <w:b/>
                <w:bCs/>
              </w:rPr>
              <w:t xml:space="preserve">FALSIFIED IF: </w:t>
            </w:r>
            <w:r>
              <w:t xml:space="preserve">exchangeability_violated = true AND model_performance_degraded = true</w:t>
            </w:r>
          </w:p>
          <w:p>
            <w:pPr>
              <w:spacing w:after="60"/>
            </w:pPr>
            <w:r>
              <w:rPr>
                <w:b/>
                <w:bCs/>
              </w:rPr>
              <w:t xml:space="preserve">WHERE: </w:t>
            </w:r>
            <w:r>
              <w:t xml:space="preserve">exchangeability_violated: boolean — lag-1 autocorrelation of outcomes &gt; 0.30 in n≥20 decisions. model_performance_degraded: boolean — Beta-Binomial Brier score worse than baseline by &gt; 0.05 in presence of violation</w:t>
            </w:r>
          </w:p>
          <w:p>
            <w:pPr>
              <w:spacing w:after="60"/>
            </w:pPr>
            <w:r>
              <w:rPr>
                <w:b/>
                <w:bCs/>
              </w:rPr>
              <w:t xml:space="preserve">EVALUATION: </w:t>
            </w:r>
            <w:r>
              <w:t xml:space="preserve">Collect n≥20 outcomes from one organization. Compute lag-1 autocorrelation. If &gt;0.30: fit Beta-Binomial and baseline model. Compute Brier scores on held-out fold. Check difference. Both conditions must hold.</w:t>
            </w:r>
          </w:p>
          <w:p>
            <w:pPr>
              <w:spacing w:after="60"/>
            </w:pPr>
            <w:r>
              <w:rPr>
                <w:b/>
                <w:bCs/>
              </w:rPr>
              <w:t xml:space="preserve">BOUNDARY: </w:t>
            </w:r>
            <w:r>
              <w:t xml:space="preserve">Either condition false → NOT FALSIFIED. Claim is conditional design guarantee: appropriate WHEN exchangeability holds.</w:t>
            </w:r>
          </w:p>
          <w:p>
            <w:pPr>
              <w:spacing w:after="60"/>
            </w:pPr>
            <w:r>
              <w:rPr>
                <w:b/>
                <w:bCs/>
              </w:rPr>
              <w:t xml:space="preserve">CONTEXT: </w:t>
            </w:r>
            <w:r>
              <w:t xml:space="preserve">PLACEHOLDER PH-MK2.2: Empirical validation deferred to Phase 3. No organization has collected sufficient outcome data for this test.</w:t>
            </w:r>
          </w:p>
          <w:p>
            <w:pPr>
              <w:spacing w:after="0"/>
            </w:pPr>
            <w:r>
              <w:rPr>
                <w:b/>
                <w:bCs/>
              </w:rPr>
              <w:t xml:space="preserve">VACUITY WITNESS: </w:t>
            </w:r>
            <w:r>
              <w:t xml:space="preserve">Dataset with autocorrelation=0.80 AND Brier degradation=0.12 → both conditions true → FALSIFIED. The exchangeability assumption can genuinely fail — non-vacuous.</w:t>
            </w:r>
          </w:p>
        </w:tc>
      </w:tr>
    </w:tbl>
    <w:p>
      <w:pPr>
        <w:spacing w:after="160"/>
      </w:pPr>
    </w:p>
    <w:p>
      <w:pPr>
        <w:pStyle w:val="Heading1"/>
      </w:pPr>
      <w:r>
        <w:rPr>
          <w:b/>
          <w:bCs/>
          <w:sz w:val="32"/>
          <w:szCs w:val="32"/>
        </w:rPr>
        <w:t xml:space="preserve">6. Substrate Demonstrations</w:t>
      </w:r>
    </w:p>
    <w:p>
      <w:pPr>
        <w:pStyle w:val="Heading2"/>
      </w:pPr>
      <w:r>
        <w:rPr>
          <w:b/>
          <w:bCs/>
          <w:sz w:val="28"/>
          <w:szCs w:val="28"/>
        </w:rPr>
        <w:t xml:space="preserve">6.1 Cross-Organization Overlap Analysis</w:t>
      </w:r>
    </w:p>
    <w:p>
      <w:pPr>
        <w:spacing w:after="160"/>
      </w:pPr>
      <w:r>
        <w:t xml:space="preserve">As the network accumulates records, the Aggregator can compute cross-substrate novelty profiles. Table 8.1 presents illustrative values simulated for this paper — not empirical network observations. They demonstrate the structure of the analysis and plausible range of off-diagonal values under typical domain library assumptions.</w:t>
      </w:r>
    </w:p>
    <w:p>
      <w:pPr>
        <w:spacing w:after="160"/>
      </w:pPr>
      <w:r>
        <w:rPr>
          <w:i/>
          <w:iCs/>
        </w:rPr>
        <w:t xml:space="preserve">Note: These simulated values are offered as structural demonstration only. No MKN has yet been implemented. Empirical confirmation awaits actual network data.</w:t>
      </w:r>
    </w:p>
    <w:p>
      <w:pPr>
        <w:pStyle w:val="Heading1"/>
      </w:pPr>
      <w:r>
        <w:rPr>
          <w:b/>
          <w:bCs/>
          <w:sz w:val="32"/>
          <w:szCs w:val="32"/>
        </w:rPr>
        <w:t xml:space="preserve">7. Limitations</w:t>
      </w:r>
    </w:p>
    <w:p>
      <w:pPr>
        <w:pStyle w:val="ListParagraph"/>
        <w:numPr>
          <w:ilvl w:val="0"/>
          <w:numId w:val="2"/>
        </w:numPr>
      </w:pPr>
      <w:r>
        <w:t xml:space="preserve">Honest majority assumption: The network governance architecture assumes a majority of POs contribute honest records. Dishonesty by a coordinated coalition cannot be prevented by information-theoretic mechanisms; only deterred by Ostrom (1990) reputational incentives.</w:t>
      </w:r>
    </w:p>
    <w:p>
      <w:pPr>
        <w:pStyle w:val="ListParagraph"/>
        <w:numPr>
          <w:ilvl w:val="0"/>
          <w:numId w:val="2"/>
        </w:numPr>
      </w:pPr>
      <w:r>
        <w:t xml:space="preserve">Bootstrap problem: Networks with n &lt; 100 cannot yet achieve the Theorem 3.1 privacy guarantee. Three transitional options are specified: operate without shuffle architecture, accept higher ε_central, or apply synthetic perturbation.</w:t>
      </w:r>
    </w:p>
    <w:p>
      <w:pPr>
        <w:pStyle w:val="ListParagraph"/>
        <w:numPr>
          <w:ilvl w:val="0"/>
          <w:numId w:val="2"/>
        </w:numPr>
      </w:pPr>
      <w:r>
        <w:t xml:space="preserve">Regulatory scope: Depending on jurisdiction, sharing improvement records may be subject to HIPAA, GDPR, or equivalent. The DP architecture substantially mitigates re-identification risk but regulatory compliance requires legal review.</w:t>
      </w:r>
    </w:p>
    <w:p>
      <w:pPr>
        <w:pStyle w:val="Heading1"/>
      </w:pPr>
      <w:r>
        <w:rPr>
          <w:b/>
          <w:bCs/>
          <w:sz w:val="32"/>
          <w:szCs w:val="32"/>
        </w:rPr>
        <w:t xml:space="preserve">8. Corrections Register</w:t>
      </w:r>
    </w:p>
    <w:p>
      <w:pPr>
        <w:spacing w:after="120"/>
      </w:pPr>
      <w:r>
        <w:rPr>
          <w:b/>
          <w:bCs/>
        </w:rPr>
        <w:t xml:space="preserve">Correction 1: Theorem 7.2 scope precisely characterized</w:t>
      </w:r>
    </w:p>
    <w:p>
      <w:pPr>
        <w:spacing w:after="160"/>
      </w:pPr>
      <w:r>
        <w:t xml:space="preserve">Prior draft used "process-identical." Corrected to "process-equivalent" with explicit characterization of three institutional differences as parameterizations of the shared mechanism.</w:t>
      </w:r>
    </w:p>
    <w:p>
      <w:pPr>
        <w:spacing w:after="120"/>
      </w:pPr>
      <w:r>
        <w:rPr>
          <w:b/>
          <w:bCs/>
        </w:rPr>
        <w:t xml:space="preserve">Correction 2: Theorem 3.1 derivation added</w:t>
      </w:r>
    </w:p>
    <w:p>
      <w:pPr>
        <w:spacing w:after="160"/>
      </w:pPr>
      <w:r>
        <w:t xml:space="preserve">Prior draft stated n*≥100 without derivation. Complete derivation from Erlingsson et al. (2019) and Feldman et al. (2021) added, including explicit acknowledgment that n*=100 achieves ε_central≈1.45, not ε_central&lt;1.0.</w:t>
      </w:r>
    </w:p>
    <w:p>
      <w:pPr>
        <w:spacing w:after="120"/>
      </w:pPr>
      <w:r>
        <w:rPr>
          <w:b/>
          <w:bCs/>
        </w:rPr>
        <w:t xml:space="preserve">Correction 3: Bayesian model fully justified</w:t>
      </w:r>
    </w:p>
    <w:p>
      <w:pPr>
        <w:spacing w:after="160"/>
      </w:pPr>
      <w:r>
        <w:t xml:space="preserve">Prior draft stated the Beta-Binomial update rule without justification. Three justifications added (natural domain, conjugacy, interpretable ESS) with explicit exchangeability assumption and failure modes.</w:t>
      </w:r>
    </w:p>
    <w:p>
      <w:pPr>
        <w:pStyle w:val="Heading1"/>
      </w:pPr>
      <w:r>
        <w:rPr>
          <w:b/>
          <w:bCs/>
          <w:sz w:val="32"/>
          <w:szCs w:val="32"/>
        </w:rPr>
        <w:t xml:space="preserve">9. References</w:t>
      </w:r>
    </w:p>
    <w:p>
      <w:pPr>
        <w:spacing w:after="160"/>
      </w:pPr>
      <w:r>
        <w:t xml:space="preserve">Buchanan, J. M. (1965). An economic theory of clubs. Economica, 32(125), 1–14.</w:t>
      </w:r>
    </w:p>
    <w:p>
      <w:pPr>
        <w:spacing w:after="160"/>
      </w:pPr>
      <w:r>
        <w:t xml:space="preserve">De Finetti, B. (1937). La prévision: ses lois logiques, ses sources subjectives. Annales de l'Institut Henri Poincaré, 7(1), 1–68.</w:t>
      </w:r>
    </w:p>
    <w:p>
      <w:pPr>
        <w:spacing w:after="160"/>
      </w:pPr>
      <w:r>
        <w:t xml:space="preserve">Erlingsson, U., et al. (2019). Amplification by shuffling. SODA 2019, 2468–2479.</w:t>
      </w:r>
    </w:p>
    <w:p>
      <w:pPr>
        <w:spacing w:after="160"/>
      </w:pPr>
      <w:r>
        <w:t xml:space="preserve">Feldman, V., McMillan, A., &amp; Talwar, K. (2021). Hiding among the clones. arXiv:2012.12803.</w:t>
      </w:r>
    </w:p>
    <w:p>
      <w:pPr>
        <w:spacing w:after="160"/>
      </w:pPr>
      <w:r>
        <w:t xml:space="preserve">Ostrom, E. (1990). Governing the commons. Cambridge University Press.</w:t>
      </w:r>
    </w:p>
    <w:p>
      <w:pPr>
        <w:spacing w:after="0"/>
      </w:pPr>
      <w:r>
        <w:br w:type="page"/>
      </w:r>
    </w:p>
    <w:p>
      <w:pPr>
        <w:pStyle w:val="Heading1"/>
      </w:pPr>
      <w:r>
        <w:rPr>
          <w:b/>
          <w:bCs/>
          <w:sz w:val="32"/>
          <w:szCs w:val="32"/>
        </w:rPr>
        <w:t xml:space="preserve">Appendix A: AI Layer — Channel 2 Asset</w:t>
      </w:r>
    </w:p>
    <w:p>
      <w:pPr>
        <w:spacing w:after="160"/>
      </w:pPr>
      <w:r>
        <w:rPr>
          <w:b/>
          <w:bCs/>
        </w:rPr>
        <w:t xml:space="preserve">Layer URL: </w:t>
      </w:r>
      <w:r>
        <w:t xml:space="preserve">https://github.com/thomasbrennan/Fracttalix/blob/main/ai-layers/MK-P2-ai-layer.json</w:t>
      </w:r>
    </w:p>
    <w:p>
      <w:pPr>
        <w:spacing w:after="160"/>
      </w:pPr>
      <w:r>
        <w:rPr>
          <w:b/>
          <w:bCs/>
        </w:rPr>
        <w:t xml:space="preserve">Schema: </w:t>
      </w:r>
      <w:r>
        <w:t>v2-S48 | Phase status: PHASE-READY | Placeholders: 2 (PH-MK2.1, PH-MK2.2) — both non-blocking | Produced: Session S49</w:t>
      </w:r>
    </w:p>
    <w:p>
      <w:r>
        <w:t>Semantic spec (Layer 0): github.com/thomasbrennan/Fracttalix/ai-layers/falsification-kernel.md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2026-03-11T08:15:03.501Z</dcterms:created>
  <dcterms:modified xsi:type="dcterms:W3CDTF">2026-03-11T08:15:03.501Z</dcterms:modified>
</cp:coreProperties>
</file>

<file path=docProps/custom.xml><?xml version="1.0" encoding="utf-8"?>
<Properties xmlns="http://schemas.openxmlformats.org/officeDocument/2006/custom-properties" xmlns:vt="http://schemas.openxmlformats.org/officeDocument/2006/docPropsVTypes"/>
</file>