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60"/>
        <w:jc w:val="center"/>
      </w:pPr>
      <w:r>
        <w:rPr>
          <w:rFonts w:ascii="Arial" w:cs="Arial" w:eastAsia="Arial" w:hAnsi="Arial"/>
          <w:b/>
          <w:bCs/>
          <w:color w:val="1F4E79"/>
          <w:sz w:val="72"/>
          <w:szCs w:val="72"/>
        </w:rPr>
        <w:t xml:space="preserve">META-KAIZEN</w:t>
      </w:r>
    </w:p>
    <w:p>
      <w:pPr>
        <w:spacing w:before="0" w:after="200"/>
        <w:jc w:val="center"/>
      </w:pPr>
      <w:r>
        <w:rPr>
          <w:rFonts w:ascii="Arial" w:cs="Arial" w:eastAsia="Arial" w:hAnsi="Arial"/>
          <w:i/>
          <w:iCs/>
          <w:color w:val="2E74B5"/>
          <w:sz w:val="32"/>
          <w:szCs w:val="32"/>
        </w:rPr>
        <w:t xml:space="preserve">A Rigorous, Multiplicative Framework for Self-Evolving Investment Governance</w:t>
      </w:r>
    </w:p>
    <w:p>
      <w:pPr>
        <w:pBdr>
          <w:bottom w:val="single" w:color="1F4E79" w:sz="6" w:space="8"/>
        </w:pBdr>
        <w:spacing w:before="0" w:after="240"/>
        <w:jc w:val="center"/>
      </w:pPr>
      <w:r>
        <w:t xml:space="preserve"/>
      </w:r>
    </w:p>
    <w:p>
      <w:pPr>
        <w:spacing w:before="200" w:after="60"/>
        <w:jc w:val="center"/>
      </w:pPr>
      <w:r>
        <w:rPr>
          <w:rFonts w:ascii="Arial" w:cs="Arial" w:eastAsia="Arial" w:hAnsi="Arial"/>
          <w:b/>
          <w:bCs/>
          <w:sz w:val="28"/>
          <w:szCs w:val="28"/>
        </w:rPr>
        <w:t xml:space="preserve">Tom Brennan¹  and  Sophia Entwood²</w:t>
      </w:r>
    </w:p>
    <w:p>
      <w:pPr>
        <w:spacing w:before="0" w:after="60"/>
        <w:jc w:val="center"/>
      </w:pPr>
      <w:r>
        <w:rPr>
          <w:rFonts w:ascii="Arial" w:cs="Arial" w:eastAsia="Arial" w:hAnsi="Arial"/>
          <w:i/>
          <w:iCs/>
          <w:color w:val="555555"/>
          <w:sz w:val="22"/>
          <w:szCs w:val="22"/>
        </w:rPr>
        <w:t xml:space="preserve">¹ Principal, Entwood Long-Term Fund</w:t>
      </w:r>
    </w:p>
    <w:p>
      <w:pPr>
        <w:spacing w:before="0" w:after="60"/>
        <w:jc w:val="center"/>
      </w:pPr>
      <w:r>
        <w:rPr>
          <w:rFonts w:ascii="Arial" w:cs="Arial" w:eastAsia="Arial" w:hAnsi="Arial"/>
          <w:i/>
          <w:iCs/>
          <w:color w:val="555555"/>
          <w:sz w:val="22"/>
          <w:szCs w:val="22"/>
        </w:rPr>
        <w:t xml:space="preserve">² Fund Administrator, Entwood Long-Term Fund</w:t>
      </w:r>
    </w:p>
    <w:p>
      <w:pPr>
        <w:spacing w:before="0" w:after="400"/>
        <w:jc w:val="center"/>
      </w:pPr>
      <w:r>
        <w:rPr>
          <w:rFonts w:ascii="Arial" w:cs="Arial" w:eastAsia="Arial" w:hAnsi="Arial"/>
          <w:color w:val="555555"/>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6E4F0" w:val="clear"/>
            <w:tcMar>
              <w:top w:type="dxa" w:w="200"/>
              <w:left w:type="dxa" w:w="280"/>
              <w:bottom w:type="dxa" w:w="200"/>
              <w:right w:type="dxa" w:w="280"/>
            </w:tcMar>
          </w:tcPr>
          <w:p>
            <w:pPr>
              <w:spacing w:before="0" w:after="80"/>
            </w:pPr>
            <w:r>
              <w:rPr>
                <w:rFonts w:ascii="Arial" w:cs="Arial" w:eastAsia="Arial" w:hAnsi="Arial"/>
                <w:b/>
                <w:bCs/>
                <w:color w:val="1F4E79"/>
                <w:sz w:val="24"/>
                <w:szCs w:val="24"/>
              </w:rPr>
              <w:t xml:space="preserve">ABSTRACT</w:t>
            </w:r>
          </w:p>
          <w:p>
            <w:pPr>
              <w:spacing w:before="0" w:after="80"/>
            </w:pPr>
            <w:r>
              <w:rPr>
                <w:rFonts w:ascii="Arial" w:cs="Arial" w:eastAsia="Arial" w:hAnsi="Arial"/>
                <w:sz w:val="21"/>
                <w:szCs w:val="21"/>
              </w:rPr>
              <w:t xml:space="preserve">Traditional Kaizen methods excel at incremental process improvement but lack mechanisms for self-evolution or systematic incorporation of orthogonal inspiration. This paper introduces Meta-Kaizen: a rigorously specified, multiplicative scoring algorithm that enables continuous, novelty-driven refinement of governance frameworks such as investment policy statements (IPS). We correct three fundamental flaws present in the original formulation: (1) the Kaizen Variation Score (KVS) is fully re-specified with all factors normalized to [0, 1] and units made explicit; (2) the Monte Carlo validation is restructured against a genuinely independent ground-truth that does not share algebraic form with KVS; and (3) real-world performance claims are bounded by explicit uncertainty intervals and separated from in-sample simulation estimates. The corrected algorithm combines Novelty, normalized Impact, inverse Complexity, and Timeliness into a single, bounded priority score. A transparent simulation of 10,000 hypothetical ideas against the independent ground-truth yields r = 0.847 (95 % CI: 0.841–0.852), top-5 % recall of 61 %, and a precision of 64 %—modest but honest figures that reflect genuine ranking difficulty. Applied to the Entwood Long-Term Fund IPS across seven iterative micro-adjustments, the system produced estimated annualized return improvements in the range of 1.4–2.1 percentage points under explicit assumptions, with acknowledged survivorship and selection caveats. The approach offers a practical, reproducible method for long-term vehicles to remain antifragile amid accelerating technological and economic regimes.</w:t>
            </w:r>
          </w:p>
          <w:p>
            <w:pPr>
              <w:spacing w:before="40" w:after="0"/>
            </w:pPr>
            <w:r>
              <w:rPr>
                <w:rFonts w:ascii="Arial" w:cs="Arial" w:eastAsia="Arial" w:hAnsi="Arial"/>
                <w:b/>
                <w:bCs/>
                <w:sz w:val="21"/>
                <w:szCs w:val="21"/>
              </w:rPr>
              <w:t xml:space="preserve">Keywords: </w:t>
            </w:r>
            <w:r>
              <w:rPr>
                <w:rFonts w:ascii="Arial" w:cs="Arial" w:eastAsia="Arial" w:hAnsi="Arial"/>
                <w:i/>
                <w:iCs/>
                <w:sz w:val="21"/>
                <w:szCs w:val="21"/>
              </w:rPr>
              <w:t xml:space="preserve">Kaizen • self-evolving governance • investment policy statement • multiplicative scoring • orthogonal inspiration • novelty scoring • Monte Carlo validation • long-term compounding • antifragility</w:t>
            </w:r>
          </w:p>
        </w:tc>
      </w:tr>
    </w:tbl>
    <w:p>
      <w:pPr>
        <w:spacing w:before="0" w:after="0"/>
      </w:pPr>
      <w:r>
        <w:t xml:space="preserve"/>
      </w:r>
    </w:p>
    <w:p>
      <w:pPr>
        <w:spacing w:before="60" w:after="60"/>
        <w:ind w:left="720"/>
      </w:pPr>
      <w:r>
        <w:rPr>
          <w:rFonts w:ascii="Arial" w:cs="Arial" w:eastAsia="Arial" w:hAnsi="Arial"/>
          <w:i/>
          <w:iCs/>
          <w:color w:val="555555"/>
          <w:sz w:val="20"/>
          <w:szCs w:val="20"/>
        </w:rPr>
        <w:t xml:space="preserve">Conflict of Interest: Both authors are principals of the Entwood Long-Term Fund. All IPS changes described herein were subject to principal veto and are documented in the Fund's Master Decision Log. Readers should treat all performance estimates as illustrative projections rather than audited results.</w:t>
      </w:r>
    </w:p>
    <w:p>
      <w:pPr>
        <w:spacing w:before="0" w:after="0"/>
      </w:pPr>
      <w:r>
        <w:t xml:space="preserve"/>
      </w:r>
    </w:p>
    <w:p>
      <w:r>
        <w:br w:type="page"/>
      </w:r>
    </w:p>
    <w:p>
      <w:pPr>
        <w:pStyle w:val="Heading1"/>
        <w:spacing w:before="360" w:after="120"/>
      </w:pPr>
      <w:r>
        <w:rPr>
          <w:rFonts w:ascii="Arial" w:cs="Arial" w:eastAsia="Arial" w:hAnsi="Arial"/>
          <w:b/>
          <w:bCs/>
          <w:color w:val="1F4E79"/>
          <w:sz w:val="36"/>
          <w:szCs w:val="36"/>
        </w:rPr>
        <w:t xml:space="preserve">1. Introduction</w:t>
      </w:r>
    </w:p>
    <w:p>
      <w:pPr>
        <w:spacing w:before="80" w:after="120"/>
      </w:pPr>
      <w:r>
        <w:rPr>
          <w:rFonts w:ascii="Arial" w:cs="Arial" w:eastAsia="Arial" w:hAnsi="Arial"/>
          <w:sz w:val="22"/>
          <w:szCs w:val="22"/>
        </w:rPr>
        <w:t xml:space="preserve">Investment policy statements (IPS) serve as the constitutional documents of long-term wealth vehicles, defining risk tolerance, return objectives, asset allocation, and governance procedures. Once drafted, they are infrequently revisited with the same analytical rigour applied to portfolio construction. This creates latent brittleness: as economic regimes, technologies, and capital-expenditure cycles evolve, a static IPS risks progressive misalignment.</w:t>
      </w:r>
    </w:p>
    <w:p>
      <w:pPr>
        <w:spacing w:before="80" w:after="120"/>
      </w:pPr>
      <w:r>
        <w:rPr>
          <w:rFonts w:ascii="Arial" w:cs="Arial" w:eastAsia="Arial" w:hAnsi="Arial"/>
          <w:sz w:val="22"/>
          <w:szCs w:val="22"/>
        </w:rPr>
        <w:t xml:space="preserve">We address this by extending Kaizen—the philosophy of continuous, incremental improvement—to the IPS itself. The result is Meta-Kaizen: a mathematical self-improvement loop that deliberately draws inspiration from orthogonal domains while enforcing novelty, bounded impact, low complexity, and strict timeliness. Unlike prior treatments, every term in our scoring formula carries explicit units and is properly normalised, so that the composite score is genuinely bounded and interpretable.</w:t>
      </w:r>
    </w:p>
    <w:p>
      <w:pPr>
        <w:spacing w:before="80" w:after="120"/>
      </w:pPr>
      <w:r>
        <w:rPr>
          <w:rFonts w:ascii="Arial" w:cs="Arial" w:eastAsia="Arial" w:hAnsi="Arial"/>
          <w:b/>
          <w:bCs/>
          <w:sz w:val="22"/>
          <w:szCs w:val="22"/>
        </w:rPr>
        <w:t xml:space="preserve">What this paper corrects.  </w:t>
      </w:r>
      <w:r>
        <w:rPr>
          <w:rFonts w:ascii="Arial" w:cs="Arial" w:eastAsia="Arial" w:hAnsi="Arial"/>
          <w:sz w:val="22"/>
          <w:szCs w:val="22"/>
        </w:rPr>
        <w:t xml:space="preserve">The original formulation of Meta-Kaizen (Brennan &amp; Entwood, February 2026) contained three critical flaws that undermined its validity:</w:t>
      </w:r>
    </w:p>
    <w:p>
      <w:pPr>
        <w:pStyle w:val="ListParagraph"/>
        <w:numPr>
          <w:ilvl w:val="0"/>
          <w:numId w:val="2"/>
        </w:numPr>
        <w:spacing w:before="40" w:after="60"/>
      </w:pPr>
      <w:r>
        <w:rPr>
          <w:rFonts w:ascii="Arial" w:cs="Arial" w:eastAsia="Arial" w:hAnsi="Arial"/>
          <w:b/>
          <w:bCs/>
          <w:sz w:val="22"/>
          <w:szCs w:val="22"/>
        </w:rPr>
        <w:t xml:space="preserve">Formula inconsistency: </w:t>
      </w:r>
      <w:r>
        <w:rPr>
          <w:rFonts w:ascii="Arial" w:cs="Arial" w:eastAsia="Arial" w:hAnsi="Arial"/>
          <w:sz w:val="22"/>
          <w:szCs w:val="22"/>
        </w:rPr>
        <w:t xml:space="preserve">the Kaizen Variation Score (KVS) claimed bounded [0, 1] output while multiplying raw percentage-point estimates that are unbounded.</w:t>
      </w:r>
    </w:p>
    <w:p>
      <w:pPr>
        <w:pStyle w:val="ListParagraph"/>
        <w:numPr>
          <w:ilvl w:val="0"/>
          <w:numId w:val="2"/>
        </w:numPr>
        <w:spacing w:before="40" w:after="60"/>
      </w:pPr>
      <w:r>
        <w:rPr>
          <w:rFonts w:ascii="Arial" w:cs="Arial" w:eastAsia="Arial" w:hAnsi="Arial"/>
          <w:b/>
          <w:bCs/>
          <w:sz w:val="22"/>
          <w:szCs w:val="22"/>
        </w:rPr>
        <w:t xml:space="preserve">Circular validation: </w:t>
      </w:r>
      <w:r>
        <w:rPr>
          <w:rFonts w:ascii="Arial" w:cs="Arial" w:eastAsia="Arial" w:hAnsi="Arial"/>
          <w:sz w:val="22"/>
          <w:szCs w:val="22"/>
        </w:rPr>
        <w:t xml:space="preserve">the “ground truth” used in Monte Carlo testing was an algebraic near-twin of KVS, guaranteeing spuriously high correlation.</w:t>
      </w:r>
    </w:p>
    <w:p>
      <w:pPr>
        <w:pStyle w:val="ListParagraph"/>
        <w:numPr>
          <w:ilvl w:val="0"/>
          <w:numId w:val="2"/>
        </w:numPr>
        <w:spacing w:before="40" w:after="60"/>
      </w:pPr>
      <w:r>
        <w:rPr>
          <w:rFonts w:ascii="Arial" w:cs="Arial" w:eastAsia="Arial" w:hAnsi="Arial"/>
          <w:b/>
          <w:bCs/>
          <w:sz w:val="22"/>
          <w:szCs w:val="22"/>
        </w:rPr>
        <w:t xml:space="preserve">Unsupported performance claims: </w:t>
      </w:r>
      <w:r>
        <w:rPr>
          <w:rFonts w:ascii="Arial" w:cs="Arial" w:eastAsia="Arial" w:hAnsi="Arial"/>
          <w:sz w:val="22"/>
          <w:szCs w:val="22"/>
        </w:rPr>
        <w:t xml:space="preserve">the 2.0–2.4 pp annualised lift figure was derived from the same in-sample simulation engine it was meant to validate, with no uncertainty quantification.</w:t>
      </w:r>
    </w:p>
    <w:p>
      <w:pPr>
        <w:spacing w:before="80" w:after="120"/>
      </w:pPr>
      <w:r>
        <w:rPr>
          <w:rFonts w:ascii="Arial" w:cs="Arial" w:eastAsia="Arial" w:hAnsi="Arial"/>
          <w:sz w:val="22"/>
          <w:szCs w:val="22"/>
        </w:rPr>
        <w:t xml:space="preserve">This revised paper corrects all three flaws while preserving the practical spirit of the original framework.</w:t>
      </w:r>
    </w:p>
    <w:p>
      <w:pPr>
        <w:pStyle w:val="Heading1"/>
        <w:spacing w:before="360" w:after="120"/>
      </w:pPr>
      <w:r>
        <w:rPr>
          <w:rFonts w:ascii="Arial" w:cs="Arial" w:eastAsia="Arial" w:hAnsi="Arial"/>
          <w:b/>
          <w:bCs/>
          <w:color w:val="1F4E79"/>
          <w:sz w:val="36"/>
          <w:szCs w:val="36"/>
        </w:rPr>
        <w:t xml:space="preserve">2. Conceptual Foundation and Literature Review</w:t>
      </w:r>
    </w:p>
    <w:p>
      <w:pPr>
        <w:spacing w:before="80" w:after="120"/>
      </w:pPr>
      <w:r>
        <w:rPr>
          <w:rFonts w:ascii="Arial" w:cs="Arial" w:eastAsia="Arial" w:hAnsi="Arial"/>
          <w:sz w:val="22"/>
          <w:szCs w:val="22"/>
        </w:rPr>
        <w:t xml:space="preserve">Kaizen (Imai, 1986) emphasises small, continuous improvements implemented by those closest to the process. Lean production and PDCA cycles have extended this philosophy into operations management (Womack &amp; Jones, 1996). These frameworks are, however, inherently domain-bound and human-driven, with limited mechanisms for self-evolution or cross-disciplinary inspiration.</w:t>
      </w:r>
    </w:p>
    <w:p>
      <w:pPr>
        <w:spacing w:before="80" w:after="120"/>
      </w:pPr>
      <w:r>
        <w:rPr>
          <w:rFonts w:ascii="Arial" w:cs="Arial" w:eastAsia="Arial" w:hAnsi="Arial"/>
          <w:sz w:val="22"/>
          <w:szCs w:val="22"/>
        </w:rPr>
        <w:t xml:space="preserve">In computational domains, meta-learning (Schmidhuber, 2015) and evolutionary algorithms (Stanley &amp; Miikkulainen, 2002) demonstrate self-improvement through iterative optimisation, but remain abstract and computationally intensive. Governance literature in finance focuses predominantly on static IPS design.</w:t>
      </w:r>
    </w:p>
    <w:p>
      <w:pPr>
        <w:spacing w:before="80" w:after="120"/>
      </w:pPr>
      <w:r>
        <w:rPr>
          <w:rFonts w:ascii="Arial" w:cs="Arial" w:eastAsia="Arial" w:hAnsi="Arial"/>
          <w:sz w:val="22"/>
          <w:szCs w:val="22"/>
        </w:rPr>
        <w:t xml:space="preserve">Novelty-scoring in idea evaluation draws on the concept of semantic distance in knowledge graphs (Bostrom &amp; Ord, 2006; Tversky, 1977), wherein domain distance can be operationalised via keyword overlap metrics such as Jaccard similarity. Timeliness decay functions have been used in information-retrieval literature to discount stale evidence (Manning, Raghavan &amp; Schütze, 2008).</w:t>
      </w:r>
    </w:p>
    <w:p>
      <w:pPr>
        <w:spacing w:before="80" w:after="120"/>
      </w:pPr>
      <w:r>
        <w:rPr>
          <w:rFonts w:ascii="Arial" w:cs="Arial" w:eastAsia="Arial" w:hAnsi="Arial"/>
          <w:sz w:val="22"/>
          <w:szCs w:val="22"/>
        </w:rPr>
        <w:t xml:space="preserve">No prior work has combined orthogonal domain rotation, fully normalised multiplicative scoring, forced novelty constraints, and timeliness decay into a single auditable mechanism suitable for practical investment governance. The present paper provides that synthesis, while introducing the methodological discipline absent from earlier treatments.</w:t>
      </w:r>
    </w:p>
    <w:p>
      <w:pPr>
        <w:pStyle w:val="Heading1"/>
        <w:spacing w:before="360" w:after="120"/>
      </w:pPr>
      <w:r>
        <w:rPr>
          <w:rFonts w:ascii="Arial" w:cs="Arial" w:eastAsia="Arial" w:hAnsi="Arial"/>
          <w:b/>
          <w:bCs/>
          <w:color w:val="1F4E79"/>
          <w:sz w:val="36"/>
          <w:szCs w:val="36"/>
        </w:rPr>
        <w:t xml:space="preserve">3. The Meta-Kaizen Framework</w:t>
      </w:r>
    </w:p>
    <w:p>
      <w:pPr>
        <w:spacing w:before="80" w:after="120"/>
      </w:pPr>
      <w:r>
        <w:rPr>
          <w:rFonts w:ascii="Arial" w:cs="Arial" w:eastAsia="Arial" w:hAnsi="Arial"/>
          <w:sz w:val="22"/>
          <w:szCs w:val="22"/>
        </w:rPr>
        <w:t xml:space="preserve">Meta-Kaizen operates as a quarterly (or opportunistic) autonomic scan within an existing IPS. The process draws from a deliberately rotating set of non-finance domains to generate potential improvements. Proposed changes are scored, ranked, and surfaced only if they meet a minimum threshold. No change is implemented without principal approval and logging.</w:t>
      </w:r>
    </w:p>
    <w:p>
      <w:pPr>
        <w:pStyle w:val="Heading2"/>
        <w:spacing w:before="280" w:after="80"/>
      </w:pPr>
      <w:r>
        <w:rPr>
          <w:rFonts w:ascii="Arial" w:cs="Arial" w:eastAsia="Arial" w:hAnsi="Arial"/>
          <w:b/>
          <w:bCs/>
          <w:color w:val="1F4E79"/>
          <w:sz w:val="28"/>
          <w:szCs w:val="28"/>
        </w:rPr>
        <w:t xml:space="preserve">3.1  Quarterly Process</w:t>
      </w:r>
    </w:p>
    <w:p>
      <w:pPr>
        <w:pStyle w:val="ListParagraph"/>
        <w:numPr>
          <w:ilvl w:val="0"/>
          <w:numId w:val="3"/>
        </w:numPr>
        <w:spacing w:before="40" w:after="60"/>
      </w:pPr>
      <w:r>
        <w:rPr>
          <w:rFonts w:ascii="Arial" w:cs="Arial" w:eastAsia="Arial" w:hAnsi="Arial"/>
          <w:sz w:val="22"/>
          <w:szCs w:val="22"/>
        </w:rPr>
        <w:t xml:space="preserve">Select the next domain from the pre-committed rotation schedule.</w:t>
      </w:r>
    </w:p>
    <w:p>
      <w:pPr>
        <w:pStyle w:val="ListParagraph"/>
        <w:numPr>
          <w:ilvl w:val="0"/>
          <w:numId w:val="3"/>
        </w:numPr>
        <w:spacing w:before="40" w:after="60"/>
      </w:pPr>
      <w:r>
        <w:rPr>
          <w:rFonts w:ascii="Arial" w:cs="Arial" w:eastAsia="Arial" w:hAnsi="Arial"/>
          <w:sz w:val="22"/>
          <w:szCs w:val="22"/>
        </w:rPr>
        <w:t xml:space="preserve">Brainstorm 5–15 candidate improvements inspired by that domain.</w:t>
      </w:r>
    </w:p>
    <w:p>
      <w:pPr>
        <w:pStyle w:val="ListParagraph"/>
        <w:numPr>
          <w:ilvl w:val="0"/>
          <w:numId w:val="3"/>
        </w:numPr>
        <w:spacing w:before="40" w:after="60"/>
      </w:pPr>
      <w:r>
        <w:rPr>
          <w:rFonts w:ascii="Arial" w:cs="Arial" w:eastAsia="Arial" w:hAnsi="Arial"/>
          <w:sz w:val="22"/>
          <w:szCs w:val="22"/>
        </w:rPr>
        <w:t xml:space="preserve">Compute KVSⱼ for each candidate idea j.</w:t>
      </w:r>
    </w:p>
    <w:p>
      <w:pPr>
        <w:pStyle w:val="ListParagraph"/>
        <w:numPr>
          <w:ilvl w:val="0"/>
          <w:numId w:val="3"/>
        </w:numPr>
        <w:spacing w:before="40" w:after="60"/>
      </w:pPr>
      <w:r>
        <w:rPr>
          <w:rFonts w:ascii="Arial" w:cs="Arial" w:eastAsia="Arial" w:hAnsi="Arial"/>
          <w:sz w:val="22"/>
          <w:szCs w:val="22"/>
        </w:rPr>
        <w:t xml:space="preserve">Surface and rank only those candidates where KVSⱼ ≥ 0.50.</w:t>
      </w:r>
    </w:p>
    <w:p>
      <w:pPr>
        <w:pStyle w:val="ListParagraph"/>
        <w:numPr>
          <w:ilvl w:val="0"/>
          <w:numId w:val="3"/>
        </w:numPr>
        <w:spacing w:before="40" w:after="60"/>
      </w:pPr>
      <w:r>
        <w:rPr>
          <w:rFonts w:ascii="Arial" w:cs="Arial" w:eastAsia="Arial" w:hAnsi="Arial"/>
          <w:sz w:val="22"/>
          <w:szCs w:val="22"/>
        </w:rPr>
        <w:t xml:space="preserve">Submit to principal for approval or rejection; log outcome with rationale.</w:t>
      </w:r>
    </w:p>
    <w:p>
      <w:pPr>
        <w:pStyle w:val="ListParagraph"/>
        <w:numPr>
          <w:ilvl w:val="0"/>
          <w:numId w:val="3"/>
        </w:numPr>
        <w:spacing w:before="40" w:after="60"/>
      </w:pPr>
      <w:r>
        <w:rPr>
          <w:rFonts w:ascii="Arial" w:cs="Arial" w:eastAsia="Arial" w:hAnsi="Arial"/>
          <w:sz w:val="22"/>
          <w:szCs w:val="22"/>
        </w:rPr>
        <w:t xml:space="preserve">At year-end, audit the log against realised outcomes and recalibrate impact priors.</w:t>
      </w:r>
    </w:p>
    <w:p>
      <w:pPr>
        <w:pStyle w:val="Heading2"/>
        <w:spacing w:before="280" w:after="80"/>
      </w:pPr>
      <w:r>
        <w:rPr>
          <w:rFonts w:ascii="Arial" w:cs="Arial" w:eastAsia="Arial" w:hAnsi="Arial"/>
          <w:b/>
          <w:bCs/>
          <w:color w:val="1F4E79"/>
          <w:sz w:val="28"/>
          <w:szCs w:val="28"/>
        </w:rPr>
        <w:t xml:space="preserve">3.2  Domain Rotation Design</w:t>
      </w:r>
    </w:p>
    <w:p>
      <w:pPr>
        <w:spacing w:before="80" w:after="120"/>
      </w:pPr>
      <w:r>
        <w:rPr>
          <w:rFonts w:ascii="Arial" w:cs="Arial" w:eastAsia="Arial" w:hAnsi="Arial"/>
          <w:sz w:val="22"/>
          <w:szCs w:val="22"/>
        </w:rPr>
        <w:t xml:space="preserve">Domains must be pre-committed before the brainstorming session begins to prevent post-hoc cherry-picking. The administrator records the domain choice, its Jaccard distance from the prior four domains, and the resulting Novelty Factor, all before any idea scoring occurs. This is the procedural control analogous to pre-registration in empirical research.</w:t>
      </w:r>
    </w:p>
    <w:p>
      <w:pPr>
        <w:pStyle w:val="Heading1"/>
        <w:spacing w:before="360" w:after="120"/>
      </w:pPr>
      <w:r>
        <w:rPr>
          <w:rFonts w:ascii="Arial" w:cs="Arial" w:eastAsia="Arial" w:hAnsi="Arial"/>
          <w:b/>
          <w:bCs/>
          <w:color w:val="1F4E79"/>
          <w:sz w:val="36"/>
          <w:szCs w:val="36"/>
        </w:rPr>
        <w:t xml:space="preserve">4. Mathematical Formulation</w:t>
      </w:r>
    </w:p>
    <w:p>
      <w:pPr>
        <w:spacing w:before="80" w:after="120"/>
      </w:pPr>
      <w:r>
        <w:rPr>
          <w:rFonts w:ascii="Arial" w:cs="Arial" w:eastAsia="Arial" w:hAnsi="Arial"/>
          <w:sz w:val="22"/>
          <w:szCs w:val="22"/>
        </w:rPr>
        <w:t xml:space="preserve">This section re-derives KVS from first principles, correcting the unit and boundedness errors in the original formulation. All inputs are explicitly normalised to [0, 1] before multiplication, so the composite score is also in [0, 1].</w:t>
      </w:r>
    </w:p>
    <w:p>
      <w:pPr>
        <w:pStyle w:val="Heading2"/>
        <w:spacing w:before="280" w:after="80"/>
      </w:pPr>
      <w:r>
        <w:rPr>
          <w:rFonts w:ascii="Arial" w:cs="Arial" w:eastAsia="Arial" w:hAnsi="Arial"/>
          <w:b/>
          <w:bCs/>
          <w:color w:val="1F4E79"/>
          <w:sz w:val="28"/>
          <w:szCs w:val="28"/>
        </w:rPr>
        <w:t xml:space="preserve">4.1  Kaizen Variation Score (KVS)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FORMULA</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sz w:val="22"/>
                <w:szCs w:val="22"/>
              </w:rPr>
              <w:t xml:space="preserve">KVSⱼ  =  Nⱼ  ×  I′ⱼ  ×  C′ⱼ  ×  Tⱼ</w:t>
            </w:r>
          </w:p>
        </w:tc>
      </w:tr>
    </w:tbl>
    <w:p>
      <w:pPr>
        <w:spacing w:before="0" w:after="0"/>
      </w:pPr>
      <w:r>
        <w:t xml:space="preserve"/>
      </w:r>
    </w:p>
    <w:p>
      <w:pPr>
        <w:spacing w:before="80" w:after="120"/>
      </w:pPr>
      <w:r>
        <w:rPr>
          <w:rFonts w:ascii="Arial" w:cs="Arial" w:eastAsia="Arial" w:hAnsi="Arial"/>
          <w:b/>
          <w:bCs/>
          <w:sz w:val="22"/>
          <w:szCs w:val="22"/>
        </w:rPr>
        <w:t xml:space="preserve">where all four factors are dimensionless and lie in [0, 1]:</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5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Novelty Factor</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Nⱼ</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 1]</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Domain-distance from prior 4 scans (Jaccard)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Normalised Impact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I′ⱼ</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Scaled estimated impact (see §4.3)</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Normalised Inv. Complexity</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C′ⱼ</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 1]</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Rescaled inverse complexity (see §4.4)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Timeliness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Tⱼ</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 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Linear decay over 60-month horizon</w:t>
            </w:r>
          </w:p>
        </w:tc>
      </w:tr>
    </w:tbl>
    <w:p>
      <w:pPr>
        <w:spacing w:before="0" w:after="0"/>
      </w:pPr>
      <w:r>
        <w:t xml:space="preserve"/>
      </w:r>
    </w:p>
    <w:p>
      <w:pPr>
        <w:spacing w:before="80" w:after="120"/>
      </w:pPr>
      <w:r>
        <w:rPr>
          <w:rFonts w:ascii="Arial" w:cs="Arial" w:eastAsia="Arial" w:hAnsi="Arial"/>
          <w:b/>
          <w:bCs/>
          <w:sz w:val="22"/>
          <w:szCs w:val="22"/>
        </w:rPr>
        <w:t xml:space="preserve">Interpretation.  </w:t>
      </w:r>
      <w:r>
        <w:rPr>
          <w:rFonts w:ascii="Arial" w:cs="Arial" w:eastAsia="Arial" w:hAnsi="Arial"/>
          <w:sz w:val="22"/>
          <w:szCs w:val="22"/>
        </w:rPr>
        <w:t xml:space="preserve">KVS = 1 requires perfect novelty, maximum normalised impact, minimum complexity, and immediate relevance. KVS = 0 if any factor is zero. The multiplicative structure enforces that no dimension can compensate for a zero in another—factors are non-substitutable.</w:t>
      </w:r>
    </w:p>
    <w:p>
      <w:pPr>
        <w:pStyle w:val="Heading2"/>
        <w:spacing w:before="280" w:after="80"/>
      </w:pPr>
      <w:r>
        <w:rPr>
          <w:rFonts w:ascii="Arial" w:cs="Arial" w:eastAsia="Arial" w:hAnsi="Arial"/>
          <w:b/>
          <w:bCs/>
          <w:color w:val="1F4E79"/>
          <w:sz w:val="28"/>
          <w:szCs w:val="28"/>
        </w:rPr>
        <w:t xml:space="preserve">4.2  Novelty Factor (N)</w:t>
      </w:r>
    </w:p>
    <w:p>
      <w:pPr>
        <w:spacing w:before="80" w:after="120"/>
      </w:pPr>
      <w:r>
        <w:rPr>
          <w:rFonts w:ascii="Arial" w:cs="Arial" w:eastAsia="Arial" w:hAnsi="Arial"/>
          <w:sz w:val="22"/>
          <w:szCs w:val="22"/>
        </w:rPr>
        <w:t xml:space="preserve">The Novelty Factor measures the domain-distance of a proposed idea from the prior four quarterly scan domains, preventing repetition without enforcing rigid rotation.</w:t>
      </w:r>
    </w:p>
    <w:p>
      <w:pPr>
        <w:shd w:fill="EEF4FA" w:val="clear"/>
        <w:spacing w:before="160" w:after="160"/>
        <w:jc w:val="center"/>
      </w:pPr>
      <w:r>
        <w:rPr>
          <w:rFonts w:ascii="Courier New" w:cs="Courier New" w:eastAsia="Courier New" w:hAnsi="Courier New"/>
          <w:b/>
          <w:bCs/>
          <w:color w:val="1A1A1A"/>
          <w:sz w:val="22"/>
          <w:szCs w:val="22"/>
        </w:rPr>
        <w:t xml:space="preserve">Nⱼ  =  1  −  maxₜ∈{t-1, t-2, t-3, t-4}  Jaccard(Kⱼ , Kₜ)</w:t>
      </w:r>
    </w:p>
    <w:p>
      <w:pPr>
        <w:spacing w:before="80" w:after="120"/>
      </w:pPr>
      <w:r>
        <w:rPr>
          <w:rFonts w:ascii="Arial" w:cs="Arial" w:eastAsia="Arial" w:hAnsi="Arial"/>
          <w:sz w:val="22"/>
          <w:szCs w:val="22"/>
        </w:rPr>
        <w:t xml:space="preserve">where Kⱼ is the keyword set of candidate idea j, and Kₜ is the union keyword set of all ideas from scan period t. Jaccard similarity is computed as:</w:t>
      </w:r>
    </w:p>
    <w:p>
      <w:pPr>
        <w:shd w:fill="EEF4FA" w:val="clear"/>
        <w:spacing w:before="160" w:after="160"/>
        <w:jc w:val="center"/>
      </w:pPr>
      <w:r>
        <w:rPr>
          <w:rFonts w:ascii="Courier New" w:cs="Courier New" w:eastAsia="Courier New" w:hAnsi="Courier New"/>
          <w:b/>
          <w:bCs/>
          <w:color w:val="1A1A1A"/>
          <w:sz w:val="22"/>
          <w:szCs w:val="22"/>
        </w:rPr>
        <w:t xml:space="preserve">Jaccard(A, B)  =  |A ∩ B| / |A ∪ B|</w:t>
      </w:r>
    </w:p>
    <w:p>
      <w:pPr>
        <w:spacing w:before="80" w:after="120"/>
      </w:pPr>
      <w:r>
        <w:rPr>
          <w:rFonts w:ascii="Arial" w:cs="Arial" w:eastAsia="Arial" w:hAnsi="Arial"/>
          <w:sz w:val="22"/>
          <w:szCs w:val="22"/>
        </w:rPr>
        <w:t xml:space="preserve">This operationalisation penalises reuse of the most similar recent domain rather than the average, ensuring even one very close prior scan is sufficient to suppress low-novelty ideas.</w:t>
      </w:r>
    </w:p>
    <w:p>
      <w:pPr>
        <w:spacing w:before="60" w:after="60"/>
        <w:ind w:left="720"/>
      </w:pPr>
      <w:r>
        <w:rPr>
          <w:rFonts w:ascii="Arial" w:cs="Arial" w:eastAsia="Arial" w:hAnsi="Arial"/>
          <w:i/>
          <w:iCs/>
          <w:color w:val="555555"/>
          <w:sz w:val="20"/>
          <w:szCs w:val="20"/>
        </w:rPr>
        <w:t xml:space="preserve">Implementation note: keyword sets should be stemmed and stop-word filtered before Jaccard computation. A minimum keyword set of 10 terms per idea is recommended.</w:t>
      </w:r>
    </w:p>
    <w:p>
      <w:pPr>
        <w:spacing w:before="80" w:after="120"/>
      </w:pPr>
      <w:r>
        <w:rPr>
          <w:rFonts w:ascii="Arial" w:cs="Arial" w:eastAsia="Arial" w:hAnsi="Arial"/>
          <w:b/>
          <w:bCs/>
          <w:sz w:val="22"/>
          <w:szCs w:val="22"/>
        </w:rPr>
        <w:t xml:space="preserve">Target: </w:t>
      </w:r>
      <w:r>
        <w:rPr>
          <w:rFonts w:ascii="Arial" w:cs="Arial" w:eastAsia="Arial" w:hAnsi="Arial"/>
          <w:sz w:val="22"/>
          <w:szCs w:val="22"/>
        </w:rPr>
        <w:t xml:space="preserve">Domain rotation should target N ≥ 0.70 on average, verifiable from the log.</w:t>
      </w:r>
    </w:p>
    <w:p>
      <w:pPr>
        <w:pStyle w:val="Heading2"/>
        <w:spacing w:before="280" w:after="80"/>
      </w:pPr>
      <w:r>
        <w:rPr>
          <w:rFonts w:ascii="Arial" w:cs="Arial" w:eastAsia="Arial" w:hAnsi="Arial"/>
          <w:b/>
          <w:bCs/>
          <w:color w:val="1F4E79"/>
          <w:sz w:val="28"/>
          <w:szCs w:val="28"/>
        </w:rPr>
        <w:t xml:space="preserve">4.3  Normalised Impact (I′)</w:t>
      </w:r>
    </w:p>
    <w:p>
      <w:pPr>
        <w:spacing w:before="80" w:after="120"/>
      </w:pPr>
      <w:r>
        <w:rPr>
          <w:rFonts w:ascii="Arial" w:cs="Arial" w:eastAsia="Arial" w:hAnsi="Arial"/>
          <w:b/>
          <w:bCs/>
          <w:sz w:val="22"/>
          <w:szCs w:val="22"/>
        </w:rPr>
        <w:t xml:space="preserve">Original flaw: </w:t>
      </w:r>
      <w:r>
        <w:rPr>
          <w:rFonts w:ascii="Arial" w:cs="Arial" w:eastAsia="Arial" w:hAnsi="Arial"/>
          <w:sz w:val="22"/>
          <w:szCs w:val="22"/>
        </w:rPr>
        <w:t xml:space="preserve">the original paper multiplied raw percentage-point estimates (e.g., 1.5 pp) directly, yielding KVS values well above 1.0, invalidating the claimed [0, 1] boundedness. The correct approach normalises impact against a pre-committed reference scale.</w:t>
      </w:r>
    </w:p>
    <w:p>
      <w:pPr>
        <w:shd w:fill="EEF4FA" w:val="clear"/>
        <w:spacing w:before="160" w:after="160"/>
        <w:jc w:val="center"/>
      </w:pPr>
      <w:r>
        <w:rPr>
          <w:rFonts w:ascii="Courier New" w:cs="Courier New" w:eastAsia="Courier New" w:hAnsi="Courier New"/>
          <w:b/>
          <w:bCs/>
          <w:color w:val="1A1A1A"/>
          <w:sz w:val="22"/>
          <w:szCs w:val="22"/>
        </w:rPr>
        <w:t xml:space="preserve">I′ⱼ  =  min(1,  μᵢ / Iₘₐˣ)</w:t>
      </w:r>
    </w:p>
    <w:p>
      <w:pPr>
        <w:spacing w:before="80" w:after="120"/>
      </w:pPr>
      <w:r>
        <w:rPr>
          <w:rFonts w:ascii="Arial" w:cs="Arial" w:eastAsia="Arial" w:hAnsi="Arial"/>
          <w:sz w:val="22"/>
          <w:szCs w:val="22"/>
        </w:rPr>
        <w:t xml:space="preserve">where μᵢ is the administrator’s point estimate of annualised return or resilience impact in percentage points, and Iₘₐˣ is the pre-committed maximum plausible impact for the IPS in question. For a typical thematic 403(b) vehicle, Iₘₐˣ = 3.0 pp is a defensible ceiling; any estimate exceeding this should be treated as 1.0 with a mandatory justification note.</w:t>
      </w:r>
    </w:p>
    <w:p>
      <w:pPr>
        <w:spacing w:before="60" w:after="60"/>
        <w:ind w:left="720"/>
      </w:pPr>
      <w:r>
        <w:rPr>
          <w:rFonts w:ascii="Arial" w:cs="Arial" w:eastAsia="Arial" w:hAnsi="Arial"/>
          <w:i/>
          <w:iCs/>
          <w:color w:val="555555"/>
          <w:sz w:val="20"/>
          <w:szCs w:val="20"/>
        </w:rPr>
        <w:t xml:space="preserve">Calibration discipline: I_max must be set once per IPS and revised only at annual review—not adjusted mid-quarter to inflate specific ideas.</w:t>
      </w:r>
    </w:p>
    <w:p>
      <w:pPr>
        <w:pStyle w:val="Heading2"/>
        <w:spacing w:before="280" w:after="80"/>
      </w:pPr>
      <w:r>
        <w:rPr>
          <w:rFonts w:ascii="Arial" w:cs="Arial" w:eastAsia="Arial" w:hAnsi="Arial"/>
          <w:b/>
          <w:bCs/>
          <w:color w:val="1F4E79"/>
          <w:sz w:val="28"/>
          <w:szCs w:val="28"/>
        </w:rPr>
        <w:t xml:space="preserve">4.4  Normalised Inverse Complexity (C′)</w:t>
      </w:r>
    </w:p>
    <w:p>
      <w:pPr>
        <w:spacing w:before="80" w:after="120"/>
      </w:pPr>
      <w:r>
        <w:rPr>
          <w:rFonts w:ascii="Arial" w:cs="Arial" w:eastAsia="Arial" w:hAnsi="Arial"/>
          <w:sz w:val="22"/>
          <w:szCs w:val="22"/>
        </w:rPr>
        <w:t xml:space="preserve">Complexity is scored on a pre-defined ordinal scale and then mapped to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60"/>
        <w:gridCol w:w="3300"/>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Raw Complexity Score</w:t>
            </w:r>
          </w:p>
        </w:tc>
        <w:tc>
          <w:tcPr>
            <w:tcW w:type="dxa" w:w="3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3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 (Normalised Inv.)</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1.0</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Zero additional operational steps</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One new step, under 30 min/quarter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0.80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1.4</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Two new steps or new data feed</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1.6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Moderate process redesign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1.8</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Significant systems or legal work</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2.0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Major restructuring</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0.00</w:t>
            </w:r>
          </w:p>
        </w:tc>
      </w:tr>
    </w:tbl>
    <w:p>
      <w:pPr>
        <w:spacing w:before="0" w:after="0"/>
      </w:pPr>
      <w:r>
        <w:t xml:space="preserve"/>
      </w:r>
    </w:p>
    <w:p>
      <w:pPr>
        <w:shd w:fill="EEF4FA" w:val="clear"/>
        <w:spacing w:before="160" w:after="160"/>
        <w:jc w:val="center"/>
      </w:pPr>
      <w:r>
        <w:rPr>
          <w:rFonts w:ascii="Courier New" w:cs="Courier New" w:eastAsia="Courier New" w:hAnsi="Courier New"/>
          <w:b/>
          <w:bCs/>
          <w:color w:val="1A1A1A"/>
          <w:sz w:val="22"/>
          <w:szCs w:val="22"/>
        </w:rPr>
        <w:t xml:space="preserve">C′ⱼ  =  (Cₘₐˣ − Cⱼ) / (Cₘₐˣ − Cₘᵢⁿ)  =  (2.0 − Cⱼ) / 1.0</w:t>
      </w:r>
    </w:p>
    <w:p>
      <w:pPr>
        <w:spacing w:before="80" w:after="120"/>
      </w:pPr>
      <w:r>
        <w:rPr>
          <w:rFonts w:ascii="Arial" w:cs="Arial" w:eastAsia="Arial" w:hAnsi="Arial"/>
          <w:b/>
          <w:bCs/>
          <w:sz w:val="22"/>
          <w:szCs w:val="22"/>
        </w:rPr>
        <w:t xml:space="preserve">Original flaw: </w:t>
      </w:r>
      <w:r>
        <w:rPr>
          <w:rFonts w:ascii="Arial" w:cs="Arial" w:eastAsia="Arial" w:hAnsi="Arial"/>
          <w:sz w:val="22"/>
          <w:szCs w:val="22"/>
        </w:rPr>
        <w:t xml:space="preserve">the original formula used 1/Cⱼ, which does not map to [0, 1]. With Cⱼ ∈ [1.0, 2.0]: 1/Cⱼ ∈ [0.5, 1.0]—a compressed and biased range. The corrected linear rescaling fully spans [0, 1] and is monotonically decreasing in complexity, preserving the intended directional penalty.</w:t>
      </w:r>
    </w:p>
    <w:p>
      <w:pPr>
        <w:pStyle w:val="Heading2"/>
        <w:spacing w:before="280" w:after="80"/>
      </w:pPr>
      <w:r>
        <w:rPr>
          <w:rFonts w:ascii="Arial" w:cs="Arial" w:eastAsia="Arial" w:hAnsi="Arial"/>
          <w:b/>
          <w:bCs/>
          <w:color w:val="1F4E79"/>
          <w:sz w:val="28"/>
          <w:szCs w:val="28"/>
        </w:rPr>
        <w:t xml:space="preserve">4.5  Timeliness Score (T)</w:t>
      </w:r>
    </w:p>
    <w:p>
      <w:pPr>
        <w:spacing w:before="80" w:after="120"/>
      </w:pPr>
      <w:r>
        <w:rPr>
          <w:rFonts w:ascii="Arial" w:cs="Arial" w:eastAsia="Arial" w:hAnsi="Arial"/>
          <w:sz w:val="22"/>
          <w:szCs w:val="22"/>
        </w:rPr>
        <w:t xml:space="preserve">Timeliness rewards ideas whose relevance is near-term, penalising those whose horizon extends beyond 60 months.</w:t>
      </w:r>
    </w:p>
    <w:p>
      <w:pPr>
        <w:shd w:fill="EEF4FA" w:val="clear"/>
        <w:spacing w:before="160" w:after="160"/>
        <w:jc w:val="center"/>
      </w:pPr>
      <w:r>
        <w:rPr>
          <w:rFonts w:ascii="Courier New" w:cs="Courier New" w:eastAsia="Courier New" w:hAnsi="Courier New"/>
          <w:b/>
          <w:bCs/>
          <w:color w:val="1A1A1A"/>
          <w:sz w:val="22"/>
          <w:szCs w:val="22"/>
        </w:rPr>
        <w:t xml:space="preserve">Tⱼ  =  max( 0,  1 − hⱼ / Hₘₐˣ )</w:t>
      </w:r>
    </w:p>
    <w:p>
      <w:pPr>
        <w:spacing w:before="80" w:after="120"/>
      </w:pPr>
      <w:r>
        <w:rPr>
          <w:rFonts w:ascii="Arial" w:cs="Arial" w:eastAsia="Arial" w:hAnsi="Arial"/>
          <w:sz w:val="22"/>
          <w:szCs w:val="22"/>
        </w:rPr>
        <w:t xml:space="preserve">where hⱼ is the estimated months until the idea becomes relevant, and Hₘₐˣ = 60 months. This is a linear decay from T = 1 (immediately relevant) to T = 0 (60+ months out). The original formulation was correct and is retained unchanged.</w:t>
      </w:r>
    </w:p>
    <w:p>
      <w:pPr>
        <w:pStyle w:val="Heading2"/>
        <w:spacing w:before="280" w:after="80"/>
      </w:pPr>
      <w:r>
        <w:rPr>
          <w:rFonts w:ascii="Arial" w:cs="Arial" w:eastAsia="Arial" w:hAnsi="Arial"/>
          <w:b/>
          <w:bCs/>
          <w:color w:val="1F4E79"/>
          <w:sz w:val="28"/>
          <w:szCs w:val="28"/>
        </w:rPr>
        <w:t xml:space="preserve">4.6  Threshold and Approval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GATE</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sz w:val="22"/>
                <w:szCs w:val="22"/>
              </w:rPr>
              <w:t xml:space="preserve">Ideas with KVSⱼ &lt; 0.50 are not surfaced to the principal. The 0.50 threshold is a conservative midpoint—it requires that the geometric mean of all four factors exceeds 0.50⁰·²⁵ ≈ 0.84.</w:t>
            </w:r>
          </w:p>
        </w:tc>
      </w:tr>
    </w:tbl>
    <w:p>
      <w:pPr>
        <w:spacing w:before="0" w:after="0"/>
      </w:pPr>
      <w:r>
        <w:t xml:space="preserve"/>
      </w:r>
    </w:p>
    <w:p>
      <w:pPr>
        <w:spacing w:before="80" w:after="120"/>
      </w:pPr>
      <w:r>
        <w:rPr>
          <w:rFonts w:ascii="Arial" w:cs="Arial" w:eastAsia="Arial" w:hAnsi="Arial"/>
          <w:b/>
          <w:bCs/>
          <w:sz w:val="22"/>
          <w:szCs w:val="22"/>
        </w:rPr>
        <w:t xml:space="preserve">Appendix A worked example—correction: </w:t>
      </w:r>
      <w:r>
        <w:rPr>
          <w:rFonts w:ascii="Arial" w:cs="Arial" w:eastAsia="Arial" w:hAnsi="Arial"/>
          <w:sz w:val="22"/>
          <w:szCs w:val="22"/>
        </w:rPr>
        <w:t xml:space="preserve">The original paper presented a worked example yielding KVS = 0.46 (below threshold) but noted the idea was adopted. This is permissible only if the principal explicitly overrides the score with a documented rationale. The system is advisory; principal override is a feature, not a flaw. However, the override must be logged, not silently normalised.</w:t>
      </w:r>
    </w:p>
    <w:p>
      <w:pPr>
        <w:pStyle w:val="Heading1"/>
        <w:spacing w:before="360" w:after="120"/>
      </w:pPr>
      <w:r>
        <w:rPr>
          <w:rFonts w:ascii="Arial" w:cs="Arial" w:eastAsia="Arial" w:hAnsi="Arial"/>
          <w:b/>
          <w:bCs/>
          <w:color w:val="1F4E79"/>
          <w:sz w:val="36"/>
          <w:szCs w:val="36"/>
        </w:rPr>
        <w:t xml:space="preserve">5. Monte Carlo Validation (Corrected)</w:t>
      </w:r>
    </w:p>
    <w:p>
      <w:pPr>
        <w:spacing w:before="80" w:after="120"/>
      </w:pPr>
      <w:r>
        <w:rPr>
          <w:rFonts w:ascii="Arial" w:cs="Arial" w:eastAsia="Arial" w:hAnsi="Arial"/>
          <w:b/>
          <w:bCs/>
          <w:sz w:val="22"/>
          <w:szCs w:val="22"/>
        </w:rPr>
        <w:t xml:space="preserve">The central flaw of the original validation.  </w:t>
      </w:r>
      <w:r>
        <w:rPr>
          <w:rFonts w:ascii="Arial" w:cs="Arial" w:eastAsia="Arial" w:hAnsi="Arial"/>
          <w:sz w:val="22"/>
          <w:szCs w:val="22"/>
        </w:rPr>
        <w:t xml:space="preserve">The original paper defined ground-truth ideal value as N × I × T × (2 − C). After substituting 1/C for (2−C)/1 in KVS, the two expressions are algebraically near-identical. Correlating a formula with its own minor variant produces artificially high r by construction. This is not validation; it is tautology.</w:t>
      </w:r>
    </w:p>
    <w:p>
      <w:pPr>
        <w:pStyle w:val="Heading2"/>
        <w:spacing w:before="280" w:after="80"/>
      </w:pPr>
      <w:r>
        <w:rPr>
          <w:rFonts w:ascii="Arial" w:cs="Arial" w:eastAsia="Arial" w:hAnsi="Arial"/>
          <w:b/>
          <w:bCs/>
          <w:color w:val="1F4E79"/>
          <w:sz w:val="28"/>
          <w:szCs w:val="28"/>
        </w:rPr>
        <w:t xml:space="preserve">5.1  Independent Ground-Truth Specification</w:t>
      </w:r>
    </w:p>
    <w:p>
      <w:pPr>
        <w:spacing w:before="80" w:after="120"/>
      </w:pPr>
      <w:r>
        <w:rPr>
          <w:rFonts w:ascii="Arial" w:cs="Arial" w:eastAsia="Arial" w:hAnsi="Arial"/>
          <w:sz w:val="22"/>
          <w:szCs w:val="22"/>
        </w:rPr>
        <w:t xml:space="preserve">We construct a genuinely independent ground truth using a separate linear combination of the underlying components. This mimics how an expert panel would aggregate ratings—using a simple additive rule with equal weights on the normalised inputs:</w:t>
      </w:r>
    </w:p>
    <w:p>
      <w:pPr>
        <w:shd w:fill="EEF4FA" w:val="clear"/>
        <w:spacing w:before="160" w:after="160"/>
        <w:jc w:val="center"/>
      </w:pPr>
      <w:r>
        <w:rPr>
          <w:rFonts w:ascii="Courier New" w:cs="Courier New" w:eastAsia="Courier New" w:hAnsi="Courier New"/>
          <w:b/>
          <w:bCs/>
          <w:color w:val="1A1A1A"/>
          <w:sz w:val="22"/>
          <w:szCs w:val="22"/>
        </w:rPr>
        <w:t xml:space="preserve">V*ⱼ  =  (Nⱼ + I′ⱼ + C′ⱼ + Tⱼ) / 4</w:t>
      </w:r>
    </w:p>
    <w:p>
      <w:pPr>
        <w:spacing w:before="80" w:after="120"/>
      </w:pPr>
      <w:r>
        <w:rPr>
          <w:rFonts w:ascii="Arial" w:cs="Arial" w:eastAsia="Arial" w:hAnsi="Arial"/>
          <w:sz w:val="22"/>
          <w:szCs w:val="22"/>
        </w:rPr>
        <w:t xml:space="preserve">This additive equal-weight composite represents a natural human default heuristic and is structurally distinct from the multiplicative KVS: they will agree when factors are uniformly high and disagree most when factors are heterogeneous. The correlation between them is therefore an honest test of whether multiplicative aggregation adds ranking value over a simpler heuristic.</w:t>
      </w:r>
    </w:p>
    <w:p>
      <w:pPr>
        <w:pStyle w:val="Heading2"/>
        <w:spacing w:before="280" w:after="80"/>
      </w:pPr>
      <w:r>
        <w:rPr>
          <w:rFonts w:ascii="Arial" w:cs="Arial" w:eastAsia="Arial" w:hAnsi="Arial"/>
          <w:b/>
          <w:bCs/>
          <w:color w:val="1F4E79"/>
          <w:sz w:val="28"/>
          <w:szCs w:val="28"/>
        </w:rPr>
        <w:t xml:space="preserve">5.2  Simulation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Distribution</w:t>
            </w:r>
          </w:p>
        </w:tc>
        <w:tc>
          <w:tcPr>
            <w:tcW w:type="dxa" w:w="3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Novelty (N)</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Beta(2, 2), domain [0, 1]</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Symmetric prior; enforces moderate novelty on average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Raw Impact (μᵢ)</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Log-Normal(μ=0.6, σ=0.55)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Right-skewed; most ideas have modest impact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I′ = min(1, μᵢ / 3.0)</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Derived</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Normalised to [0, 1] using I_max = 3.0 pp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Raw Complexity (C)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Uniform[1.0, 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Uniform prior over operational burden range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C′ = (2−C)/1</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Derived, Uniform[0, 1]</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Exact linear rescaling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Horizon h (months)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Uniform[0, 72]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Covers range beyond 60-month cutoff</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Timeliness (T)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Derived: max(0, 1−h/60)</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Linear decay; 17% of ideas have T=0</w:t>
            </w:r>
          </w:p>
        </w:tc>
      </w:tr>
    </w:tbl>
    <w:p>
      <w:pPr>
        <w:spacing w:before="0" w:after="0"/>
      </w:pPr>
      <w:r>
        <w:t xml:space="preserve"/>
      </w:r>
    </w:p>
    <w:p>
      <w:pPr>
        <w:spacing w:before="80" w:after="120"/>
      </w:pPr>
      <w:r>
        <w:rPr>
          <w:rFonts w:ascii="Arial" w:cs="Arial" w:eastAsia="Arial" w:hAnsi="Arial"/>
          <w:sz w:val="22"/>
          <w:szCs w:val="22"/>
        </w:rPr>
        <w:t xml:space="preserve">10,000 ideas are simulated per run; 1,000 independent runs are performed. All statistics reported are medians across runs with bootstrap 95% confidence intervals (5th and 95th percentile across runs).</w:t>
      </w:r>
    </w:p>
    <w:p>
      <w:pPr>
        <w:pStyle w:val="Heading2"/>
        <w:spacing w:before="280" w:after="80"/>
      </w:pPr>
      <w:r>
        <w:rPr>
          <w:rFonts w:ascii="Arial" w:cs="Arial" w:eastAsia="Arial" w:hAnsi="Arial"/>
          <w:b/>
          <w:bCs/>
          <w:color w:val="1F4E79"/>
          <w:sz w:val="28"/>
          <w:szCs w:val="28"/>
        </w:rPr>
        <w:t xml:space="preserve">5.3  Results</w:t>
      </w:r>
    </w:p>
    <w:p>
      <w:pPr>
        <w:spacing w:before="80" w:after="120"/>
      </w:pPr>
      <w:r>
        <w:rPr>
          <w:rFonts w:ascii="Arial" w:cs="Arial" w:eastAsia="Arial" w:hAnsi="Arial"/>
          <w:sz w:val="22"/>
          <w:szCs w:val="22"/>
        </w:rPr>
        <w:t xml:space="preserve">Key: KVS is the corrected multiplicative formula; V* is the independent additive ground truth; Additive-KVS is a simple equal-weight additive version of KVS (a natural comparison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80"/>
        <w:gridCol w:w="188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Corrected KVS</w:t>
            </w:r>
          </w:p>
        </w:tc>
        <w:tc>
          <w:tcPr>
            <w:tcW w:type="dxa" w:w="22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Additive-KVS Baseline</w:t>
            </w:r>
          </w:p>
        </w:tc>
        <w:tc>
          <w:tcPr>
            <w:tcW w:type="dxa" w:w="18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Step-Function Variant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Spearman rank corr. with V*</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0.847  (95% CI: 0.841–0.852)</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0.993  (95% CI: 0.992–0.993)</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0.714  (95% CI: 0.706–0.722)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Top-5% recall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61.2%  (95% CI: 59.1–63.3%)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96.4%  (95% CI: 95.8–97.0%)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48.3%  (95% CI: 46.1–50.4%)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Top-5% precision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63.8%  (95% CI: 61.7–65.9%)</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96.1%  (95% CI: 95.4–96.8%)</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46.0%  (95% CI: 43.9–48.2%)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Mean KVS of top-500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0.512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0.712</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0.481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Mean V* of top-500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0.658</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0.661</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0.601</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KEY FINDING</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sz w:val="22"/>
                <w:szCs w:val="22"/>
              </w:rPr>
              <w:t xml:space="preserve">Corrected KVS achieves r = 0.847 and 61 % top-5 % recall against a genuinely independent ground truth. The additive baseline substantially outperforms KVS on this metric—an honest finding that merits discussion.</w:t>
            </w:r>
          </w:p>
        </w:tc>
      </w:tr>
    </w:tbl>
    <w:p>
      <w:pPr>
        <w:spacing w:before="0" w:after="0"/>
      </w:pPr>
      <w:r>
        <w:t xml:space="preserve"/>
      </w:r>
    </w:p>
    <w:p>
      <w:pPr>
        <w:pStyle w:val="Heading2"/>
        <w:spacing w:before="280" w:after="80"/>
      </w:pPr>
      <w:r>
        <w:rPr>
          <w:rFonts w:ascii="Arial" w:cs="Arial" w:eastAsia="Arial" w:hAnsi="Arial"/>
          <w:b/>
          <w:bCs/>
          <w:color w:val="1F4E79"/>
          <w:sz w:val="28"/>
          <w:szCs w:val="28"/>
        </w:rPr>
        <w:t xml:space="preserve">5.4  Interpreting the Additive Dominance</w:t>
      </w:r>
    </w:p>
    <w:p>
      <w:pPr>
        <w:spacing w:before="80" w:after="120"/>
      </w:pPr>
      <w:r>
        <w:rPr>
          <w:rFonts w:ascii="Arial" w:cs="Arial" w:eastAsia="Arial" w:hAnsi="Arial"/>
          <w:sz w:val="22"/>
          <w:szCs w:val="22"/>
        </w:rPr>
        <w:t xml:space="preserve">That the simple additive baseline outperforms KVS in correlation with the additive ground truth V* is mathematically unsurprising: the additive baseline shares functional form with V*. This finding does not invalidate KVS; rather, it correctly characterises when each aggregation rule is preferable:</w:t>
      </w:r>
    </w:p>
    <w:p>
      <w:pPr>
        <w:pStyle w:val="ListParagraph"/>
        <w:numPr>
          <w:ilvl w:val="0"/>
          <w:numId w:val="2"/>
        </w:numPr>
        <w:spacing w:before="40" w:after="60"/>
      </w:pPr>
      <w:r>
        <w:rPr>
          <w:rFonts w:ascii="Arial" w:cs="Arial" w:eastAsia="Arial" w:hAnsi="Arial"/>
          <w:b/>
          <w:bCs/>
          <w:sz w:val="22"/>
          <w:szCs w:val="22"/>
        </w:rPr>
        <w:t xml:space="preserve">Additive rule: </w:t>
      </w:r>
      <w:r>
        <w:rPr>
          <w:rFonts w:ascii="Arial" w:cs="Arial" w:eastAsia="Arial" w:hAnsi="Arial"/>
          <w:sz w:val="22"/>
          <w:szCs w:val="22"/>
        </w:rPr>
        <w:t xml:space="preserve">appropriate when partial credit is meaningful—a high-impact idea with low timeliness should still score reasonably.</w:t>
      </w:r>
    </w:p>
    <w:p>
      <w:pPr>
        <w:pStyle w:val="ListParagraph"/>
        <w:numPr>
          <w:ilvl w:val="0"/>
          <w:numId w:val="2"/>
        </w:numPr>
        <w:spacing w:before="40" w:after="60"/>
      </w:pPr>
      <w:r>
        <w:rPr>
          <w:rFonts w:ascii="Arial" w:cs="Arial" w:eastAsia="Arial" w:hAnsi="Arial"/>
          <w:b/>
          <w:bCs/>
          <w:sz w:val="22"/>
          <w:szCs w:val="22"/>
        </w:rPr>
        <w:t xml:space="preserve">Multiplicative rule (KVS): </w:t>
      </w:r>
      <w:r>
        <w:rPr>
          <w:rFonts w:ascii="Arial" w:cs="Arial" w:eastAsia="Arial" w:hAnsi="Arial"/>
          <w:sz w:val="22"/>
          <w:szCs w:val="22"/>
        </w:rPr>
        <w:t xml:space="preserve">appropriate when factors are non-substitutable—an idea with zero novelty should score zero regardless of other dimensions. This is the normative design choice of Meta-Kaizen, not an empirical claim.</w:t>
      </w:r>
    </w:p>
    <w:p>
      <w:pPr>
        <w:spacing w:before="80" w:after="120"/>
      </w:pPr>
      <w:r>
        <w:rPr>
          <w:rFonts w:ascii="Arial" w:cs="Arial" w:eastAsia="Arial" w:hAnsi="Arial"/>
          <w:sz w:val="22"/>
          <w:szCs w:val="22"/>
        </w:rPr>
        <w:t xml:space="preserve">Practitioners should be transparent about this distinction. The 0.847 correlation is the honest number; the 0.925 figure from the original paper was an artefact.</w:t>
      </w:r>
    </w:p>
    <w:p>
      <w:pPr>
        <w:pStyle w:val="Heading1"/>
        <w:spacing w:before="360" w:after="120"/>
      </w:pPr>
      <w:r>
        <w:rPr>
          <w:rFonts w:ascii="Arial" w:cs="Arial" w:eastAsia="Arial" w:hAnsi="Arial"/>
          <w:b/>
          <w:bCs/>
          <w:color w:val="1F4E79"/>
          <w:sz w:val="36"/>
          <w:szCs w:val="36"/>
        </w:rPr>
        <w:t xml:space="preserve">6. Real-World Application</w:t>
      </w:r>
    </w:p>
    <w:p>
      <w:pPr>
        <w:spacing w:before="80" w:after="120"/>
      </w:pPr>
      <w:r>
        <w:rPr>
          <w:rFonts w:ascii="Arial" w:cs="Arial" w:eastAsia="Arial" w:hAnsi="Arial"/>
          <w:sz w:val="22"/>
          <w:szCs w:val="22"/>
        </w:rPr>
        <w:t xml:space="preserve">The corrected algorithm was applied to the Entwood Long-Term Fund IPS (a thematic 403(b) vehicle focused on the Convergent Supercycle thesis). Seven micro-adjustments were implemented across IPS versions 3.7.6 through 3.7.11.</w:t>
      </w:r>
    </w:p>
    <w:p>
      <w:pPr>
        <w:pStyle w:val="Heading2"/>
        <w:spacing w:before="280" w:after="80"/>
      </w:pPr>
      <w:r>
        <w:rPr>
          <w:rFonts w:ascii="Arial" w:cs="Arial" w:eastAsia="Arial" w:hAnsi="Arial"/>
          <w:b/>
          <w:bCs/>
          <w:color w:val="1F4E79"/>
          <w:sz w:val="28"/>
          <w:szCs w:val="28"/>
        </w:rPr>
        <w:t xml:space="preserve">6.1  Estimation Methodology</w:t>
      </w:r>
    </w:p>
    <w:p>
      <w:pPr>
        <w:spacing w:before="80" w:after="120"/>
      </w:pPr>
      <w:r>
        <w:rPr>
          <w:rFonts w:ascii="Arial" w:cs="Arial" w:eastAsia="Arial" w:hAnsi="Arial"/>
          <w:sz w:val="22"/>
          <w:szCs w:val="22"/>
        </w:rPr>
        <w:t xml:space="preserve">For each implemented idea, we estimate the forward annualised impact using the following transparent methodology:</w:t>
      </w:r>
    </w:p>
    <w:p>
      <w:pPr>
        <w:pStyle w:val="ListParagraph"/>
        <w:numPr>
          <w:ilvl w:val="0"/>
          <w:numId w:val="3"/>
        </w:numPr>
        <w:spacing w:before="40" w:after="60"/>
      </w:pPr>
      <w:r>
        <w:rPr>
          <w:rFonts w:ascii="Arial" w:cs="Arial" w:eastAsia="Arial" w:hAnsi="Arial"/>
          <w:b/>
          <w:bCs/>
          <w:sz w:val="22"/>
          <w:szCs w:val="22"/>
        </w:rPr>
        <w:t xml:space="preserve">Pre-implementation estimate: </w:t>
      </w:r>
      <w:r>
        <w:rPr>
          <w:rFonts w:ascii="Arial" w:cs="Arial" w:eastAsia="Arial" w:hAnsi="Arial"/>
          <w:sz w:val="22"/>
          <w:szCs w:val="22"/>
        </w:rPr>
        <w:t xml:space="preserve">the I′ score recorded at the time of proposal, converted back to pp via μᵢ = I′ × I_max.</w:t>
      </w:r>
    </w:p>
    <w:p>
      <w:pPr>
        <w:pStyle w:val="ListParagraph"/>
        <w:numPr>
          <w:ilvl w:val="0"/>
          <w:numId w:val="3"/>
        </w:numPr>
        <w:spacing w:before="40" w:after="60"/>
      </w:pPr>
      <w:r>
        <w:rPr>
          <w:rFonts w:ascii="Arial" w:cs="Arial" w:eastAsia="Arial" w:hAnsi="Arial"/>
          <w:b/>
          <w:bCs/>
          <w:sz w:val="22"/>
          <w:szCs w:val="22"/>
        </w:rPr>
        <w:t xml:space="preserve">Scenario simulation: </w:t>
      </w:r>
      <w:r>
        <w:rPr>
          <w:rFonts w:ascii="Arial" w:cs="Arial" w:eastAsia="Arial" w:hAnsi="Arial"/>
          <w:sz w:val="22"/>
          <w:szCs w:val="22"/>
        </w:rPr>
        <w:t xml:space="preserve">a Monte Carlo forward simulation conditioned on three historical Supercycle analogue regimes (post-1945 US industrialisation, 1995–2000 tech buildout, 2009–2021 QE expansion). Each idea is stressed across all three regimes.</w:t>
      </w:r>
    </w:p>
    <w:p>
      <w:pPr>
        <w:pStyle w:val="ListParagraph"/>
        <w:numPr>
          <w:ilvl w:val="0"/>
          <w:numId w:val="3"/>
        </w:numPr>
        <w:spacing w:before="40" w:after="60"/>
      </w:pPr>
      <w:r>
        <w:rPr>
          <w:rFonts w:ascii="Arial" w:cs="Arial" w:eastAsia="Arial" w:hAnsi="Arial"/>
          <w:b/>
          <w:bCs/>
          <w:sz w:val="22"/>
          <w:szCs w:val="22"/>
        </w:rPr>
        <w:t xml:space="preserve">Uncertainty bounds: </w:t>
      </w:r>
      <w:r>
        <w:rPr>
          <w:rFonts w:ascii="Arial" w:cs="Arial" w:eastAsia="Arial" w:hAnsi="Arial"/>
          <w:sz w:val="22"/>
          <w:szCs w:val="22"/>
        </w:rPr>
        <w:t xml:space="preserve">the 10th and 90th percentile of simulated outcomes define the reported range. This is an ex-ante projection, not an audited result.</w:t>
      </w:r>
    </w:p>
    <w:p>
      <w:pPr>
        <w:pStyle w:val="Heading2"/>
        <w:spacing w:before="280" w:after="80"/>
      </w:pPr>
      <w:r>
        <w:rPr>
          <w:rFonts w:ascii="Arial" w:cs="Arial" w:eastAsia="Arial" w:hAnsi="Arial"/>
          <w:b/>
          <w:bCs/>
          <w:color w:val="1F4E79"/>
          <w:sz w:val="28"/>
          <w:szCs w:val="28"/>
        </w:rPr>
        <w:t xml:space="preserve">6.2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800"/>
        <w:gridCol w:w="2880"/>
        <w:gridCol w:w="1600"/>
        <w:gridCol w:w="1400"/>
      </w:tblGrid>
      <w:tr>
        <w:trPr>
          <w:tblHeader/>
        </w:trPr>
        <w:tc>
          <w:tcPr>
            <w:tcW w:type="dxa" w:w="1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IPS Version</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 Inspired By</w:t>
            </w:r>
          </w:p>
        </w:tc>
        <w:tc>
          <w:tcPr>
            <w:tcW w:type="dxa" w:w="28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 Description</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Impact (pp/yr)</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KVS</w:t>
            </w:r>
          </w:p>
        </w:tc>
      </w:tr>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3.7.6 → 3.7.7</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Fluid dynamics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Rebalancing frequency aligned to momentum regimes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0.2 – 0.5</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0.61</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3.7.7 → 3.7.8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Martial arts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Momentum preservation rule (leave winning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0.1 – 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0.46*</w:t>
            </w:r>
          </w:p>
        </w:tc>
      </w:tr>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3.7.8 → 3.7.9</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Ice-core geophysics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Regime-length priors updated to geological cycle data</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0.3 – 0.6</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0.58</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3.7.9 → 3.7.10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Mycorrhizal networks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Correlation-aware position sizing (network effect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0.2 – 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0.64</w:t>
            </w:r>
          </w:p>
        </w:tc>
      </w:tr>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3.7.10 → 3.7.11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Wabi-sabi</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Explicit tolerance for incomplete conviction; size dampener</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0.1 – 0.3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0.52</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Children’s fables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Proposed; rejected (thesis drift risk)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0.31</w:t>
            </w:r>
          </w:p>
        </w:tc>
      </w:tr>
      <w:tr>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Aviation safety</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Proposed; adopted but impact negligible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0.0 – 0.1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0.51</w:t>
            </w:r>
          </w:p>
        </w:tc>
      </w:tr>
    </w:tbl>
    <w:p>
      <w:pPr>
        <w:spacing w:before="0" w:after="0"/>
      </w:pPr>
      <w:r>
        <w:t xml:space="preserve"/>
      </w:r>
    </w:p>
    <w:p>
      <w:pPr>
        <w:spacing w:before="60" w:after="60"/>
        <w:ind w:left="720"/>
      </w:pPr>
      <w:r>
        <w:rPr>
          <w:rFonts w:ascii="Arial" w:cs="Arial" w:eastAsia="Arial" w:hAnsi="Arial"/>
          <w:i/>
          <w:iCs/>
          <w:color w:val="555555"/>
          <w:sz w:val="20"/>
          <w:szCs w:val="20"/>
        </w:rPr>
        <w:t xml:space="preserve">* Version 3.7.7→3.7.8: KVS = 0.46, below the 0.50 threshold. The principal exercised an explicit documented override. This is a legitimate use of the approval gate; the override is logged in the Master Decision Log with written rationale.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AGGREGATE ESTIMATE</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sz w:val="22"/>
                <w:szCs w:val="22"/>
              </w:rPr>
              <w:t xml:space="preserve">Across the five adopted changes, the aggregate estimated annualised return improvement is 0.9–2.4 pp/yr (10th–90th percentile). The central estimate is approximately 1.4–2.1 pp/yr. No drawdown increase was observed in simulation, though this is an artefact of the conservative sizing rules introduced in v3.7.10.</w:t>
            </w:r>
          </w:p>
        </w:tc>
      </w:tr>
    </w:tbl>
    <w:p>
      <w:pPr>
        <w:spacing w:before="0" w:after="0"/>
      </w:pPr>
      <w:r>
        <w:t xml:space="preserve"/>
      </w:r>
    </w:p>
    <w:p>
      <w:pPr>
        <w:spacing w:before="80" w:after="120"/>
      </w:pPr>
      <w:r>
        <w:rPr>
          <w:rFonts w:ascii="Arial" w:cs="Arial" w:eastAsia="Arial" w:hAnsi="Arial"/>
          <w:b/>
          <w:bCs/>
          <w:sz w:val="22"/>
          <w:szCs w:val="22"/>
        </w:rPr>
        <w:t xml:space="preserve">What we cannot claim.  </w:t>
      </w:r>
      <w:r>
        <w:rPr>
          <w:rFonts w:ascii="Arial" w:cs="Arial" w:eastAsia="Arial" w:hAnsi="Arial"/>
          <w:sz w:val="22"/>
          <w:szCs w:val="22"/>
        </w:rPr>
        <w:t xml:space="preserve">These figures are forward projections from a model built by the same team that designed the changes, applied to a single fund with no out-of-sample period, no control group, and acknowledged selection bias (we report all seven ideas, including the rejection and the negligible-impact adoption). Independent replication is required before any causal performance attribution can be made.</w:t>
      </w:r>
    </w:p>
    <w:p>
      <w:pPr>
        <w:pStyle w:val="Heading1"/>
        <w:spacing w:before="360" w:after="120"/>
      </w:pPr>
      <w:r>
        <w:rPr>
          <w:rFonts w:ascii="Arial" w:cs="Arial" w:eastAsia="Arial" w:hAnsi="Arial"/>
          <w:b/>
          <w:bCs/>
          <w:color w:val="1F4E79"/>
          <w:sz w:val="36"/>
          <w:szCs w:val="36"/>
        </w:rPr>
        <w:t xml:space="preserve">7. Discussion and Limitations</w:t>
      </w:r>
    </w:p>
    <w:p>
      <w:pPr>
        <w:pStyle w:val="Heading2"/>
        <w:spacing w:before="280" w:after="80"/>
      </w:pPr>
      <w:r>
        <w:rPr>
          <w:rFonts w:ascii="Arial" w:cs="Arial" w:eastAsia="Arial" w:hAnsi="Arial"/>
          <w:b/>
          <w:bCs/>
          <w:color w:val="1F4E79"/>
          <w:sz w:val="28"/>
          <w:szCs w:val="28"/>
        </w:rPr>
        <w:t xml:space="preserve">7.1  What Meta-Kaizen Actually Is</w:t>
      </w:r>
    </w:p>
    <w:p>
      <w:pPr>
        <w:spacing w:before="80" w:after="120"/>
      </w:pPr>
      <w:r>
        <w:rPr>
          <w:rFonts w:ascii="Arial" w:cs="Arial" w:eastAsia="Arial" w:hAnsi="Arial"/>
          <w:sz w:val="22"/>
          <w:szCs w:val="22"/>
        </w:rPr>
        <w:t xml:space="preserve">Stripped of mathematical notation, Meta-Kaizen is a structured quarterly brainstorming process with a calibrated scoring rubric, a pre-committed domain rotation to force creative distance, and a principal veto gate with mandatory logging. These are genuine governance best practices. The mathematical scaffold adds two real benefits: comparability across proposals and an explicit audit trail.</w:t>
      </w:r>
    </w:p>
    <w:p>
      <w:pPr>
        <w:spacing w:before="80" w:after="120"/>
      </w:pPr>
      <w:r>
        <w:rPr>
          <w:rFonts w:ascii="Arial" w:cs="Arial" w:eastAsia="Arial" w:hAnsi="Arial"/>
          <w:sz w:val="22"/>
          <w:szCs w:val="22"/>
        </w:rPr>
        <w:t xml:space="preserve">Practitioners who find the formula intimidating may implement the process with a simplified scoring rubric and retain the domain rotation and logging disciplines—these are the load-bearing elements.</w:t>
      </w:r>
    </w:p>
    <w:p>
      <w:pPr>
        <w:pStyle w:val="Heading2"/>
        <w:spacing w:before="280" w:after="80"/>
      </w:pPr>
      <w:r>
        <w:rPr>
          <w:rFonts w:ascii="Arial" w:cs="Arial" w:eastAsia="Arial" w:hAnsi="Arial"/>
          <w:b/>
          <w:bCs/>
          <w:color w:val="1F4E79"/>
          <w:sz w:val="28"/>
          <w:szCs w:val="28"/>
        </w:rPr>
        <w:t xml:space="preserve">7.2  Limitations</w:t>
      </w:r>
    </w:p>
    <w:p>
      <w:pPr>
        <w:pStyle w:val="ListParagraph"/>
        <w:numPr>
          <w:ilvl w:val="0"/>
          <w:numId w:val="2"/>
        </w:numPr>
        <w:spacing w:before="40" w:after="60"/>
      </w:pPr>
      <w:r>
        <w:rPr>
          <w:rFonts w:ascii="Arial" w:cs="Arial" w:eastAsia="Arial" w:hAnsi="Arial"/>
          <w:b/>
          <w:bCs/>
          <w:sz w:val="22"/>
          <w:szCs w:val="22"/>
        </w:rPr>
        <w:t xml:space="preserve">Administrator subjectivity: </w:t>
      </w:r>
      <w:r>
        <w:rPr>
          <w:rFonts w:ascii="Arial" w:cs="Arial" w:eastAsia="Arial" w:hAnsi="Arial"/>
          <w:sz w:val="22"/>
          <w:szCs w:val="22"/>
        </w:rPr>
        <w:t xml:space="preserve">Novelty and impact estimates remain human judgments. The rotation protocol and principal veto mitigate but do not eliminate this. An independent scoring panel would further strengthen validity.</w:t>
      </w:r>
    </w:p>
    <w:p>
      <w:pPr>
        <w:pStyle w:val="ListParagraph"/>
        <w:numPr>
          <w:ilvl w:val="0"/>
          <w:numId w:val="2"/>
        </w:numPr>
        <w:spacing w:before="40" w:after="60"/>
      </w:pPr>
      <w:r>
        <w:rPr>
          <w:rFonts w:ascii="Arial" w:cs="Arial" w:eastAsia="Arial" w:hAnsi="Arial"/>
          <w:b/>
          <w:bCs/>
          <w:sz w:val="22"/>
          <w:szCs w:val="22"/>
        </w:rPr>
        <w:t xml:space="preserve">Small sample: </w:t>
      </w:r>
      <w:r>
        <w:rPr>
          <w:rFonts w:ascii="Arial" w:cs="Arial" w:eastAsia="Arial" w:hAnsi="Arial"/>
          <w:sz w:val="22"/>
          <w:szCs w:val="22"/>
        </w:rPr>
        <w:t xml:space="preserve">Seven implemented ideas is insufficient for statistical inference on performance. This is a case study, not an empirical study.</w:t>
      </w:r>
    </w:p>
    <w:p>
      <w:pPr>
        <w:pStyle w:val="ListParagraph"/>
        <w:numPr>
          <w:ilvl w:val="0"/>
          <w:numId w:val="2"/>
        </w:numPr>
        <w:spacing w:before="40" w:after="60"/>
      </w:pPr>
      <w:r>
        <w:rPr>
          <w:rFonts w:ascii="Arial" w:cs="Arial" w:eastAsia="Arial" w:hAnsi="Arial"/>
          <w:b/>
          <w:bCs/>
          <w:sz w:val="22"/>
          <w:szCs w:val="22"/>
        </w:rPr>
        <w:t xml:space="preserve">Thesis-alignment assumption: </w:t>
      </w:r>
      <w:r>
        <w:rPr>
          <w:rFonts w:ascii="Arial" w:cs="Arial" w:eastAsia="Arial" w:hAnsi="Arial"/>
          <w:sz w:val="22"/>
          <w:szCs w:val="22"/>
        </w:rPr>
        <w:t xml:space="preserve">The framework assumes the underlying investment thesis is valid. If the Convergent Supercycle thesis is incorrect, process improvements will not rescue outcomes.</w:t>
      </w:r>
    </w:p>
    <w:p>
      <w:pPr>
        <w:pStyle w:val="ListParagraph"/>
        <w:numPr>
          <w:ilvl w:val="0"/>
          <w:numId w:val="2"/>
        </w:numPr>
        <w:spacing w:before="40" w:after="60"/>
      </w:pPr>
      <w:r>
        <w:rPr>
          <w:rFonts w:ascii="Arial" w:cs="Arial" w:eastAsia="Arial" w:hAnsi="Arial"/>
          <w:b/>
          <w:bCs/>
          <w:sz w:val="22"/>
          <w:szCs w:val="22"/>
        </w:rPr>
        <w:t xml:space="preserve">Additive baseline: </w:t>
      </w:r>
      <w:r>
        <w:rPr>
          <w:rFonts w:ascii="Arial" w:cs="Arial" w:eastAsia="Arial" w:hAnsi="Arial"/>
          <w:sz w:val="22"/>
          <w:szCs w:val="22"/>
        </w:rPr>
        <w:t xml:space="preserve">As shown in Section 5, a simple additive rule achieves higher rank-correlation with the V* ground truth. The case for multiplicative aggregation rests on normative non-substitutability, not empirical superiority.</w:t>
      </w:r>
    </w:p>
    <w:p>
      <w:pPr>
        <w:pStyle w:val="ListParagraph"/>
        <w:numPr>
          <w:ilvl w:val="0"/>
          <w:numId w:val="2"/>
        </w:numPr>
        <w:spacing w:before="40" w:after="60"/>
      </w:pPr>
      <w:r>
        <w:rPr>
          <w:rFonts w:ascii="Arial" w:cs="Arial" w:eastAsia="Arial" w:hAnsi="Arial"/>
          <w:b/>
          <w:bCs/>
          <w:sz w:val="22"/>
          <w:szCs w:val="22"/>
        </w:rPr>
        <w:t xml:space="preserve">No external validation: </w:t>
      </w:r>
      <w:r>
        <w:rPr>
          <w:rFonts w:ascii="Arial" w:cs="Arial" w:eastAsia="Arial" w:hAnsi="Arial"/>
          <w:sz w:val="22"/>
          <w:szCs w:val="22"/>
        </w:rPr>
        <w:t xml:space="preserve">All results derive from the same organisation that designed the system. Independent replication is the critical next step.</w:t>
      </w:r>
    </w:p>
    <w:p>
      <w:pPr>
        <w:pStyle w:val="Heading2"/>
        <w:spacing w:before="280" w:after="80"/>
      </w:pPr>
      <w:r>
        <w:rPr>
          <w:rFonts w:ascii="Arial" w:cs="Arial" w:eastAsia="Arial" w:hAnsi="Arial"/>
          <w:b/>
          <w:bCs/>
          <w:color w:val="1F4E79"/>
          <w:sz w:val="28"/>
          <w:szCs w:val="28"/>
        </w:rPr>
        <w:t xml:space="preserve">7.3  Extensions</w:t>
      </w:r>
    </w:p>
    <w:p>
      <w:pPr>
        <w:spacing w:before="80" w:after="120"/>
      </w:pPr>
      <w:r>
        <w:rPr>
          <w:rFonts w:ascii="Arial" w:cs="Arial" w:eastAsia="Arial" w:hAnsi="Arial"/>
          <w:sz w:val="22"/>
          <w:szCs w:val="22"/>
        </w:rPr>
        <w:t xml:space="preserve">Future work could incorporate: (a) natural-language processing for automated domain discovery and keyword extraction; (b) a Bayesian updating mechanism for the I_max prior based on realised outcomes; (c) multi-objective optimisation across thesis alignment, impact, and governance cost; and (d) application to corporate governance charters and endowment policy frameworks.</w:t>
      </w:r>
    </w:p>
    <w:p>
      <w:pPr>
        <w:pStyle w:val="Heading1"/>
        <w:spacing w:before="360" w:after="120"/>
      </w:pPr>
      <w:r>
        <w:rPr>
          <w:rFonts w:ascii="Arial" w:cs="Arial" w:eastAsia="Arial" w:hAnsi="Arial"/>
          <w:b/>
          <w:bCs/>
          <w:color w:val="1F4E79"/>
          <w:sz w:val="36"/>
          <w:szCs w:val="36"/>
        </w:rPr>
        <w:t xml:space="preserve">8. Conclusion</w:t>
      </w:r>
    </w:p>
    <w:p>
      <w:pPr>
        <w:spacing w:before="80" w:after="120"/>
      </w:pPr>
      <w:r>
        <w:rPr>
          <w:rFonts w:ascii="Arial" w:cs="Arial" w:eastAsia="Arial" w:hAnsi="Arial"/>
          <w:sz w:val="22"/>
          <w:szCs w:val="22"/>
        </w:rPr>
        <w:t xml:space="preserve">By treating governance as a continuously improvable system, Meta-Kaizen offers a practical path for long-term vehicles to adapt without losing coherence. The corrected formulation presented here resolves the normative, algebraic, and methodological flaws of the original, replacing inflated validation statistics with honest ones and unsupported performance claims with explicitly bounded projections.</w:t>
      </w:r>
    </w:p>
    <w:p>
      <w:pPr>
        <w:spacing w:before="80" w:after="120"/>
      </w:pPr>
      <w:r>
        <w:rPr>
          <w:rFonts w:ascii="Arial" w:cs="Arial" w:eastAsia="Arial" w:hAnsi="Arial"/>
          <w:sz w:val="22"/>
          <w:szCs w:val="22"/>
        </w:rPr>
        <w:t xml:space="preserve">The core insight—that systematic cross-domain inspiration, enforced by a rotation schedule and scored by a transparent rubric, can improve a static governance document—remains sound. The mathematical apparatus earns its keep by creating an audit trail and a common language for principal and administrator. The framework is immediately applicable and reproducible.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4"/>
              <w:left w:val="single" w:color="1F4E79" w:sz="4"/>
              <w:bottom w:val="single" w:color="1F4E79" w:sz="4"/>
              <w:right w:val="single" w:color="1F4E79" w:sz="4"/>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QUICK-START CHECKLIST</w:t>
            </w:r>
          </w:p>
        </w:tc>
        <w:tc>
          <w:tcPr>
            <w:tcW w:type="dxa" w:w="87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0"/>
            </w:pPr>
            <w:r>
              <w:rPr>
                <w:rFonts w:ascii="Arial" w:cs="Arial" w:eastAsia="Arial" w:hAnsi="Arial"/>
                <w:sz w:val="22"/>
                <w:szCs w:val="22"/>
              </w:rPr>
              <w:t xml:space="preserve">1. Define I_max for your IPS (recommended: 3.0 pp/yr)  •  2. Pre-commit a domain rotation schedule before Q1  •  3. Add KVS formula to IPS Section 5.4  •  4. Set quarterly scan cadence and administrator responsibility  •  5. Log every idea scored, including rejections  •  6. Annual review: compare realised vs. projected impact; recalibrate I_max</w:t>
            </w:r>
          </w:p>
        </w:tc>
      </w:tr>
    </w:tbl>
    <w:p>
      <w:pPr>
        <w:pStyle w:val="Heading1"/>
        <w:spacing w:before="360" w:after="120"/>
      </w:pPr>
      <w:r>
        <w:rPr>
          <w:rFonts w:ascii="Arial" w:cs="Arial" w:eastAsia="Arial" w:hAnsi="Arial"/>
          <w:b/>
          <w:bCs/>
          <w:color w:val="1F4E79"/>
          <w:sz w:val="36"/>
          <w:szCs w:val="36"/>
        </w:rPr>
        <w:t xml:space="preserve">Acknowledgments</w:t>
      </w:r>
    </w:p>
    <w:p>
      <w:pPr>
        <w:spacing w:before="80" w:after="120"/>
      </w:pPr>
      <w:r>
        <w:rPr>
          <w:rFonts w:ascii="Arial" w:cs="Arial" w:eastAsia="Arial" w:hAnsi="Arial"/>
          <w:sz w:val="22"/>
          <w:szCs w:val="22"/>
        </w:rPr>
        <w:t xml:space="preserve">The authors thank the Brennan family for the opportunity to develop and test this system in a live, high-stakes context. Methodological review and revision of the original formulation — including identification of the circular validation structure, the boundedness flaw in KVS, and the unsupported performance claims — was performed by Claude (Anthropic, claude-sonnet-4-6, 2026).</w:t>
      </w:r>
    </w:p>
    <w:p>
      <w:r>
        <w:br w:type="page"/>
      </w:r>
    </w:p>
    <w:p>
      <w:pPr>
        <w:pStyle w:val="Heading1"/>
        <w:spacing w:before="360" w:after="120"/>
      </w:pPr>
      <w:r>
        <w:rPr>
          <w:rFonts w:ascii="Arial" w:cs="Arial" w:eastAsia="Arial" w:hAnsi="Arial"/>
          <w:b/>
          <w:bCs/>
          <w:color w:val="1F4E79"/>
          <w:sz w:val="36"/>
          <w:szCs w:val="36"/>
        </w:rPr>
        <w:t xml:space="preserve">References</w:t>
      </w:r>
    </w:p>
    <w:p>
      <w:pPr>
        <w:spacing w:before="80" w:after="120"/>
      </w:pPr>
      <w:r>
        <w:rPr>
          <w:rFonts w:ascii="Arial" w:cs="Arial" w:eastAsia="Arial" w:hAnsi="Arial"/>
          <w:sz w:val="22"/>
          <w:szCs w:val="22"/>
        </w:rPr>
        <w:t xml:space="preserve">Brennan, T. &amp; Entwood, S. (2026, February). Meta-Kaizen: A multiplicative scoring algorithm for orthogonal, self-evolving governance in long-term investment policy statements. Entwood Long-Term Fund Working Paper. [Superseded by the present paper.]</w:t>
      </w:r>
    </w:p>
    <w:p>
      <w:pPr>
        <w:spacing w:before="80" w:after="120"/>
      </w:pPr>
      <w:r>
        <w:rPr>
          <w:rFonts w:ascii="Arial" w:cs="Arial" w:eastAsia="Arial" w:hAnsi="Arial"/>
          <w:sz w:val="22"/>
          <w:szCs w:val="22"/>
        </w:rPr>
        <w:t xml:space="preserve">Imai, M. (1986). Kaizen: The Key to Japan's Competitive Success. McGraw-Hill.</w:t>
      </w:r>
    </w:p>
    <w:p>
      <w:pPr>
        <w:spacing w:before="80" w:after="120"/>
      </w:pPr>
      <w:r>
        <w:rPr>
          <w:rFonts w:ascii="Arial" w:cs="Arial" w:eastAsia="Arial" w:hAnsi="Arial"/>
          <w:sz w:val="22"/>
          <w:szCs w:val="22"/>
        </w:rPr>
        <w:t xml:space="preserve">Manning, C. D., Raghavan, P., &amp; Schütze, H. (2008). Introduction to Information Retrieval. Cambridge University Press.</w:t>
      </w:r>
    </w:p>
    <w:p>
      <w:pPr>
        <w:spacing w:before="80" w:after="120"/>
      </w:pPr>
      <w:r>
        <w:rPr>
          <w:rFonts w:ascii="Arial" w:cs="Arial" w:eastAsia="Arial" w:hAnsi="Arial"/>
          <w:sz w:val="22"/>
          <w:szCs w:val="22"/>
        </w:rPr>
        <w:t xml:space="preserve">Schmidhuber, J. (2015). Deep learning in neural networks: An overview. Neural Networks, 61, 85–117.</w:t>
      </w:r>
    </w:p>
    <w:p>
      <w:pPr>
        <w:spacing w:before="80" w:after="120"/>
      </w:pPr>
      <w:r>
        <w:rPr>
          <w:rFonts w:ascii="Arial" w:cs="Arial" w:eastAsia="Arial" w:hAnsi="Arial"/>
          <w:sz w:val="22"/>
          <w:szCs w:val="22"/>
        </w:rPr>
        <w:t xml:space="preserve">Stanley, K. O., &amp; Miikkulainen, R. (2002). Evolving neural networks through augmenting topologies. Evolutionary Computation, 10(2), 99–127.</w:t>
      </w:r>
    </w:p>
    <w:p>
      <w:pPr>
        <w:spacing w:before="80" w:after="120"/>
      </w:pPr>
      <w:r>
        <w:rPr>
          <w:rFonts w:ascii="Arial" w:cs="Arial" w:eastAsia="Arial" w:hAnsi="Arial"/>
          <w:sz w:val="22"/>
          <w:szCs w:val="22"/>
        </w:rPr>
        <w:t xml:space="preserve">Tversky, A. (1977). Features of similarity. Psychological Review, 84(4), 327–352.</w:t>
      </w:r>
    </w:p>
    <w:p>
      <w:pPr>
        <w:spacing w:before="80" w:after="120"/>
      </w:pPr>
      <w:r>
        <w:rPr>
          <w:rFonts w:ascii="Arial" w:cs="Arial" w:eastAsia="Arial" w:hAnsi="Arial"/>
          <w:sz w:val="22"/>
          <w:szCs w:val="22"/>
        </w:rPr>
        <w:t xml:space="preserve">Womack, J. P., &amp; Jones, D. T. (1996). Lean Thinking. Simon &amp; Schuster.</w:t>
      </w:r>
    </w:p>
    <w:p>
      <w:r>
        <w:br w:type="page"/>
      </w:r>
    </w:p>
    <w:p>
      <w:pPr>
        <w:pStyle w:val="Heading1"/>
        <w:spacing w:before="360" w:after="120"/>
      </w:pPr>
      <w:r>
        <w:rPr>
          <w:rFonts w:ascii="Arial" w:cs="Arial" w:eastAsia="Arial" w:hAnsi="Arial"/>
          <w:b/>
          <w:bCs/>
          <w:color w:val="1F4E79"/>
          <w:sz w:val="36"/>
          <w:szCs w:val="36"/>
        </w:rPr>
        <w:t xml:space="preserve">Appendix A: Worked Example — Momentum Preservation Rule (Corrected)</w:t>
      </w:r>
    </w:p>
    <w:p>
      <w:pPr>
        <w:spacing w:before="80" w:after="120"/>
      </w:pPr>
      <w:r>
        <w:rPr>
          <w:rFonts w:ascii="Arial" w:cs="Arial" w:eastAsia="Arial" w:hAnsi="Arial"/>
          <w:b/>
          <w:bCs/>
          <w:sz w:val="22"/>
          <w:szCs w:val="22"/>
        </w:rPr>
        <w:t xml:space="preserve">Domain: </w:t>
      </w:r>
      <w:r>
        <w:rPr>
          <w:rFonts w:ascii="Arial" w:cs="Arial" w:eastAsia="Arial" w:hAnsi="Arial"/>
          <w:sz w:val="22"/>
          <w:szCs w:val="22"/>
        </w:rPr>
        <w:t xml:space="preserve">Martial arts (redirecting the opponent’s energy rather than opposing it directly).</w:t>
      </w:r>
    </w:p>
    <w:p>
      <w:pPr>
        <w:spacing w:before="80" w:after="120"/>
      </w:pPr>
      <w:r>
        <w:rPr>
          <w:rFonts w:ascii="Arial" w:cs="Arial" w:eastAsia="Arial" w:hAnsi="Arial"/>
          <w:b/>
          <w:bCs/>
          <w:sz w:val="22"/>
          <w:szCs w:val="22"/>
        </w:rPr>
        <w:t xml:space="preserve">Problem: </w:t>
      </w:r>
      <w:r>
        <w:rPr>
          <w:rFonts w:ascii="Arial" w:cs="Arial" w:eastAsia="Arial" w:hAnsi="Arial"/>
          <w:sz w:val="22"/>
          <w:szCs w:val="22"/>
        </w:rPr>
        <w:t xml:space="preserve">Unnecessary turnover of high-momentum holdings due to a rigid rebalancing trigger.</w:t>
      </w:r>
    </w:p>
    <w:p>
      <w:pPr>
        <w:spacing w:before="80" w:after="120"/>
      </w:pPr>
      <w:r>
        <w:rPr>
          <w:rFonts w:ascii="Arial" w:cs="Arial" w:eastAsia="Arial" w:hAnsi="Arial"/>
          <w:b/>
          <w:bCs/>
          <w:sz w:val="22"/>
          <w:szCs w:val="22"/>
        </w:rPr>
        <w:t xml:space="preserve">Proposed change: </w:t>
      </w:r>
      <w:r>
        <w:rPr>
          <w:rFonts w:ascii="Arial" w:cs="Arial" w:eastAsia="Arial" w:hAnsi="Arial"/>
          <w:sz w:val="22"/>
          <w:szCs w:val="22"/>
        </w:rPr>
        <w:t xml:space="preserve">Add a rule that prevents the sale of any holding with trailing 6-month return above its blended benchmark unless the 28% hard-cap concentration limit is breached.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2640"/>
        <w:gridCol w:w="25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17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Computation</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Keyword overlap with prior 4 domains</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Jaccard = 0.08</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N = 1 − 0.08</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N = 0.92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Est. impact (μᵢ)</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1.5 pp/yr</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 = min(1, 1.5/3.0)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 = 0.50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Raw complexity score</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C = 1.0 (no steps)</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C′ = (2.0−1.0)/1.0</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C′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Horizon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h = 0 months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 = max(0, 1−0/60)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 = 1.00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KVS</w:t>
            </w:r>
          </w:p>
        </w:tc>
        <w:tc>
          <w:tcPr>
            <w:tcW w:type="dxa" w:w="1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26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0.92 × 0.50 × 1.00 × 1.00</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KVS = 0.460</w:t>
            </w:r>
          </w:p>
        </w:tc>
      </w:tr>
    </w:tbl>
    <w:p>
      <w:pPr>
        <w:spacing w:before="0" w:after="0"/>
      </w:pPr>
      <w:r>
        <w:t xml:space="preserve"/>
      </w:r>
    </w:p>
    <w:p>
      <w:pPr>
        <w:spacing w:before="80" w:after="120"/>
      </w:pPr>
      <w:r>
        <w:rPr>
          <w:rFonts w:ascii="Arial" w:cs="Arial" w:eastAsia="Arial" w:hAnsi="Arial"/>
          <w:b/>
          <w:bCs/>
          <w:sz w:val="22"/>
          <w:szCs w:val="22"/>
        </w:rPr>
        <w:t xml:space="preserve">Threshold assessment: </w:t>
      </w:r>
      <w:r>
        <w:rPr>
          <w:rFonts w:ascii="Arial" w:cs="Arial" w:eastAsia="Arial" w:hAnsi="Arial"/>
          <w:sz w:val="22"/>
          <w:szCs w:val="22"/>
        </w:rPr>
        <w:t xml:space="preserve">KVS = 0.460 &lt; 0.50. This idea does not clear the autonomous surface threshold.</w:t>
      </w:r>
    </w:p>
    <w:p>
      <w:pPr>
        <w:spacing w:before="80" w:after="120"/>
      </w:pPr>
      <w:r>
        <w:rPr>
          <w:rFonts w:ascii="Arial" w:cs="Arial" w:eastAsia="Arial" w:hAnsi="Arial"/>
          <w:b/>
          <w:bCs/>
          <w:sz w:val="22"/>
          <w:szCs w:val="22"/>
        </w:rPr>
        <w:t xml:space="preserve">Principal override: </w:t>
      </w:r>
      <w:r>
        <w:rPr>
          <w:rFonts w:ascii="Arial" w:cs="Arial" w:eastAsia="Arial" w:hAnsi="Arial"/>
          <w:sz w:val="22"/>
          <w:szCs w:val="22"/>
        </w:rPr>
        <w:t xml:space="preserve">The principal reviewed the idea independently, noted that the impact estimate may be conservative (no credit for reduced transaction costs), and exercised a documented override. The idea was adopted as v3.7.8 with the override logged under reason code “Conservative Impact Estimate.”</w:t>
      </w:r>
    </w:p>
    <w:p>
      <w:pPr>
        <w:spacing w:before="80" w:after="120"/>
      </w:pPr>
      <w:r>
        <w:rPr>
          <w:rFonts w:ascii="Arial" w:cs="Arial" w:eastAsia="Arial" w:hAnsi="Arial"/>
          <w:b/>
          <w:bCs/>
          <w:sz w:val="22"/>
          <w:szCs w:val="22"/>
        </w:rPr>
        <w:t xml:space="preserve">Original paper error: </w:t>
      </w:r>
      <w:r>
        <w:rPr>
          <w:rFonts w:ascii="Arial" w:cs="Arial" w:eastAsia="Arial" w:hAnsi="Arial"/>
          <w:sz w:val="22"/>
          <w:szCs w:val="22"/>
        </w:rPr>
        <w:t xml:space="preserve">The original paper reported this outcome without noting the override, creating the impression that the system surfaced a below-threshold idea normally. Transparency requires noting the override explicitly.</w:t>
      </w:r>
    </w:p>
    <w:p>
      <w:r>
        <w:br w:type="page"/>
      </w:r>
    </w:p>
    <w:p>
      <w:pPr>
        <w:pStyle w:val="Heading1"/>
        <w:spacing w:before="360" w:after="120"/>
      </w:pPr>
      <w:r>
        <w:rPr>
          <w:rFonts w:ascii="Arial" w:cs="Arial" w:eastAsia="Arial" w:hAnsi="Arial"/>
          <w:b/>
          <w:bCs/>
          <w:color w:val="1F4E79"/>
          <w:sz w:val="36"/>
          <w:szCs w:val="36"/>
        </w:rPr>
        <w:t xml:space="preserve">Appendix B: KVS Formula Derivation and Sensitivity Analysis</w:t>
      </w:r>
    </w:p>
    <w:p>
      <w:pPr>
        <w:pStyle w:val="Heading2"/>
        <w:spacing w:before="280" w:after="80"/>
      </w:pPr>
      <w:r>
        <w:rPr>
          <w:rFonts w:ascii="Arial" w:cs="Arial" w:eastAsia="Arial" w:hAnsi="Arial"/>
          <w:b/>
          <w:bCs/>
          <w:color w:val="1F4E79"/>
          <w:sz w:val="28"/>
          <w:szCs w:val="28"/>
        </w:rPr>
        <w:t xml:space="preserve">B.1  Why Multiplicative?</w:t>
      </w:r>
    </w:p>
    <w:p>
      <w:pPr>
        <w:spacing w:before="80" w:after="120"/>
      </w:pPr>
      <w:r>
        <w:rPr>
          <w:rFonts w:ascii="Arial" w:cs="Arial" w:eastAsia="Arial" w:hAnsi="Arial"/>
          <w:sz w:val="22"/>
          <w:szCs w:val="22"/>
        </w:rPr>
        <w:t xml:space="preserve">The multiplicative structure is a normative design choice grounded in the concept of lexicographic non-substitutability: an idea that is not novel (N = 0) should score zero regardless of its impact or timeliness. An additive formula would allow a very high-impact idea to overcome zero novelty—permitting, for instance, a repeat of last quarter’s domain to score positively if the idea is compelling enough. This violates the spirit of forced cross-pollination.</w:t>
      </w:r>
    </w:p>
    <w:p>
      <w:pPr>
        <w:spacing w:before="80" w:after="120"/>
      </w:pPr>
      <w:r>
        <w:rPr>
          <w:rFonts w:ascii="Arial" w:cs="Arial" w:eastAsia="Arial" w:hAnsi="Arial"/>
          <w:sz w:val="22"/>
          <w:szCs w:val="22"/>
        </w:rPr>
        <w:t xml:space="preserve">The cost of this choice is reduced rank-correlation with an additive ground truth (as shown in Section 5). This is a known and accepted trade-off, not a flaw.</w:t>
      </w:r>
    </w:p>
    <w:p>
      <w:pPr>
        <w:pStyle w:val="Heading2"/>
        <w:spacing w:before="280" w:after="80"/>
      </w:pPr>
      <w:r>
        <w:rPr>
          <w:rFonts w:ascii="Arial" w:cs="Arial" w:eastAsia="Arial" w:hAnsi="Arial"/>
          <w:b/>
          <w:bCs/>
          <w:color w:val="1F4E79"/>
          <w:sz w:val="28"/>
          <w:szCs w:val="28"/>
        </w:rPr>
        <w:t xml:space="preserve">B.2  Sensitivity Table (Corrected)</w:t>
      </w:r>
    </w:p>
    <w:p>
      <w:pPr>
        <w:spacing w:before="80" w:after="120"/>
      </w:pPr>
      <w:r>
        <w:rPr>
          <w:rFonts w:ascii="Arial" w:cs="Arial" w:eastAsia="Arial" w:hAnsi="Arial"/>
          <w:sz w:val="22"/>
          <w:szCs w:val="22"/>
        </w:rPr>
        <w:t xml:space="preserve">Note: all KVS values are now properly bounded in [0,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60"/>
        <w:gridCol w:w="1260"/>
        <w:gridCol w:w="1000"/>
        <w:gridCol w:w="900"/>
        <w:gridCol w:w="144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8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 (= μᵢ/3.0)</w:t>
            </w:r>
          </w:p>
        </w:tc>
        <w:tc>
          <w:tcPr>
            <w:tcW w:type="dxa" w:w="12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μᵢ (pp/yr)</w:t>
            </w:r>
          </w:p>
        </w:tc>
        <w:tc>
          <w:tcPr>
            <w:tcW w:type="dxa" w:w="1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w:t>
            </w:r>
          </w:p>
        </w:tc>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w:t>
            </w:r>
          </w:p>
        </w:tc>
        <w:tc>
          <w:tcPr>
            <w:tcW w:type="dxa" w:w="14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KVS</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0.95</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0.50 (1.5 pp)</w:t>
            </w:r>
          </w:p>
        </w:tc>
        <w:tc>
          <w:tcPr>
            <w:tcW w:type="dxa" w:w="1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0.475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0.40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 (3.0 pp)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0.400</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0.95</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0.50 (1.5 pp)</w:t>
            </w:r>
          </w:p>
        </w:tc>
        <w:tc>
          <w:tcPr>
            <w:tcW w:type="dxa" w:w="1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0.20</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0.095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0.75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0.67 (2.0 pp)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0.75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0.302</w:t>
            </w:r>
          </w:p>
        </w:tc>
      </w:tr>
      <w:t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0.90</w:t>
            </w:r>
          </w:p>
        </w:tc>
        <w:tc>
          <w:tcPr>
            <w:tcW w:type="dxa" w:w="1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0.83 (2.5 pp)</w:t>
            </w:r>
          </w:p>
        </w:tc>
        <w:tc>
          <w:tcPr>
            <w:tcW w:type="dxa" w:w="1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2.5</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0.50</w:t>
            </w:r>
          </w:p>
        </w:tc>
        <w:tc>
          <w:tcPr>
            <w:tcW w:type="dxa" w:w="14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0.374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0.92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0.50 (1.5 pp)</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0.50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0.230</w:t>
            </w:r>
          </w:p>
        </w:tc>
      </w:tr>
    </w:tbl>
    <w:p>
      <w:pPr>
        <w:spacing w:before="0" w:after="0"/>
      </w:pPr>
      <w:r>
        <w:t xml:space="preserve"/>
      </w:r>
    </w:p>
    <w:p>
      <w:pPr>
        <w:spacing w:before="80" w:after="120"/>
      </w:pPr>
      <w:r>
        <w:rPr>
          <w:rFonts w:ascii="Arial" w:cs="Arial" w:eastAsia="Arial" w:hAnsi="Arial"/>
          <w:b/>
          <w:bCs/>
          <w:sz w:val="22"/>
          <w:szCs w:val="22"/>
        </w:rPr>
        <w:t xml:space="preserve">Comparison with original: </w:t>
      </w:r>
      <w:r>
        <w:rPr>
          <w:rFonts w:ascii="Arial" w:cs="Arial" w:eastAsia="Arial" w:hAnsi="Arial"/>
          <w:sz w:val="22"/>
          <w:szCs w:val="22"/>
        </w:rPr>
        <w:t xml:space="preserve">The original paper’s first row (N=0.95, Impact=1.5, C=1.0, T=1.0) yielded KVS=1.425 because raw pp were multiplied directly. The corrected value is 0.475. This difference is not cosmetic—the original formula cannot be used as a bounded priority score; the corrected one can.</w:t>
      </w:r>
    </w:p>
    <w:p>
      <w:r>
        <w:br w:type="page"/>
      </w:r>
    </w:p>
    <w:p>
      <w:pPr>
        <w:pStyle w:val="Heading1"/>
        <w:spacing w:before="360" w:after="120"/>
      </w:pPr>
      <w:r>
        <w:rPr>
          <w:rFonts w:ascii="Arial" w:cs="Arial" w:eastAsia="Arial" w:hAnsi="Arial"/>
          <w:b/>
          <w:bCs/>
          <w:color w:val="1F4E79"/>
          <w:sz w:val="36"/>
          <w:szCs w:val="36"/>
        </w:rPr>
        <w:t xml:space="preserve">Appendix C: Sample Domain Rotation Schedule</w:t>
      </w:r>
    </w:p>
    <w:p>
      <w:pPr>
        <w:spacing w:before="80" w:after="120"/>
      </w:pPr>
      <w:r>
        <w:rPr>
          <w:rFonts w:ascii="Arial" w:cs="Arial" w:eastAsia="Arial" w:hAnsi="Arial"/>
          <w:sz w:val="22"/>
          <w:szCs w:val="22"/>
        </w:rPr>
        <w:t xml:space="preserve">Domains must be pre-committed at the start of each calendar year. Additions may be made only at the annual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Quarter</w:t>
            </w:r>
          </w:p>
        </w:tc>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53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 for Inclusion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Q1 2026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Japanese wabi-sabi aesthetics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Incomplete positions; tolerating imperfect conviction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Q2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Antarctic ice-core geophysics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Regime-length priors; deep time cycles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Q3 2026</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Children’s fable archetypes</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Narrative coherence; pattern recognition under uncertainty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Q4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Fluid dynamics in aviation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Momentum and turbulence regimes; rebalancing triggers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Q1 2027</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Mycorrhizal networks (biology)</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Network effects; correlation-aware sizing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Q2 2027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Martial arts biomechanics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Energy redirection; momentum preservation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Q3 2027</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Information theory</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Signal vs. noise; conviction calibration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Q4 2027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Byzantine fault tolerance (CS)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Resilience under adversarial conditions</w:t>
            </w:r>
          </w:p>
        </w:tc>
      </w:tr>
    </w:tbl>
    <w:p>
      <w:r>
        <w:br w:type="page"/>
      </w:r>
    </w:p>
    <w:p>
      <w:pPr>
        <w:pStyle w:val="Heading1"/>
        <w:spacing w:before="360" w:after="120"/>
      </w:pPr>
      <w:r>
        <w:rPr>
          <w:rFonts w:ascii="Arial" w:cs="Arial" w:eastAsia="Arial" w:hAnsi="Arial"/>
          <w:b/>
          <w:bCs/>
          <w:color w:val="1F4E79"/>
          <w:sz w:val="36"/>
          <w:szCs w:val="36"/>
        </w:rPr>
        <w:t xml:space="preserve">Appendix D: Risk and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Mode</w:t>
            </w:r>
          </w:p>
        </w:tc>
        <w:tc>
          <w:tcPr>
            <w:tcW w:type="dxa" w:w="28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Over-novelty chasing</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Administrator selects exotic domains to inflate N, degrading idea quality</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KVS threshold (0.50); principal must approve; impact must independently score ≥0.33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Thesis drift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Accumulated changes gradually shift the IPS away from its core thesis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Explicit thesis-alignment audit at each annual review; any change flagged as thesis-adjacent requires board sign-off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Administrator bias</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Impact and novelty estimates systematically inflated to get ideas adopted</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Principal veto + rationale log; annual retrospective comparing estimated vs. realised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Circular validation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Using a formula variant as ground truth, as in the original paper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V* is explicitly additive; KVS is explicitly multiplicative; functional forms are structurally distinct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Override normalisation</w:t>
            </w:r>
          </w:p>
        </w:tc>
        <w:tc>
          <w:tcPr>
            <w:tcW w:type="dxa" w:w="2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Below-threshold ideas adopted without logging the override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Master Decision Log must record override reason code; blank reason codes trigger annual review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I_max gaming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I_max adjusted mid-quarter to make a specific idea clear the 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I_max is locked for the calendar year; changes require documented annual review process</w:t>
            </w:r>
          </w:p>
        </w:tc>
      </w:tr>
    </w:tbl>
    <w:p>
      <w:r>
        <w:br w:type="page"/>
      </w:r>
    </w:p>
    <w:p>
      <w:pPr>
        <w:pStyle w:val="Heading1"/>
        <w:spacing w:before="360" w:after="120"/>
      </w:pPr>
      <w:r>
        <w:rPr>
          <w:rFonts w:ascii="Arial" w:cs="Arial" w:eastAsia="Arial" w:hAnsi="Arial"/>
          <w:b/>
          <w:bCs/>
          <w:color w:val="1F4E79"/>
          <w:sz w:val="36"/>
          <w:szCs w:val="36"/>
        </w:rP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6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KVS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Kaizen Variation Score. The composite multiplicative priority score, bounded in [0,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N (Novelty Factor)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Domain-distance of a proposed idea from the prior four quarterly scan domains, measured via Jaccard similarity.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I′ (Norm. Impact)</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Estimated annualised return or resilience impact, normalised to [0, 1] by division by I_max.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I_max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Pre-committed maximum plausible annualised impact for the IPS; set once per year (recommended: 3.0 pp/yr).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C′ (Norm. Inv. Complexity)</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Linear rescaling of raw complexity score to [0, 1] where 1.0 = zero operational burden.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T (Timeliness)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Linear decay from 1.0 (immediately relevant) to 0.0 (60+ months out).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V*</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Independent additive ground truth used in validation: (N + I′ + C′ + T) /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Override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Principal decision to adopt or reject an idea contrary to its KVS threshold classification; must be logged.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sz w:val="20"/>
                <w:szCs w:val="20"/>
              </w:rPr>
              <w:t xml:space="preserve">Orthogonal domain</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sz w:val="20"/>
                <w:szCs w:val="20"/>
              </w:rPr>
              <w:t xml:space="preserve">A field structurally unrelated to finance, pre-committed in the rotation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sz w:val="20"/>
                <w:szCs w:val="20"/>
              </w:rPr>
              <w:t xml:space="preserve">Jaccard similarity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|A ∩ B| / |A ∪ B|. Ranges from 0 (no overlap) to 1 (identical sets).</w:t>
            </w:r>
          </w:p>
        </w:tc>
      </w:tr>
    </w:tbl>
    <w:p>
      <w:r>
        <w:br w:type="page"/>
      </w:r>
    </w:p>
    <w:p>
      <w:pPr>
        <w:pStyle w:val="Heading1"/>
        <w:spacing w:before="360" w:after="120"/>
      </w:pPr>
      <w:r>
        <w:rPr>
          <w:rFonts w:ascii="Arial" w:cs="Arial" w:eastAsia="Arial" w:hAnsi="Arial"/>
          <w:b/>
          <w:bCs/>
          <w:color w:val="1F4E79"/>
          <w:sz w:val="36"/>
          <w:szCs w:val="36"/>
        </w:rPr>
        <w:t xml:space="preserve">Appendix F: Full Monte Carlo Simulation Code</w:t>
      </w:r>
    </w:p>
    <w:p>
      <w:pPr>
        <w:spacing w:before="80" w:after="120"/>
      </w:pPr>
      <w:r>
        <w:rPr>
          <w:rFonts w:ascii="Arial" w:cs="Arial" w:eastAsia="Arial" w:hAnsi="Arial"/>
          <w:sz w:val="22"/>
          <w:szCs w:val="22"/>
        </w:rPr>
        <w:t xml:space="preserve">The following pseudocode fully specifies the corrected simulation in Section 5, enabling independent replication.</w:t>
      </w:r>
    </w:p>
    <w:p>
      <w:pPr>
        <w:shd w:fill="1A1A1A" w:val="clear"/>
        <w:spacing w:before="80" w:after="80"/>
      </w:pPr>
      <w:r>
        <w:rPr>
          <w:rFonts w:ascii="Courier New" w:cs="Courier New" w:eastAsia="Courier New" w:hAnsi="Courier New"/>
          <w:color w:val="E8E8E8"/>
          <w:sz w:val="18"/>
          <w:szCs w:val="18"/>
        </w:rPr>
        <w:t xml:space="preserve"># Meta-Kaizen Monte Carlo Validation (Corrected)
# Python pseudocode — all libraries are standard (numpy, scipy)
import numpy as np
from scipy.stats import spearmanr
N_IDEAS = 10000
N_RUNS  = 1000
I_MAX   = 3.0   # pp/yr, pre-committed
H_MAX   = 60    # months
results = []
for run in range(N_RUNS):
    # Draw components
    N   = np.random.beta(2, 2, N_IDEAS)                    # Novelty
    mu  = np.random.lognormal(0.6, 0.55, N_IDEAS)          # Raw impact (pp/yr)
    Ip  = np.minimum(1.0, mu / I_MAX)                      # Normalised impact
    C   = np.random.uniform(1.0, 2.0, N_IDEAS)             # Raw complexity
    Cp  = (2.0 - C) / 1.0                                  # Normalised inv. complexity
    h   = np.random.uniform(0, 72, N_IDEAS)                # Horizon (months)
    T   = np.maximum(0, 1 - h / H_MAX)                    # Timeliness
    # Corrected KVS (all factors in [0,1])
    KVS = N * Ip * Cp * T
    # Independent additive ground truth (structurally distinct from KVS)
    V_star = (N + Ip + Cp + T) / 4
    # Spearman rank correlation (not Pearson — we care about ranking)
    rho, _ = spearmanr(KVS, V_star)
    # Top-5% recall and precision
    k = int(0.05 * N_IDEAS)
    top_kvs    = set(np.argsort(KVS)[-k:])
    top_vstar  = set(np.argsort(V_star)[-k:])
    recall    = len(top_kvs &amp; top_vstar) / k
    precision = len(top_kvs &amp; top_vstar) / k   # equal sets of size k
    results.append({'rho': rho, 'recall': recall, 'precision': precision})
# Report medians with bootstrap CIs
rhos = [r['rho'] for r in results]
print(f'Spearman r: {np.median(rhos):.3f}  '
      f'95% CI [{np.percentile(rhos,5):.3f}, {np.percentile(rhos,95):.3f}]')</w:t>
      </w:r>
    </w:p>
    <w:p>
      <w:pPr>
        <w:spacing w:before="0" w:after="0"/>
      </w:pPr>
      <w:r>
        <w:t xml:space="preserve"/>
      </w:r>
    </w:p>
    <w:p>
      <w:pPr>
        <w:spacing w:before="60" w:after="60"/>
        <w:ind w:left="720"/>
      </w:pPr>
      <w:r>
        <w:rPr>
          <w:rFonts w:ascii="Arial" w:cs="Arial" w:eastAsia="Arial" w:hAnsi="Arial"/>
          <w:i/>
          <w:iCs/>
          <w:color w:val="555555"/>
          <w:sz w:val="20"/>
          <w:szCs w:val="20"/>
        </w:rPr>
        <w:t xml:space="preserve">The code above is pseudocode for clarity. A complete runnable implementation with identical results is available from the authors on request.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tabs>
        <w:tab w:val="right" w:pos="9360"/>
      </w:tabs>
    </w:pPr>
    <w:r>
      <w:rPr>
        <w:rFonts w:ascii="Arial" w:cs="Arial" w:eastAsia="Arial" w:hAnsi="Arial"/>
        <w:color w:val="555555"/>
        <w:sz w:val="18"/>
        <w:szCs w:val="18"/>
      </w:rPr>
      <w:t xml:space="preserve">Tom Brennan &amp; Sophia Entwood  —  Entwood Long-Term Fund  •  2026</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pPr>
    <w:r>
      <w:rPr>
        <w:rFonts w:ascii="Arial" w:cs="Arial" w:eastAsia="Arial" w:hAnsi="Arial"/>
        <w:b/>
        <w:bCs/>
        <w:color w:val="1F4E79"/>
        <w:sz w:val="18"/>
        <w:szCs w:val="18"/>
      </w:rPr>
      <w:t xml:space="preserve">Meta-Kaizen: A Rigorous Framework for Self-Evolving Investment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2026-03-05T02:23:30.741Z</dcterms:created>
  <dcterms:modified xsi:type="dcterms:W3CDTF">2026-03-05T02:23:30.742Z</dcterms:modified>
</cp:coreProperties>
</file>

<file path=docProps/custom.xml><?xml version="1.0" encoding="utf-8"?>
<Properties xmlns="http://schemas.openxmlformats.org/officeDocument/2006/custom-properties" xmlns:vt="http://schemas.openxmlformats.org/officeDocument/2006/docPropsVTypes"/>
</file>