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59D33"/>
          <w:sz w:val="26"/>
        </w:rPr>
        <w:t>THE WAY</w:t>
      </w:r>
    </w:p>
    <w:p>
      <w:pPr>
        <w:pStyle w:val="Title"/>
        <w:jc w:val="center"/>
      </w:pPr>
      <w:r>
        <w:t>Provisional Theological Baseline</w:t>
      </w:r>
    </w:p>
    <w:p>
      <w:pPr>
        <w:pStyle w:val="Subtitle"/>
        <w:jc w:val="center"/>
      </w:pPr>
      <w:r>
        <w:t>What the Assembly may presently teach - and what it must still call open</w:t>
      </w:r>
    </w:p>
    <w:p>
      <w:pPr>
        <w:pStyle w:val="SmallNote"/>
        <w:spacing w:before="320"/>
        <w:jc w:val="center"/>
      </w:pPr>
      <w:r>
        <w:t>A boundary document, not a creed of compulsory assent</w:t>
      </w:r>
    </w:p>
    <w:p>
      <w:pPr>
        <w:spacing w:before="600"/>
        <w:jc w:val="center"/>
      </w:pPr>
      <w:r>
        <w:rPr>
          <w:b/>
        </w:rPr>
        <w:t>Version 0.8 | September 19, 2026</w:t>
        <w:br/>
        <w:t>UNDECIDED</w:t>
        <w:br/>
        <w:t>Research draft - not a closed canon or creed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rPr>
          <w:tblHeader w:val="true"/>
        </w:trPr>
        <w:tc>
          <w:tcPr>
            <w:tcW w:type="dxa" w:w="9994"/>
            <w:shd w:fill="F8FAF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334155"/>
              </w:rPr>
              <w:t>Purpose</w:t>
              <w:br/>
            </w:r>
            <w:r>
              <w:t>This baseline prevents two opposite errors: pretending the Way has no theological content at all, and pretending unresolved research has already become doctrine. It states the highest-confidence institutional teaching presently supported by v0.8.</w:t>
            </w:r>
          </w:p>
        </w:tc>
      </w:tr>
    </w:tbl>
    <w:p>
      <w:pPr>
        <w:pStyle w:val="Heading1"/>
      </w:pPr>
      <w:r>
        <w:t>1. Status grammar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232"/>
            <w:shd w:fill="3341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State</w:t>
            </w:r>
          </w:p>
        </w:tc>
        <w:tc>
          <w:tcPr>
            <w:tcW w:type="dxa" w:w="7560"/>
            <w:shd w:fill="3341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Institutional meaning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sz w:val="16"/>
              </w:rPr>
              <w:t>Established</w:t>
            </w:r>
          </w:p>
        </w:tc>
        <w:tc>
          <w:tcPr>
            <w:tcW w:type="dxa" w:w="75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sz w:val="16"/>
              </w:rPr>
              <w:t>Strong evidence and broad responsible agreement for the defined claim; revision remains possible.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30"/>
            </w:pPr>
            <w:r>
              <w:rPr>
                <w:sz w:val="16"/>
              </w:rPr>
              <w:t>Well-Supported</w:t>
            </w:r>
          </w:p>
        </w:tc>
        <w:tc>
          <w:tcPr>
            <w:tcW w:type="dxa" w:w="75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30"/>
            </w:pPr>
            <w:r>
              <w:rPr>
                <w:sz w:val="16"/>
              </w:rPr>
              <w:t>Substantial evidence favors the claim, but meaningful uncertainty or dispute remains.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sz w:val="16"/>
              </w:rPr>
              <w:t>Provisional</w:t>
            </w:r>
          </w:p>
        </w:tc>
        <w:tc>
          <w:tcPr>
            <w:tcW w:type="dxa" w:w="75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sz w:val="16"/>
              </w:rPr>
              <w:t>Plausible working conclusion useful for practice or further inquiry, explicitly subject to revision.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30"/>
            </w:pPr>
            <w:r>
              <w:rPr>
                <w:sz w:val="16"/>
              </w:rPr>
              <w:t>Permitted Interpretation</w:t>
            </w:r>
          </w:p>
        </w:tc>
        <w:tc>
          <w:tcPr>
            <w:tcW w:type="dxa" w:w="75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30"/>
            </w:pPr>
            <w:r>
              <w:rPr>
                <w:sz w:val="16"/>
              </w:rPr>
              <w:t>A coherent interpretation Companions may hold, but the Assembly does not teach it as the best-established conclusion.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sz w:val="16"/>
              </w:rPr>
              <w:t>Open Question</w:t>
            </w:r>
          </w:p>
        </w:tc>
        <w:tc>
          <w:tcPr>
            <w:tcW w:type="dxa" w:w="75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sz w:val="16"/>
              </w:rPr>
              <w:t>Available evidence does not justify an Assembly conclusion.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30"/>
            </w:pPr>
            <w:r>
              <w:rPr>
                <w:sz w:val="16"/>
              </w:rPr>
              <w:t>Rejected as Harmful or Unsupported</w:t>
            </w:r>
          </w:p>
        </w:tc>
        <w:tc>
          <w:tcPr>
            <w:tcW w:type="dxa" w:w="75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30"/>
            </w:pPr>
            <w:r>
              <w:rPr>
                <w:sz w:val="16"/>
              </w:rPr>
              <w:t>Either evidentially untenable for the defined claim, or institutionally impermissible because the proposed use violates rights/safeguards. The reason must be stated.</w:t>
            </w:r>
          </w:p>
        </w:tc>
      </w:tr>
    </w:tbl>
    <w:p>
      <w:pPr>
        <w:pStyle w:val="Heading1"/>
      </w:pPr>
      <w:r>
        <w:t>2. Current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008"/>
            <w:shd w:fill="3341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1800"/>
            <w:shd w:fill="3341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Domain</w:t>
            </w:r>
          </w:p>
        </w:tc>
        <w:tc>
          <w:tcPr>
            <w:tcW w:type="dxa" w:w="1656"/>
            <w:shd w:fill="3341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5328"/>
            <w:shd w:fill="3341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Current statement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sz w:val="15"/>
              </w:rPr>
              <w:t>BT-001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sz w:val="15"/>
              </w:rPr>
              <w:t>Ultimate reality</w:t>
            </w:r>
          </w:p>
        </w:tc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sz w:val="15"/>
              </w:rPr>
              <w:t>Established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sz w:val="15"/>
              </w:rPr>
              <w:t>Religious traditions make materially different claims about God/ultimate reality; the Way must not erase those differences.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30"/>
            </w:pPr>
            <w:r>
              <w:rPr>
                <w:sz w:val="15"/>
              </w:rPr>
              <w:t>BT-002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30"/>
            </w:pPr>
            <w:r>
              <w:rPr>
                <w:sz w:val="15"/>
              </w:rPr>
              <w:t>God-language</w:t>
            </w:r>
          </w:p>
        </w:tc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30"/>
            </w:pPr>
            <w:r>
              <w:rPr>
                <w:sz w:val="15"/>
              </w:rPr>
              <w:t>Provisional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30"/>
            </w:pPr>
            <w:r>
              <w:rPr>
                <w:sz w:val="15"/>
              </w:rPr>
              <w:t>Companions and Houses may pray using ordinary God-language; the Assembly has not fixed a comprehensive metaphysical doctrine of God.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sz w:val="15"/>
              </w:rPr>
              <w:t>BT-003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sz w:val="15"/>
              </w:rPr>
              <w:t>Revelation method</w:t>
            </w:r>
          </w:p>
        </w:tc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sz w:val="15"/>
              </w:rPr>
              <w:t>Established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sz w:val="15"/>
              </w:rPr>
              <w:t>A revelation claim is testimony requiring evaluation; intensity, office, charisma, or sincerity does not itself establish divine origin.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30"/>
            </w:pPr>
            <w:r>
              <w:rPr>
                <w:sz w:val="15"/>
              </w:rPr>
              <w:t>BT-004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30"/>
            </w:pPr>
            <w:r>
              <w:rPr>
                <w:sz w:val="15"/>
              </w:rPr>
              <w:t>Revelation authority</w:t>
            </w:r>
          </w:p>
        </w:tc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30"/>
            </w:pPr>
            <w:r>
              <w:rPr>
                <w:sz w:val="15"/>
              </w:rPr>
              <w:t>Established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30"/>
            </w:pPr>
            <w:r>
              <w:rPr>
                <w:sz w:val="15"/>
              </w:rPr>
              <w:t>No claimed revelation overrides consent, safeguarding, civil law, financial controls, or governing documents.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sz w:val="15"/>
              </w:rPr>
              <w:t>BT-005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sz w:val="15"/>
              </w:rPr>
              <w:t>Jesus - history</w:t>
            </w:r>
          </w:p>
        </w:tc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sz w:val="15"/>
              </w:rPr>
              <w:t>Established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sz w:val="15"/>
              </w:rPr>
              <w:t>Jesus was a first-century Jewish figure whose movement continued after his crucifixion under Pontius Pilate.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30"/>
            </w:pPr>
            <w:r>
              <w:rPr>
                <w:sz w:val="15"/>
              </w:rPr>
              <w:t>BT-006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30"/>
            </w:pPr>
            <w:r>
              <w:rPr>
                <w:sz w:val="15"/>
              </w:rPr>
              <w:t>Jesus - identity</w:t>
            </w:r>
          </w:p>
        </w:tc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30"/>
            </w:pPr>
            <w:r>
              <w:rPr>
                <w:sz w:val="15"/>
              </w:rPr>
              <w:t>Open Question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30"/>
            </w:pPr>
            <w:r>
              <w:rPr>
                <w:sz w:val="15"/>
              </w:rPr>
              <w:t>Incarnation, ontological divine sonship, Trinity, atonement mechanisms, and resurrection metaphysics are not yet Assembly doctrine.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sz w:val="15"/>
              </w:rPr>
              <w:t>BT-007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sz w:val="15"/>
              </w:rPr>
              <w:t>Muhammad - history</w:t>
            </w:r>
          </w:p>
        </w:tc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sz w:val="15"/>
              </w:rPr>
              <w:t>Established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sz w:val="15"/>
              </w:rPr>
              <w:t>Muhammad was a seventh-century Arabian religious/political leader; the Qur'an is the earliest principal textual witness to his proclamation.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30"/>
            </w:pPr>
            <w:r>
              <w:rPr>
                <w:sz w:val="15"/>
              </w:rPr>
              <w:t>BT-008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30"/>
            </w:pPr>
            <w:r>
              <w:rPr>
                <w:sz w:val="15"/>
              </w:rPr>
              <w:t>Muhammad - revelation/finality</w:t>
            </w:r>
          </w:p>
        </w:tc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30"/>
            </w:pPr>
            <w:r>
              <w:rPr>
                <w:sz w:val="15"/>
              </w:rPr>
              <w:t>Open Question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30"/>
            </w:pPr>
            <w:r>
              <w:rPr>
                <w:sz w:val="15"/>
              </w:rPr>
              <w:t>Divine authorship of the Qur'an and finality of prophethood are studied seriously but are not yet Assembly doctrine.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sz w:val="15"/>
              </w:rPr>
              <w:t>BT-009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sz w:val="15"/>
              </w:rPr>
              <w:t>Buddha - history/teaching</w:t>
            </w:r>
          </w:p>
        </w:tc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sz w:val="15"/>
              </w:rPr>
              <w:t>Established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sz w:val="15"/>
              </w:rPr>
              <w:t>A historical Gautama stands behind Buddhism; early teaching centers liberation from suffering through disciplined ethical and contemplative practice.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30"/>
            </w:pPr>
            <w:r>
              <w:rPr>
                <w:sz w:val="15"/>
              </w:rPr>
              <w:t>BT-010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30"/>
            </w:pPr>
            <w:r>
              <w:rPr>
                <w:sz w:val="15"/>
              </w:rPr>
              <w:t>Buddha - metaphysics</w:t>
            </w:r>
          </w:p>
        </w:tc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30"/>
            </w:pPr>
            <w:r>
              <w:rPr>
                <w:sz w:val="15"/>
              </w:rPr>
              <w:t>Open Question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30"/>
            </w:pPr>
            <w:r>
              <w:rPr>
                <w:sz w:val="15"/>
              </w:rPr>
              <w:t>Rebirth, karma across lives, nirvana's metaphysical nature, and the ultimate implications of non-self remain open.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sz w:val="15"/>
              </w:rPr>
              <w:t>BT-011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sz w:val="15"/>
              </w:rPr>
              <w:t>Scripture</w:t>
            </w:r>
          </w:p>
        </w:tc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sz w:val="15"/>
              </w:rPr>
              <w:t>Established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sz w:val="15"/>
              </w:rPr>
              <w:t>The Assembly presently maintains a Library of Witnesses rather than a closed canon.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30"/>
            </w:pPr>
            <w:r>
              <w:rPr>
                <w:sz w:val="15"/>
              </w:rPr>
              <w:t>BT-012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30"/>
            </w:pPr>
            <w:r>
              <w:rPr>
                <w:sz w:val="15"/>
              </w:rPr>
              <w:t>Library inclusion</w:t>
            </w:r>
          </w:p>
        </w:tc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30"/>
            </w:pPr>
            <w:r>
              <w:rPr>
                <w:sz w:val="15"/>
              </w:rPr>
              <w:t>Established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30"/>
            </w:pPr>
            <w:r>
              <w:rPr>
                <w:sz w:val="15"/>
              </w:rPr>
              <w:t>Inclusion signifies relevance for study, not inspiration, infallibility, or total endorsement.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sz w:val="15"/>
              </w:rPr>
              <w:t>BT-013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sz w:val="15"/>
              </w:rPr>
              <w:t>Human dignity</w:t>
            </w:r>
          </w:p>
        </w:tc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sz w:val="15"/>
              </w:rPr>
              <w:t>Established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sz w:val="15"/>
              </w:rPr>
              <w:t>Human dignity and conscience do not depend on membership, office, purity status, wealth, sex, belief certainty, or loyalty to the institution.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30"/>
            </w:pPr>
            <w:r>
              <w:rPr>
                <w:sz w:val="15"/>
              </w:rPr>
              <w:t>BT-014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30"/>
            </w:pPr>
            <w:r>
              <w:rPr>
                <w:sz w:val="15"/>
              </w:rPr>
              <w:t>Human fallibility</w:t>
            </w:r>
          </w:p>
        </w:tc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30"/>
            </w:pPr>
            <w:r>
              <w:rPr>
                <w:sz w:val="15"/>
              </w:rPr>
              <w:t>Established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30"/>
            </w:pPr>
            <w:r>
              <w:rPr>
                <w:sz w:val="15"/>
              </w:rPr>
              <w:t>All people, including founders and ministers, are vulnerable to bias, self-deception, harmful desire, and social influence; governance must assume fallibility.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sz w:val="15"/>
              </w:rPr>
              <w:t>BT-015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sz w:val="15"/>
              </w:rPr>
              <w:t>Human transformation</w:t>
            </w:r>
          </w:p>
        </w:tc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sz w:val="15"/>
              </w:rPr>
              <w:t>Well-Supported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sz w:val="15"/>
              </w:rPr>
              <w:t>Attention, honesty, compassion, restraint, study, service, relationship, and repair are defensible formation goals across multiple anthropological models.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30"/>
            </w:pPr>
            <w:r>
              <w:rPr>
                <w:sz w:val="15"/>
              </w:rPr>
              <w:t>BT-016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30"/>
            </w:pPr>
            <w:r>
              <w:rPr>
                <w:sz w:val="15"/>
              </w:rPr>
              <w:t>Soul / afterlife</w:t>
            </w:r>
          </w:p>
        </w:tc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30"/>
            </w:pPr>
            <w:r>
              <w:rPr>
                <w:sz w:val="15"/>
              </w:rPr>
              <w:t>Open Question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30"/>
            </w:pPr>
            <w:r>
              <w:rPr>
                <w:sz w:val="15"/>
              </w:rPr>
              <w:t>Immortal soul, resurrection, rebirth, postmortem consciousness, and related mechanisms remain unresolved.</w:t>
            </w:r>
          </w:p>
        </w:tc>
      </w:tr>
    </w:tbl>
    <w:p>
      <w:pPr>
        <w:pStyle w:val="Heading1"/>
      </w:pPr>
      <w:r>
        <w:t>3. Things the Assembly must not presently claim as settled</w:t>
      </w:r>
    </w:p>
    <w:p>
      <w:pPr>
        <w:pStyle w:val="ListBullet"/>
      </w:pPr>
      <w:r>
        <w:t>That all religions secretly teach the same metaphysics.</w:t>
      </w:r>
    </w:p>
    <w:p>
      <w:pPr>
        <w:pStyle w:val="ListBullet"/>
      </w:pPr>
      <w:r>
        <w:t>That one living leader has uniquely infallible access to God or ultimate reality.</w:t>
      </w:r>
    </w:p>
    <w:p>
      <w:pPr>
        <w:pStyle w:val="ListBullet"/>
      </w:pPr>
      <w:r>
        <w:t>That a private revelation binds another adult without ordinary consent and governance.</w:t>
      </w:r>
    </w:p>
    <w:p>
      <w:pPr>
        <w:pStyle w:val="ListBullet"/>
      </w:pPr>
      <w:r>
        <w:t>That Jesus' divinity, Trinity, atonement mechanism, or resurrection metaphysics have already been established as Way doctrine.</w:t>
      </w:r>
    </w:p>
    <w:p>
      <w:pPr>
        <w:pStyle w:val="ListBullet"/>
      </w:pPr>
      <w:r>
        <w:t>That Muhammad's final prophethood or the Qur'an's divine authorship has already been established as Way doctrine.</w:t>
      </w:r>
    </w:p>
    <w:p>
      <w:pPr>
        <w:pStyle w:val="ListBullet"/>
      </w:pPr>
      <w:r>
        <w:t>That Buddhist rebirth, the metaphysical nature of nirvana, or a final interpretation of non-self has already been established as Way doctrine.</w:t>
      </w:r>
    </w:p>
    <w:p>
      <w:pPr>
        <w:pStyle w:val="ListBullet"/>
      </w:pPr>
      <w:r>
        <w:t>That the Library of Witnesses is itself a canon.</w:t>
      </w:r>
    </w:p>
    <w:p>
      <w:pPr>
        <w:pStyle w:val="ListBullet"/>
      </w:pPr>
      <w:r>
        <w:t>That immortal soul, reincarnation, resurrection, or annihilation after death has been established.</w:t>
      </w:r>
    </w:p>
    <w:p>
      <w:pPr>
        <w:pStyle w:val="Heading1"/>
      </w:pPr>
      <w:r>
        <w:t>4. Things Houses of Prayer may responsibly teach now</w:t>
      </w:r>
    </w:p>
    <w:p>
      <w:pPr>
        <w:pStyle w:val="ListBullet"/>
      </w:pPr>
      <w:r>
        <w:t>The difference between Encounter, Testimony, Interpretation, Teaching, and Doctrine.</w:t>
      </w:r>
    </w:p>
    <w:p>
      <w:pPr>
        <w:pStyle w:val="ListBullet"/>
      </w:pPr>
      <w:r>
        <w:t>How major source traditions understand themselves, with their disagreements preserved.</w:t>
      </w:r>
    </w:p>
    <w:p>
      <w:pPr>
        <w:pStyle w:val="ListBullet"/>
      </w:pPr>
      <w:r>
        <w:t>That historical method can assess sources and events but cannot simply certify supernatural causation.</w:t>
      </w:r>
    </w:p>
    <w:p>
      <w:pPr>
        <w:pStyle w:val="ListBullet"/>
      </w:pPr>
      <w:r>
        <w:t>That human beings are fallible, vulnerable to self-deception and harmful desire, and capable of compassion, repair, learning, and transformation.</w:t>
      </w:r>
    </w:p>
    <w:p>
      <w:pPr>
        <w:pStyle w:val="ListBullet"/>
      </w:pPr>
      <w:r>
        <w:t>That prayer, study, ethical practice, service, attention, and companionship can be practiced without requiring false certainty about unresolved metaphysics.</w:t>
      </w:r>
    </w:p>
    <w:p>
      <w:pPr>
        <w:pStyle w:val="ListBullet"/>
      </w:pPr>
      <w:r>
        <w:t>That conscience, safe exit, safeguarding, and ordinary civil rights are never suspended by theological claims.</w:t>
      </w:r>
    </w:p>
    <w:p>
      <w:pPr>
        <w:pStyle w:val="Heading1"/>
      </w:pPr>
      <w:r>
        <w:t>5. Teaching-label protocol</w:t>
      </w:r>
    </w:p>
    <w:p>
      <w:r>
        <w:t>Every curriculum, sermon, publication, or formation module making a substantial disputed theological claim should identify the relevant status when misunderstanding is reasonably likely: Established, Well-Supported, Provisional, Permitted Interpretation, Open Question, or Rejected as Harmful/Unsupported.</w:t>
      </w:r>
    </w:p>
    <w:p>
      <w:pPr>
        <w:pStyle w:val="Heading1"/>
      </w:pPr>
      <w:r>
        <w:t>6. Review and amendment</w:t>
      </w:r>
    </w:p>
    <w:p>
      <w:r>
        <w:t>This baseline should receive a formal research review at least annually during the founding period and whenever a major dossier materially changes. Lowering an Open Question to a dogmatic certainty requires the same evidentiary discipline as any other claim and may not be achieved through repetition, founder preference, donor pressure, or liturgical habit.</w:t>
      </w:r>
    </w:p>
    <w:p>
      <w:pPr>
        <w:pStyle w:val="Heading1"/>
      </w:pPr>
      <w:r>
        <w:t>7. Next research wave</w:t>
      </w:r>
    </w:p>
    <w:p>
      <w:pPr>
        <w:pStyle w:val="ListBullet"/>
      </w:pPr>
      <w:r>
        <w:t>TQ-008 - sin / ignorance / suffering / evil</w:t>
      </w:r>
    </w:p>
    <w:p>
      <w:pPr>
        <w:pStyle w:val="ListBullet"/>
      </w:pPr>
      <w:r>
        <w:t>TQ-009 - salvation / liberation / awakening</w:t>
      </w:r>
    </w:p>
    <w:p>
      <w:pPr>
        <w:pStyle w:val="ListBullet"/>
      </w:pPr>
      <w:r>
        <w:t>TQ-010 - death / resurrection / afterlife / rebirth</w:t>
      </w:r>
    </w:p>
    <w:p>
      <w:pPr>
        <w:pStyle w:val="ListBullet"/>
      </w:pPr>
      <w:r>
        <w:t>TQ-011 - sexuality / marriage / family</w:t>
      </w:r>
    </w:p>
    <w:p>
      <w:pPr>
        <w:pStyle w:val="ListBullet"/>
      </w:pPr>
      <w:r>
        <w:t>TQ-012 - violence / nonviolence / just protection</w:t>
      </w:r>
    </w:p>
    <w:p>
      <w:pPr>
        <w:pStyle w:val="ListBullet"/>
      </w:pPr>
      <w:r>
        <w:t>TQ-013 - sacraments / rites / sacred mediation</w:t>
      </w:r>
    </w:p>
    <w:p>
      <w:pPr>
        <w:pStyle w:val="ListBullet"/>
      </w:pPr>
      <w:r>
        <w:t>TQ-014 - ordination / clergy ontology</w:t>
      </w:r>
    </w:p>
    <w:p>
      <w:pPr>
        <w:pStyle w:val="ListBullet"/>
      </w:pPr>
      <w:r>
        <w:t>TQ-015 - holy days / sacred calendar</w:t>
      </w:r>
    </w:p>
    <w:p>
      <w:pPr>
        <w:pStyle w:val="ListBullet"/>
      </w:pPr>
      <w:r>
        <w:t>TQ-016 - interreligious identity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September 19, 2026  | 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t>UNDECIDED | Theological Research v0.8 | Provisional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3341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C59D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293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00"/>
    </w:pPr>
    <w:rPr>
      <w:rFonts w:asciiTheme="majorHAnsi" w:eastAsiaTheme="majorEastAsia" w:hAnsiTheme="majorHAnsi" w:cstheme="majorBidi" w:ascii="Aptos" w:hAnsi="Aptos"/>
      <w:b w:val="0"/>
      <w:i/>
      <w:iCs/>
      <w:color w:val="475569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/>
    </w:pPr>
    <w:rPr>
      <w:rFonts w:ascii="Aptos" w:hAnsi="Aptos"/>
      <w:color w:val="475569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