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Canonical Institutional Repository Standard</w:t>
      </w:r>
    </w:p>
    <w:p>
      <w:pPr>
        <w:jc w:val="center"/>
      </w:pPr>
      <w:r>
        <w:rPr>
          <w:i/>
        </w:rPr>
        <w:t>Repository topology, authority, custody, access, versioning, archival, and evidence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Document ID</w:t>
            </w:r>
          </w:p>
        </w:tc>
        <w:tc>
          <w:tcPr>
            <w:tcW w:type="dxa" w:w="5040"/>
            <w:vAlign w:val="center"/>
          </w:tcPr>
          <w:p>
            <w:r>
              <w:t>REPO-001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Version</w:t>
            </w:r>
          </w:p>
        </w:tc>
        <w:tc>
          <w:tcPr>
            <w:tcW w:type="dxa" w:w="5040"/>
            <w:vAlign w:val="center"/>
          </w:tcPr>
          <w:p>
            <w:r>
              <w:t>0.1.0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Status</w:t>
            </w:r>
          </w:p>
        </w:tc>
        <w:tc>
          <w:tcPr>
            <w:tcW w:type="dxa" w:w="5040"/>
            <w:vAlign w:val="center"/>
          </w:tcPr>
          <w:p>
            <w:r>
              <w:t>Activation Working Draft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Classification</w:t>
            </w:r>
          </w:p>
        </w:tc>
        <w:tc>
          <w:tcPr>
            <w:tcW w:type="dxa" w:w="5040"/>
            <w:vAlign w:val="center"/>
          </w:tcPr>
          <w:p>
            <w:r>
              <w:t>Institutional Records Repository Standard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Parent</w:t>
            </w:r>
          </w:p>
        </w:tc>
        <w:tc>
          <w:tcPr>
            <w:tcW w:type="dxa" w:w="5040"/>
            <w:vAlign w:val="center"/>
          </w:tcPr>
          <w:p>
            <w:r>
              <w:t>Institutional Activation System</w:t>
            </w:r>
          </w:p>
        </w:tc>
      </w:tr>
    </w:tbl>
    <w:p>
      <w:r>
        <w:rPr>
          <w:b/>
        </w:rPr>
        <w:t xml:space="preserve">Control note: </w:t>
      </w:r>
      <w:r>
        <w:t>Bracketed fields and unresolved constants must be verified from source evidence before adoption. Do not backdate, infer, or fabricate organizational facts.</w:t>
      </w:r>
    </w:p>
    <w:p>
      <w:pPr>
        <w:pStyle w:val="Heading1"/>
      </w:pPr>
      <w:r>
        <w:t>Canonicality Rule</w:t>
      </w:r>
    </w:p>
    <w:p>
      <w:r>
        <w:rPr>
          <w:b/>
        </w:rPr>
        <w:t xml:space="preserve">There shall be one canonical institutional representation of each current governing instrument and final record. </w:t>
      </w:r>
      <w:r>
        <w:t>Email attachments, local downloads, website copies, working drafts, exported PDFs, and backups are representations or replicas; they do not become separate authorities merely because they exist.</w:t>
      </w:r>
    </w:p>
    <w:p>
      <w:pPr>
        <w:pStyle w:val="Heading1"/>
      </w:pPr>
      <w:r>
        <w:t>Top-Level Repository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00-control/</w:t>
            </w:r>
          </w:p>
        </w:tc>
        <w:tc>
          <w:tcPr>
            <w:tcW w:type="dxa" w:w="5040"/>
          </w:tcPr>
          <w:p>
            <w:r>
              <w:t>Constants, identifiers, manifests, adoption/control registers</w:t>
            </w:r>
          </w:p>
        </w:tc>
      </w:tr>
      <w:tr>
        <w:tc>
          <w:tcPr>
            <w:tcW w:type="dxa" w:w="5040"/>
          </w:tcPr>
          <w:p>
            <w:r>
              <w:t>01-formation/</w:t>
            </w:r>
          </w:p>
        </w:tc>
        <w:tc>
          <w:tcPr>
            <w:tcW w:type="dxa" w:w="5040"/>
          </w:tcPr>
          <w:p>
            <w:r>
              <w:t>Charter, EIN, organizational actions, state filings</w:t>
            </w:r>
          </w:p>
        </w:tc>
      </w:tr>
      <w:tr>
        <w:tc>
          <w:tcPr>
            <w:tcW w:type="dxa" w:w="5040"/>
          </w:tcPr>
          <w:p>
            <w:r>
              <w:t>02-constitutional/</w:t>
            </w:r>
          </w:p>
        </w:tc>
        <w:tc>
          <w:tcPr>
            <w:tcW w:type="dxa" w:w="5040"/>
          </w:tcPr>
          <w:p>
            <w:r>
              <w:t>Constitutions, bylaws, charters, codes, foundational frameworks</w:t>
            </w:r>
          </w:p>
        </w:tc>
      </w:tr>
      <w:tr>
        <w:tc>
          <w:tcPr>
            <w:tcW w:type="dxa" w:w="5040"/>
          </w:tcPr>
          <w:p>
            <w:r>
              <w:t>03-doctrine-and-religious-life/</w:t>
            </w:r>
          </w:p>
        </w:tc>
        <w:tc>
          <w:tcPr>
            <w:tcW w:type="dxa" w:w="5040"/>
          </w:tcPr>
          <w:p>
            <w:r>
              <w:t>Beliefs, doctrine, worship, rites, teaching</w:t>
            </w:r>
          </w:p>
        </w:tc>
      </w:tr>
      <w:tr>
        <w:tc>
          <w:tcPr>
            <w:tcW w:type="dxa" w:w="5040"/>
          </w:tcPr>
          <w:p>
            <w:r>
              <w:t>04-governance/</w:t>
            </w:r>
          </w:p>
        </w:tc>
        <w:tc>
          <w:tcPr>
            <w:tcW w:type="dxa" w:w="5040"/>
          </w:tcPr>
          <w:p>
            <w:r>
              <w:t>Board, EC, CCG, EAC, CMA and decision records</w:t>
            </w:r>
          </w:p>
        </w:tc>
      </w:tr>
      <w:tr>
        <w:tc>
          <w:tcPr>
            <w:tcW w:type="dxa" w:w="5040"/>
          </w:tcPr>
          <w:p>
            <w:r>
              <w:t>05-operations/</w:t>
            </w:r>
          </w:p>
        </w:tc>
        <w:tc>
          <w:tcPr>
            <w:tcW w:type="dxa" w:w="5040"/>
          </w:tcPr>
          <w:p>
            <w:r>
              <w:t>Membership, ministry, safeguarding, finance, education, facilities</w:t>
            </w:r>
          </w:p>
        </w:tc>
      </w:tr>
      <w:tr>
        <w:tc>
          <w:tcPr>
            <w:tcW w:type="dxa" w:w="5040"/>
          </w:tcPr>
          <w:p>
            <w:r>
              <w:t>06-templates/</w:t>
            </w:r>
          </w:p>
        </w:tc>
        <w:tc>
          <w:tcPr>
            <w:tcW w:type="dxa" w:w="5040"/>
          </w:tcPr>
          <w:p>
            <w:r>
              <w:t>Blank approved operational templates</w:t>
            </w:r>
          </w:p>
        </w:tc>
      </w:tr>
      <w:tr>
        <w:tc>
          <w:tcPr>
            <w:tcW w:type="dxa" w:w="5040"/>
          </w:tcPr>
          <w:p>
            <w:r>
              <w:t>07-records/</w:t>
            </w:r>
          </w:p>
        </w:tc>
        <w:tc>
          <w:tcPr>
            <w:tcW w:type="dxa" w:w="5040"/>
          </w:tcPr>
          <w:p>
            <w:r>
              <w:t>Completed recurring operational records</w:t>
            </w:r>
          </w:p>
        </w:tc>
      </w:tr>
      <w:tr>
        <w:tc>
          <w:tcPr>
            <w:tcW w:type="dxa" w:w="5040"/>
          </w:tcPr>
          <w:p>
            <w:r>
              <w:t>08-evidence/</w:t>
            </w:r>
          </w:p>
        </w:tc>
        <w:tc>
          <w:tcPr>
            <w:tcW w:type="dxa" w:w="5040"/>
          </w:tcPr>
          <w:p>
            <w:r>
              <w:t>Church-characteristics and exhibit evidence</w:t>
            </w:r>
          </w:p>
        </w:tc>
      </w:tr>
      <w:tr>
        <w:tc>
          <w:tcPr>
            <w:tcW w:type="dxa" w:w="5040"/>
          </w:tcPr>
          <w:p>
            <w:r>
              <w:t>09-tax-and-regulatory/</w:t>
            </w:r>
          </w:p>
        </w:tc>
        <w:tc>
          <w:tcPr>
            <w:tcW w:type="dxa" w:w="5040"/>
          </w:tcPr>
          <w:p>
            <w:r>
              <w:t>Form 1023, Schedule A, IRS/state correspondence and filings</w:t>
            </w:r>
          </w:p>
        </w:tc>
      </w:tr>
      <w:tr>
        <w:tc>
          <w:tcPr>
            <w:tcW w:type="dxa" w:w="5040"/>
          </w:tcPr>
          <w:p>
            <w:r>
              <w:t>99-archive/</w:t>
            </w:r>
          </w:p>
        </w:tc>
        <w:tc>
          <w:tcPr>
            <w:tcW w:type="dxa" w:w="5040"/>
          </w:tcPr>
          <w:p>
            <w:r>
              <w:t>Superseded, withdrawn, historical drafts and preserved inactive records</w:t>
            </w:r>
          </w:p>
        </w:tc>
      </w:tr>
    </w:tbl>
    <w:p>
      <w:pPr>
        <w:pStyle w:val="Heading1"/>
      </w:pPr>
      <w:r>
        <w:t>Instrument Folder Pattern</w:t>
      </w:r>
    </w:p>
    <w:p>
      <w:r>
        <w:t>Recommended: 02-constitutional/SAFE-001/1.0.0/SAFE-001.docx plus a certified PDF representation when adopted. Prior versions remain under their version folders and are never overwritten.</w:t>
      </w:r>
    </w:p>
    <w:p>
      <w:pPr>
        <w:pStyle w:val="Heading1"/>
      </w:pPr>
      <w:r>
        <w:t>Record Custody and Access</w:t>
      </w:r>
    </w:p>
    <w:p>
      <w:pPr>
        <w:pStyle w:val="ListBullet"/>
      </w:pPr>
      <w:r>
        <w:t>Public, internal, confidential, restricted, privileged/counsel-directed, and legal-hold classifications must be supported.</w:t>
      </w:r>
    </w:p>
    <w:p>
      <w:pPr>
        <w:pStyle w:val="ListBullet"/>
      </w:pPr>
      <w:r>
        <w:t>Safeguarding, discipline, personnel, member privacy, and credential files are not placed in broadly accessible folders merely for convenience.</w:t>
      </w:r>
    </w:p>
    <w:p>
      <w:pPr>
        <w:pStyle w:val="ListBullet"/>
      </w:pPr>
      <w:r>
        <w:t>Repository access does not equal governance authority; technical administrators may maintain systems without gaining substantive decision power.</w:t>
      </w:r>
    </w:p>
    <w:p>
      <w:pPr>
        <w:pStyle w:val="ListBullet"/>
      </w:pPr>
      <w:r>
        <w:t>Backups and disaster recovery copies must preserve identifiers, metadata, versions, and folder relationships.</w:t>
      </w:r>
    </w:p>
    <w:p>
      <w:pPr>
        <w:pStyle w:val="Heading1"/>
      </w:pPr>
      <w:r>
        <w:t>Repository Control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Control File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org_constants.yaml</w:t>
            </w:r>
          </w:p>
        </w:tc>
        <w:tc>
          <w:tcPr>
            <w:tcW w:type="dxa" w:w="5040"/>
          </w:tcPr>
          <w:p>
            <w:r>
              <w:t>Machine-readable organization constants</w:t>
            </w:r>
          </w:p>
        </w:tc>
      </w:tr>
      <w:tr>
        <w:tc>
          <w:tcPr>
            <w:tcW w:type="dxa" w:w="5040"/>
          </w:tcPr>
          <w:p>
            <w:r>
              <w:t>record_series.yaml</w:t>
            </w:r>
          </w:p>
        </w:tc>
        <w:tc>
          <w:tcPr>
            <w:tcW w:type="dxa" w:w="5040"/>
          </w:tcPr>
          <w:p>
            <w:r>
              <w:t>Record-series definitions and next-allocation controls</w:t>
            </w:r>
          </w:p>
        </w:tc>
      </w:tr>
      <w:tr>
        <w:tc>
          <w:tcPr>
            <w:tcW w:type="dxa" w:w="5040"/>
          </w:tcPr>
          <w:p>
            <w:r>
              <w:t>repository_manifest.json</w:t>
            </w:r>
          </w:p>
        </w:tc>
        <w:tc>
          <w:tcPr>
            <w:tcW w:type="dxa" w:w="5040"/>
          </w:tcPr>
          <w:p>
            <w:r>
              <w:t>Canonical path manifest</w:t>
            </w:r>
          </w:p>
        </w:tc>
      </w:tr>
      <w:tr>
        <w:tc>
          <w:tcPr>
            <w:tcW w:type="dxa" w:w="5040"/>
          </w:tcPr>
          <w:p>
            <w:r>
              <w:t>Activation-Control-Workbook.xlsx</w:t>
            </w:r>
          </w:p>
        </w:tc>
        <w:tc>
          <w:tcPr>
            <w:tcW w:type="dxa" w:w="5040"/>
          </w:tcPr>
          <w:p>
            <w:r>
              <w:t>Human-operable constants/adoption/placeholder/migration register</w:t>
            </w:r>
          </w:p>
        </w:tc>
      </w:tr>
      <w:tr>
        <w:tc>
          <w:tcPr>
            <w:tcW w:type="dxa" w:w="5040"/>
          </w:tcPr>
          <w:p>
            <w:r>
              <w:t>SHA256SUMS.txt</w:t>
            </w:r>
          </w:p>
        </w:tc>
        <w:tc>
          <w:tcPr>
            <w:tcW w:type="dxa" w:w="5040"/>
          </w:tcPr>
          <w:p>
            <w:r>
              <w:t>Optional release/package integrity manifest</w:t>
            </w:r>
          </w:p>
        </w:tc>
      </w:tr>
    </w:tbl>
    <w:p>
      <w:pPr>
        <w:pStyle w:val="Heading1"/>
      </w:pPr>
      <w:r>
        <w:t>Migration Rule</w:t>
      </w:r>
    </w:p>
    <w:p>
      <w:r>
        <w:t>Existing drafts are first copied into 99-archive/historical-drafts or the appropriate versioned instrument directory, then a controlled activation copy is produced. Migration must not delete the source draft until integrity and destination have been verified.</w:t>
      </w:r>
    </w:p>
    <w:p>
      <w:pPr>
        <w:pStyle w:val="Heading1"/>
      </w:pPr>
      <w:r>
        <w:t>Adoption and Certification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Entry</w:t>
            </w:r>
          </w:p>
        </w:tc>
      </w:tr>
      <w:tr>
        <w:tc>
          <w:tcPr>
            <w:tcW w:type="dxa" w:w="5040"/>
          </w:tcPr>
          <w:p>
            <w:r>
              <w:t>Organization</w:t>
            </w:r>
          </w:p>
        </w:tc>
        <w:tc>
          <w:tcPr>
            <w:tcW w:type="dxa" w:w="5040"/>
          </w:tcPr>
          <w:p>
            <w:r>
              <w:t>[[CORP_NAME]]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1.0.0 upon adoption</w:t>
            </w:r>
          </w:p>
        </w:tc>
      </w:tr>
      <w:tr>
        <w:tc>
          <w:tcPr>
            <w:tcW w:type="dxa" w:w="5040"/>
          </w:tcPr>
          <w:p>
            <w:r>
              <w:t>Date of Adoption</w:t>
            </w:r>
          </w:p>
        </w:tc>
        <w:tc>
          <w:tcPr>
            <w:tcW w:type="dxa" w:w="5040"/>
          </w:tcPr>
          <w:p>
            <w:r>
              <w:t>[[DATE]]</w:t>
            </w:r>
          </w:p>
        </w:tc>
      </w:tr>
      <w:tr>
        <w:tc>
          <w:tcPr>
            <w:tcW w:type="dxa" w:w="5040"/>
          </w:tcPr>
          <w:p>
            <w:r>
              <w:t>Adopting Authority</w:t>
            </w:r>
          </w:p>
        </w:tc>
        <w:tc>
          <w:tcPr>
            <w:tcW w:type="dxa" w:w="5040"/>
          </w:tcPr>
          <w:p>
            <w:r>
              <w:t>[[ADOPTING_AUTHORITY]]</w:t>
            </w:r>
          </w:p>
        </w:tc>
      </w:tr>
      <w:tr>
        <w:tc>
          <w:tcPr>
            <w:tcW w:type="dxa" w:w="5040"/>
          </w:tcPr>
          <w:p>
            <w:r>
              <w:t>Decision / Resolution ID</w:t>
            </w:r>
          </w:p>
        </w:tc>
        <w:tc>
          <w:tcPr>
            <w:tcW w:type="dxa" w:w="5040"/>
          </w:tcPr>
          <w:p>
            <w:r>
              <w:t>[[DECISION_ID]]</w:t>
            </w:r>
          </w:p>
        </w:tc>
      </w:tr>
      <w:tr>
        <w:tc>
          <w:tcPr>
            <w:tcW w:type="dxa" w:w="5040"/>
          </w:tcPr>
          <w:p>
            <w:r>
              <w:t>Effective Date</w:t>
            </w:r>
          </w:p>
        </w:tc>
        <w:tc>
          <w:tcPr>
            <w:tcW w:type="dxa" w:w="5040"/>
          </w:tcPr>
          <w:p>
            <w:r>
              <w:t>[[EFFECTIVE_DATE]]</w:t>
            </w:r>
          </w:p>
        </w:tc>
      </w:tr>
      <w:tr>
        <w:tc>
          <w:tcPr>
            <w:tcW w:type="dxa" w:w="5040"/>
          </w:tcPr>
          <w:p>
            <w:r>
              <w:t>Canonical Repository Path</w:t>
            </w:r>
          </w:p>
        </w:tc>
        <w:tc>
          <w:tcPr>
            <w:tcW w:type="dxa" w:w="5040"/>
          </w:tcPr>
          <w:p>
            <w:r>
              <w:t>[[PATH]]</w:t>
            </w:r>
          </w:p>
        </w:tc>
      </w:tr>
    </w:tbl>
    <w:p>
      <w:r>
        <w:rPr>
          <w:b/>
        </w:rPr>
        <w:t xml:space="preserve">Certification: </w:t>
      </w:r>
      <w:r>
        <w:t>I certify that the foregoing instrument was duly adopted or approved as stated above and that this certified copy is the canonical institutional copy unless superseded through valid process.</w:t>
      </w:r>
    </w:p>
    <w:p>
      <w:r>
        <w:br/>
        <w:t>________________________________________</w:t>
        <w:br/>
        <w:t>[[NAME / OFFICE]]</w:t>
        <w:br/>
        <w:t>[[DATE]]</w:t>
      </w:r>
    </w:p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293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