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Doctrine and Authoritative Teaching Code</w:t>
      </w:r>
    </w:p>
    <w:p>
      <w:pPr>
        <w:jc w:val="center"/>
      </w:pPr>
      <w:r>
        <w:rPr>
          <w:b/>
          <w:sz w:val="26"/>
        </w:rPr>
        <w:t>[[CORP_NAME]]</w:t>
      </w:r>
    </w:p>
    <w:tbl>
      <w:tblPr>
        <w:tblStyle w:val="TableGrid"/>
        <w:tblW w:type="auto" w:w="0"/>
        <w:jc w:val="center"/>
        <w:tblLook w:firstColumn="1" w:firstRow="1" w:lastColumn="0" w:lastRow="0" w:noHBand="0" w:noVBand="1" w:val="04A0"/>
      </w:tblPr>
      <w:tblGrid>
        <w:gridCol w:w="5040"/>
        <w:gridCol w:w="5040"/>
      </w:tblGrid>
      <w:tr>
        <w:tc>
          <w:tcPr>
            <w:tcW w:type="dxa" w:w="5040"/>
            <w:shd w:fill="E5E7EB"/>
          </w:tcPr>
          <w:p>
            <w:r>
              <w:t>Document ID</w:t>
            </w:r>
          </w:p>
        </w:tc>
        <w:tc>
          <w:tcPr>
            <w:tcW w:type="dxa" w:w="5040"/>
          </w:tcPr>
          <w:p>
            <w:r>
              <w:t>DOC-001</w:t>
            </w:r>
          </w:p>
        </w:tc>
      </w:tr>
      <w:tr>
        <w:tc>
          <w:tcPr>
            <w:tcW w:type="dxa" w:w="5040"/>
            <w:shd w:fill="E5E7EB"/>
          </w:tcPr>
          <w:p>
            <w:r>
              <w:t>Version</w:t>
            </w:r>
          </w:p>
        </w:tc>
        <w:tc>
          <w:tcPr>
            <w:tcW w:type="dxa" w:w="5040"/>
          </w:tcPr>
          <w:p>
            <w:r>
              <w:t>0.1.0</w:t>
            </w:r>
          </w:p>
        </w:tc>
      </w:tr>
      <w:tr>
        <w:tc>
          <w:tcPr>
            <w:tcW w:type="dxa" w:w="5040"/>
            <w:shd w:fill="E5E7EB"/>
          </w:tcPr>
          <w:p>
            <w:r>
              <w:t>Status</w:t>
            </w:r>
          </w:p>
        </w:tc>
        <w:tc>
          <w:tcPr>
            <w:tcW w:type="dxa" w:w="5040"/>
          </w:tcPr>
          <w:p>
            <w:r>
              <w:t>Provisional Constitutional Draft</w:t>
            </w:r>
          </w:p>
        </w:tc>
      </w:tr>
      <w:tr>
        <w:tc>
          <w:tcPr>
            <w:tcW w:type="dxa" w:w="5040"/>
            <w:shd w:fill="E5E7EB"/>
          </w:tcPr>
          <w:p>
            <w:r>
              <w:t>Classification</w:t>
            </w:r>
          </w:p>
        </w:tc>
        <w:tc>
          <w:tcPr>
            <w:tcW w:type="dxa" w:w="5040"/>
          </w:tcPr>
          <w:p>
            <w:r>
              <w:t>Doctrine, Interpretation, Teaching, and Religious Knowledge Code</w:t>
            </w:r>
          </w:p>
        </w:tc>
      </w:tr>
      <w:tr>
        <w:tc>
          <w:tcPr>
            <w:tcW w:type="dxa" w:w="5040"/>
            <w:shd w:fill="E5E7EB"/>
          </w:tcPr>
          <w:p>
            <w:r>
              <w:t>Parent</w:t>
            </w:r>
          </w:p>
        </w:tc>
        <w:tc>
          <w:tcPr>
            <w:tcW w:type="dxa" w:w="5040"/>
          </w:tcPr>
          <w:p>
            <w:r>
              <w:t>REL-CON-001 / ECC-CON-001 / CH-007 / CH-008</w:t>
            </w:r>
          </w:p>
        </w:tc>
      </w:tr>
      <w:tr>
        <w:tc>
          <w:tcPr>
            <w:tcW w:type="dxa" w:w="5040"/>
            <w:shd w:fill="E5E7EB"/>
          </w:tcPr>
          <w:p>
            <w:r>
              <w:t>Organization</w:t>
            </w:r>
          </w:p>
        </w:tc>
        <w:tc>
          <w:tcPr>
            <w:tcW w:type="dxa" w:w="5040"/>
          </w:tcPr>
          <w:p>
            <w:r>
              <w:t>[[CORP_NAME]]</w:t>
            </w:r>
          </w:p>
        </w:tc>
      </w:tr>
      <w:tr>
        <w:tc>
          <w:tcPr>
            <w:tcW w:type="dxa" w:w="5040"/>
            <w:shd w:fill="E5E7EB"/>
          </w:tcPr>
          <w:p>
            <w:r>
              <w:t>Description</w:t>
            </w:r>
          </w:p>
        </w:tc>
        <w:tc>
          <w:tcPr>
            <w:tcW w:type="dxa" w:w="5040"/>
          </w:tcPr>
          <w:p>
            <w:r>
              <w:t>Defines doctrinal classes, authority, proposal, review, adoption, interpretation, teaching labels, correction, dissent, private revelation, scholarly work, and amendment.</w:t>
            </w:r>
          </w:p>
        </w:tc>
      </w:tr>
    </w:tbl>
    <w:p>
      <w:pPr>
        <w:pStyle w:val="SmallNote"/>
      </w:pPr>
      <w:r>
        <w:t>Drafting notice: This instrument is a governance and ecclesiastical working draft. Bracketed fields require verified facts before adoption. It does not replace advice from qualified Tennessee counsel, tax counsel, safeguarding professionals, or other specialists where applicable.</w:t>
      </w:r>
    </w:p>
    <w:p>
      <w:r>
        <w:br w:type="page"/>
      </w:r>
    </w:p>
    <w:p>
      <w:pPr>
        <w:pStyle w:val="Heading1"/>
      </w:pPr>
      <w:r>
        <w:t>Preamble</w:t>
      </w:r>
    </w:p>
    <w:p>
      <w:r>
        <w:t>A religious community must be able to teach with clarity without pretending that every sermon, founder statement, mystical report, scholarly hypothesis, or inherited custom has equal authority. This Code creates explicit doctrinal classes so authority is knowable, bounded, correctable, and historically honest.</w:t>
      </w:r>
    </w:p>
    <w:p>
      <w:pPr>
        <w:pStyle w:val="Heading1"/>
      </w:pPr>
      <w:r>
        <w:t>Article I — Authority Hierarchy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Class</w:t>
            </w:r>
          </w:p>
        </w:tc>
        <w:tc>
          <w:tcPr>
            <w:tcW w:type="dxa" w:w="3360"/>
            <w:shd w:fill="D9EAF7"/>
            <w:vAlign w:val="center"/>
          </w:tcPr>
          <w:p>
            <w:r>
              <w:t>Example</w:t>
            </w:r>
          </w:p>
        </w:tc>
        <w:tc>
          <w:tcPr>
            <w:tcW w:type="dxa" w:w="3360"/>
            <w:shd w:fill="D9EAF7"/>
            <w:vAlign w:val="center"/>
          </w:tcPr>
          <w:p>
            <w:r>
              <w:t>Authority</w:t>
            </w:r>
          </w:p>
        </w:tc>
      </w:tr>
      <w:tr>
        <w:tc>
          <w:tcPr>
            <w:tcW w:type="dxa" w:w="3360"/>
          </w:tcPr>
          <w:p>
            <w:r>
              <w:t>Constitutional religious commitments</w:t>
            </w:r>
          </w:p>
        </w:tc>
        <w:tc>
          <w:tcPr>
            <w:tcW w:type="dxa" w:w="3360"/>
          </w:tcPr>
          <w:p>
            <w:r>
              <w:t>REL-CON-001 Entrenched provisions</w:t>
            </w:r>
          </w:p>
        </w:tc>
        <w:tc>
          <w:tcPr>
            <w:tcW w:type="dxa" w:w="3360"/>
          </w:tcPr>
          <w:p>
            <w:r>
              <w:t>highest internal religious authority within scope</w:t>
            </w:r>
          </w:p>
        </w:tc>
      </w:tr>
      <w:tr>
        <w:tc>
          <w:tcPr>
            <w:tcW w:type="dxa" w:w="3360"/>
          </w:tcPr>
          <w:p>
            <w:r>
              <w:t>Foundational Principles</w:t>
            </w:r>
          </w:p>
        </w:tc>
        <w:tc>
          <w:tcPr>
            <w:tcW w:type="dxa" w:w="3360"/>
          </w:tcPr>
          <w:p>
            <w:r>
              <w:t>validly adopted foundational propositions</w:t>
            </w:r>
          </w:p>
        </w:tc>
        <w:tc>
          <w:tcPr>
            <w:tcW w:type="dxa" w:w="3360"/>
          </w:tcPr>
          <w:p>
            <w:r>
              <w:t>binding according to constitution</w:t>
            </w:r>
          </w:p>
        </w:tc>
      </w:tr>
      <w:tr>
        <w:tc>
          <w:tcPr>
            <w:tcW w:type="dxa" w:w="3360"/>
          </w:tcPr>
          <w:p>
            <w:r>
              <w:t>Formal Doctrine</w:t>
            </w:r>
          </w:p>
        </w:tc>
        <w:tc>
          <w:tcPr>
            <w:tcW w:type="dxa" w:w="3360"/>
          </w:tcPr>
          <w:p>
            <w:r>
              <w:t>CH-008 propositions validly adopted</w:t>
            </w:r>
          </w:p>
        </w:tc>
        <w:tc>
          <w:tcPr>
            <w:tcW w:type="dxa" w:w="3360"/>
          </w:tcPr>
          <w:p>
            <w:r>
              <w:t>binding doctrine</w:t>
            </w:r>
          </w:p>
        </w:tc>
      </w:tr>
      <w:tr>
        <w:tc>
          <w:tcPr>
            <w:tcW w:type="dxa" w:w="3360"/>
          </w:tcPr>
          <w:p>
            <w:r>
              <w:t>Authoritative Interpretation</w:t>
            </w:r>
          </w:p>
        </w:tc>
        <w:tc>
          <w:tcPr>
            <w:tcW w:type="dxa" w:w="3360"/>
          </w:tcPr>
          <w:p>
            <w:r>
              <w:t>formal EC interpretation of adopted doctrine</w:t>
            </w:r>
          </w:p>
        </w:tc>
        <w:tc>
          <w:tcPr>
            <w:tcW w:type="dxa" w:w="3360"/>
          </w:tcPr>
          <w:p>
            <w:r>
              <w:t>binding to stated scope</w:t>
            </w:r>
          </w:p>
        </w:tc>
      </w:tr>
      <w:tr>
        <w:tc>
          <w:tcPr>
            <w:tcW w:type="dxa" w:w="3360"/>
          </w:tcPr>
          <w:p>
            <w:r>
              <w:t>Pastoral/Educational Teaching</w:t>
            </w:r>
          </w:p>
        </w:tc>
        <w:tc>
          <w:tcPr>
            <w:tcW w:type="dxa" w:w="3360"/>
          </w:tcPr>
          <w:p>
            <w:r>
              <w:t>sermons, lessons, guidance</w:t>
            </w:r>
          </w:p>
        </w:tc>
        <w:tc>
          <w:tcPr>
            <w:tcW w:type="dxa" w:w="3360"/>
          </w:tcPr>
          <w:p>
            <w:r>
              <w:t>nonbinding unless explicitly grounded in higher authority</w:t>
            </w:r>
          </w:p>
        </w:tc>
      </w:tr>
      <w:tr>
        <w:tc>
          <w:tcPr>
            <w:tcW w:type="dxa" w:w="3360"/>
          </w:tcPr>
          <w:p>
            <w:r>
              <w:t>Scholarly/Historical Analysis</w:t>
            </w:r>
          </w:p>
        </w:tc>
        <w:tc>
          <w:tcPr>
            <w:tcW w:type="dxa" w:w="3360"/>
          </w:tcPr>
          <w:p>
            <w:r>
              <w:t>research, source criticism, comparative study</w:t>
            </w:r>
          </w:p>
        </w:tc>
        <w:tc>
          <w:tcPr>
            <w:tcW w:type="dxa" w:w="3360"/>
          </w:tcPr>
          <w:p>
            <w:r>
              <w:t>nonbinding and revisable</w:t>
            </w:r>
          </w:p>
        </w:tc>
      </w:tr>
      <w:tr>
        <w:tc>
          <w:tcPr>
            <w:tcW w:type="dxa" w:w="3360"/>
          </w:tcPr>
          <w:p>
            <w:r>
              <w:t>Exploratory Theology</w:t>
            </w:r>
          </w:p>
        </w:tc>
        <w:tc>
          <w:tcPr>
            <w:tcW w:type="dxa" w:w="3360"/>
          </w:tcPr>
          <w:p>
            <w:r>
              <w:t>hypotheses and unresolved synthesis</w:t>
            </w:r>
          </w:p>
        </w:tc>
        <w:tc>
          <w:tcPr>
            <w:tcW w:type="dxa" w:w="3360"/>
          </w:tcPr>
          <w:p>
            <w:r>
              <w:t>explicitly provisional</w:t>
            </w:r>
          </w:p>
        </w:tc>
      </w:tr>
      <w:tr>
        <w:tc>
          <w:tcPr>
            <w:tcW w:type="dxa" w:w="3360"/>
          </w:tcPr>
          <w:p>
            <w:r>
              <w:t>Personal Testimony/Private Revelation</w:t>
            </w:r>
          </w:p>
        </w:tc>
        <w:tc>
          <w:tcPr>
            <w:tcW w:type="dxa" w:w="3360"/>
          </w:tcPr>
          <w:p>
            <w:r>
              <w:t>individual reported experience</w:t>
            </w:r>
          </w:p>
        </w:tc>
        <w:tc>
          <w:tcPr>
            <w:tcW w:type="dxa" w:w="3360"/>
          </w:tcPr>
          <w:p>
            <w:r>
              <w:t>evidence of testimony, not automatic doctrine</w:t>
            </w:r>
          </w:p>
        </w:tc>
      </w:tr>
    </w:tbl>
    <w:p>
      <w:pPr>
        <w:pStyle w:val="Heading1"/>
      </w:pPr>
      <w:r>
        <w:t>Article II — Sources and Evidence</w:t>
      </w:r>
    </w:p>
    <w:p>
      <w:r>
        <w:t>The community may study scripture, tradition, historical testimony, religious experience, reason, philosophy, science, comparative religion, archaeology, linguistics, ritual, conscience, and other relevant sources. The existence of a source does not predetermine its doctrinal authority.</w:t>
      </w:r>
    </w:p>
    <w:p>
      <w:pPr>
        <w:pStyle w:val="Heading1"/>
      </w:pPr>
      <w:r>
        <w:t>Article III — Doctrine Proposal</w:t>
      </w:r>
    </w:p>
    <w:p>
      <w:pPr>
        <w:pStyle w:val="ListNumber"/>
      </w:pPr>
      <w:r>
        <w:t>State the proposed proposition precisely.</w:t>
      </w:r>
    </w:p>
    <w:p>
      <w:pPr>
        <w:pStyle w:val="ListNumber"/>
      </w:pPr>
      <w:r>
        <w:t>Identify whether it is new, interpretive, corrective, or superseding.</w:t>
      </w:r>
    </w:p>
    <w:p>
      <w:pPr>
        <w:pStyle w:val="ListNumber"/>
      </w:pPr>
      <w:r>
        <w:t>Identify sources and competing interpretations.</w:t>
      </w:r>
    </w:p>
    <w:p>
      <w:pPr>
        <w:pStyle w:val="ListNumber"/>
      </w:pPr>
      <w:r>
        <w:t>State practical consequences.</w:t>
      </w:r>
    </w:p>
    <w:p>
      <w:pPr>
        <w:pStyle w:val="ListNumber"/>
      </w:pPr>
      <w:r>
        <w:t>Circulate for study proportionate to importance.</w:t>
      </w:r>
    </w:p>
    <w:p>
      <w:pPr>
        <w:pStyle w:val="ListNumber"/>
      </w:pPr>
      <w:r>
        <w:t>Obtain EC deliberation and other concurrence required by constitutional class.</w:t>
      </w:r>
    </w:p>
    <w:p>
      <w:pPr>
        <w:pStyle w:val="ListNumber"/>
      </w:pPr>
      <w:r>
        <w:t>Record decision, effective date, scope, and dissenting or minority analysis where material.</w:t>
      </w:r>
    </w:p>
    <w:p>
      <w:pPr>
        <w:pStyle w:val="Heading1"/>
      </w:pPr>
      <w:r>
        <w:t>Article IV — Private Revelation and Charismatic Claims</w:t>
      </w:r>
    </w:p>
    <w:p>
      <w:pPr>
        <w:pStyle w:val="ListBullet"/>
      </w:pPr>
      <w:r>
        <w:t>No private revelation automatically binds another person.</w:t>
      </w:r>
    </w:p>
    <w:p>
      <w:pPr>
        <w:pStyle w:val="ListBullet"/>
      </w:pPr>
      <w:r>
        <w:t>No claimant receives governance authority merely by claiming divine communication.</w:t>
      </w:r>
    </w:p>
    <w:p>
      <w:pPr>
        <w:pStyle w:val="ListBullet"/>
      </w:pPr>
      <w:r>
        <w:t>Claims may be recorded and studied without immediate doctrinal adoption.</w:t>
      </w:r>
    </w:p>
    <w:p>
      <w:pPr>
        <w:pStyle w:val="ListBullet"/>
      </w:pPr>
      <w:r>
        <w:t>A claimed revelation may never override safeguarding, consent, lawful reporting, or constitutional process.</w:t>
      </w:r>
    </w:p>
    <w:p>
      <w:pPr>
        <w:pStyle w:val="ListBullet"/>
      </w:pPr>
      <w:r>
        <w:t>Where claims materially affect doctrine, they enter the ordinary doctrine process.</w:t>
      </w:r>
    </w:p>
    <w:p>
      <w:pPr>
        <w:pStyle w:val="Heading1"/>
      </w:pPr>
      <w:r>
        <w:t>Article V — Teaching Labels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Required Label</w:t>
            </w:r>
          </w:p>
        </w:tc>
        <w:tc>
          <w:tcPr>
            <w:tcW w:type="dxa" w:w="5040"/>
            <w:shd w:fill="D9EAF7"/>
            <w:vAlign w:val="center"/>
          </w:tcPr>
          <w:p>
            <w:r>
              <w:t>When Used</w:t>
            </w:r>
          </w:p>
        </w:tc>
      </w:tr>
      <w:tr>
        <w:tc>
          <w:tcPr>
            <w:tcW w:type="dxa" w:w="5040"/>
          </w:tcPr>
          <w:p>
            <w:r>
              <w:t>FORMAL DOCTRINE</w:t>
            </w:r>
          </w:p>
        </w:tc>
        <w:tc>
          <w:tcPr>
            <w:tcW w:type="dxa" w:w="5040"/>
          </w:tcPr>
          <w:p>
            <w:r>
              <w:t>teaching an adopted doctrinal proposition</w:t>
            </w:r>
          </w:p>
        </w:tc>
      </w:tr>
      <w:tr>
        <w:tc>
          <w:tcPr>
            <w:tcW w:type="dxa" w:w="5040"/>
          </w:tcPr>
          <w:p>
            <w:r>
              <w:t>AUTHORITATIVE INTERPRETATION</w:t>
            </w:r>
          </w:p>
        </w:tc>
        <w:tc>
          <w:tcPr>
            <w:tcW w:type="dxa" w:w="5040"/>
          </w:tcPr>
          <w:p>
            <w:r>
              <w:t>formal valid interpretation</w:t>
            </w:r>
          </w:p>
        </w:tc>
      </w:tr>
      <w:tr>
        <w:tc>
          <w:tcPr>
            <w:tcW w:type="dxa" w:w="5040"/>
          </w:tcPr>
          <w:p>
            <w:r>
              <w:t>PASTORAL / EDUCATIONAL</w:t>
            </w:r>
          </w:p>
        </w:tc>
        <w:tc>
          <w:tcPr>
            <w:tcW w:type="dxa" w:w="5040"/>
          </w:tcPr>
          <w:p>
            <w:r>
              <w:t>ordinary ministry teaching</w:t>
            </w:r>
          </w:p>
        </w:tc>
      </w:tr>
      <w:tr>
        <w:tc>
          <w:tcPr>
            <w:tcW w:type="dxa" w:w="5040"/>
          </w:tcPr>
          <w:p>
            <w:r>
              <w:t>SCHOLARLY / HISTORICAL</w:t>
            </w:r>
          </w:p>
        </w:tc>
        <w:tc>
          <w:tcPr>
            <w:tcW w:type="dxa" w:w="5040"/>
          </w:tcPr>
          <w:p>
            <w:r>
              <w:t>research and source analysis</w:t>
            </w:r>
          </w:p>
        </w:tc>
      </w:tr>
      <w:tr>
        <w:tc>
          <w:tcPr>
            <w:tcW w:type="dxa" w:w="5040"/>
          </w:tcPr>
          <w:p>
            <w:r>
              <w:t>PERSONAL TESTIMONY</w:t>
            </w:r>
          </w:p>
        </w:tc>
        <w:tc>
          <w:tcPr>
            <w:tcW w:type="dxa" w:w="5040"/>
          </w:tcPr>
          <w:p>
            <w:r>
              <w:t>individual experience report</w:t>
            </w:r>
          </w:p>
        </w:tc>
      </w:tr>
      <w:tr>
        <w:tc>
          <w:tcPr>
            <w:tcW w:type="dxa" w:w="5040"/>
          </w:tcPr>
          <w:p>
            <w:r>
              <w:t>EXPLORATORY / PROVISIONAL</w:t>
            </w:r>
          </w:p>
        </w:tc>
        <w:tc>
          <w:tcPr>
            <w:tcW w:type="dxa" w:w="5040"/>
          </w:tcPr>
          <w:p>
            <w:r>
              <w:t>unresolved theology or hypothesis</w:t>
            </w:r>
          </w:p>
        </w:tc>
      </w:tr>
    </w:tbl>
    <w:p>
      <w:pPr>
        <w:pStyle w:val="Heading1"/>
      </w:pPr>
      <w:r>
        <w:t>Article VI — Reserved Questions</w:t>
      </w:r>
    </w:p>
    <w:p>
      <w:r>
        <w:t>Questions intentionally unresolved in CH-008 remain open until validly decided. Teachers shall not present reserved questions as settled merely because they hold a personal view.</w:t>
      </w:r>
    </w:p>
    <w:p>
      <w:pPr>
        <w:pStyle w:val="Heading1"/>
      </w:pPr>
      <w:r>
        <w:t>Article VII — Dissent and Conscience</w:t>
      </w:r>
    </w:p>
    <w:p>
      <w:r>
        <w:t>Members and ministers may raise good-faith doctrinal questions without being automatically treated as disloyal. Office or credential may require defined doctrinal commitments, but disagreement shall be addressed through transparent qualification or discipline rules rather than coercive thought control.</w:t>
      </w:r>
    </w:p>
    <w:p>
      <w:pPr>
        <w:pStyle w:val="Heading1"/>
      </w:pPr>
      <w:r>
        <w:t>Article VIII — Corrections and Retractions</w:t>
      </w:r>
    </w:p>
    <w:p>
      <w:pPr>
        <w:pStyle w:val="ListNumber"/>
      </w:pPr>
      <w:r>
        <w:t>Identify the prior teaching or doctrine.</w:t>
      </w:r>
    </w:p>
    <w:p>
      <w:pPr>
        <w:pStyle w:val="ListNumber"/>
      </w:pPr>
      <w:r>
        <w:t>Determine its authority class.</w:t>
      </w:r>
    </w:p>
    <w:p>
      <w:pPr>
        <w:pStyle w:val="ListNumber"/>
      </w:pPr>
      <w:r>
        <w:t>State the error or reason for correction.</w:t>
      </w:r>
    </w:p>
    <w:p>
      <w:pPr>
        <w:pStyle w:val="ListNumber"/>
      </w:pPr>
      <w:r>
        <w:t>Use the amendment process appropriate to that class.</w:t>
      </w:r>
    </w:p>
    <w:p>
      <w:pPr>
        <w:pStyle w:val="ListNumber"/>
      </w:pPr>
      <w:r>
        <w:t>Preserve historical versions.</w:t>
      </w:r>
    </w:p>
    <w:p>
      <w:pPr>
        <w:pStyle w:val="ListNumber"/>
      </w:pPr>
      <w:r>
        <w:t>Publish correction proportionate to the reach of the original teaching.</w:t>
      </w:r>
    </w:p>
    <w:p>
      <w:pPr>
        <w:pStyle w:val="Heading1"/>
      </w:pPr>
      <w:r>
        <w:t>Article IX — Founder and Leader Statements</w:t>
      </w:r>
    </w:p>
    <w:p>
      <w:r>
        <w:t>Statements by the Founder, PSL, ministers, scholars, or councils acquire only the authority validly given by the governing corpus. Charisma, seniority, popularity, or repeated quotation does not silently elevate a statement into doctrine.</w:t>
      </w:r>
    </w:p>
    <w:p>
      <w:pPr>
        <w:pStyle w:val="Heading1"/>
      </w:pPr>
      <w:r>
        <w:t>Article X — Scripture and Canon</w:t>
      </w:r>
    </w:p>
    <w:p>
      <w:r>
        <w:t>If the Religious Body later adopts a formal canon or hierarchy of sacred texts, the adoption instrument shall identify scope, interpretive principles, amendment protections, and the status of noncanonical religious literature. Until then, no drafting convenience shall be treated as having settled the canon question.</w:t>
      </w:r>
    </w:p>
    <w:p>
      <w:pPr>
        <w:pStyle w:val="Heading1"/>
      </w:pPr>
      <w:r>
        <w:t>Article XI — Doctrinal Archive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Record</w:t>
            </w:r>
          </w:p>
        </w:tc>
        <w:tc>
          <w:tcPr>
            <w:tcW w:type="dxa" w:w="5040"/>
            <w:shd w:fill="D9EAF7"/>
            <w:vAlign w:val="center"/>
          </w:tcPr>
          <w:p>
            <w:r>
              <w:t>Contents</w:t>
            </w:r>
          </w:p>
        </w:tc>
      </w:tr>
      <w:tr>
        <w:tc>
          <w:tcPr>
            <w:tcW w:type="dxa" w:w="5040"/>
          </w:tcPr>
          <w:p>
            <w:r>
              <w:t>Doctrine docket</w:t>
            </w:r>
          </w:p>
        </w:tc>
        <w:tc>
          <w:tcPr>
            <w:tcW w:type="dxa" w:w="5040"/>
          </w:tcPr>
          <w:p>
            <w:r>
              <w:t>proposal, sources, submissions</w:t>
            </w:r>
          </w:p>
        </w:tc>
      </w:tr>
      <w:tr>
        <w:tc>
          <w:tcPr>
            <w:tcW w:type="dxa" w:w="5040"/>
          </w:tcPr>
          <w:p>
            <w:r>
              <w:t>Decision</w:t>
            </w:r>
          </w:p>
        </w:tc>
        <w:tc>
          <w:tcPr>
            <w:tcW w:type="dxa" w:w="5040"/>
          </w:tcPr>
          <w:p>
            <w:r>
              <w:t>adopted text, vote, concurrence</w:t>
            </w:r>
          </w:p>
        </w:tc>
      </w:tr>
      <w:tr>
        <w:tc>
          <w:tcPr>
            <w:tcW w:type="dxa" w:w="5040"/>
          </w:tcPr>
          <w:p>
            <w:r>
              <w:t>Interpretation</w:t>
            </w:r>
          </w:p>
        </w:tc>
        <w:tc>
          <w:tcPr>
            <w:tcW w:type="dxa" w:w="5040"/>
          </w:tcPr>
          <w:p>
            <w:r>
              <w:t>scope and authority</w:t>
            </w:r>
          </w:p>
        </w:tc>
      </w:tr>
      <w:tr>
        <w:tc>
          <w:tcPr>
            <w:tcW w:type="dxa" w:w="5040"/>
          </w:tcPr>
          <w:p>
            <w:r>
              <w:t>Supersession chain</w:t>
            </w:r>
          </w:p>
        </w:tc>
        <w:tc>
          <w:tcPr>
            <w:tcW w:type="dxa" w:w="5040"/>
          </w:tcPr>
          <w:p>
            <w:r>
              <w:t>what replaces what</w:t>
            </w:r>
          </w:p>
        </w:tc>
      </w:tr>
      <w:tr>
        <w:tc>
          <w:tcPr>
            <w:tcW w:type="dxa" w:w="5040"/>
          </w:tcPr>
          <w:p>
            <w:r>
              <w:t>Minority report</w:t>
            </w:r>
          </w:p>
        </w:tc>
        <w:tc>
          <w:tcPr>
            <w:tcW w:type="dxa" w:w="5040"/>
          </w:tcPr>
          <w:p>
            <w:r>
              <w:t>material dissent where preserved</w:t>
            </w:r>
          </w:p>
        </w:tc>
      </w:tr>
      <w:tr>
        <w:tc>
          <w:tcPr>
            <w:tcW w:type="dxa" w:w="5040"/>
          </w:tcPr>
          <w:p>
            <w:r>
              <w:t>Teaching corpus</w:t>
            </w:r>
          </w:p>
        </w:tc>
        <w:tc>
          <w:tcPr>
            <w:tcW w:type="dxa" w:w="5040"/>
          </w:tcPr>
          <w:p>
            <w:r>
              <w:t>linked to CH-020 archive</w:t>
            </w:r>
          </w:p>
        </w:tc>
      </w:tr>
    </w:tbl>
    <w:p>
      <w:pPr>
        <w:pStyle w:val="Heading1"/>
      </w:pPr>
      <w:r>
        <w:t>Article XII — Amendment and Refounding</w:t>
      </w:r>
    </w:p>
    <w:p>
      <w:r>
        <w:t>Ordinary doctrine may be revised through the applicable doctrinal process. Changes to Entrenched identity commitments require constitutional amendment or Refounding under ECC-CON-001.</w:t>
      </w:r>
    </w:p>
    <w:p>
      <w:pPr>
        <w:pStyle w:val="Heading1"/>
      </w:pPr>
      <w:r>
        <w:t>Adoption and Certification</w:t>
      </w:r>
    </w:p>
    <w:p>
      <w:r>
        <w:t>This instrument becomes effective only upon valid adoption by the competent authority under the governing corpus. A draft, training copy, or operational template does not acquire binding force merely because it exists.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Field</w:t>
            </w:r>
          </w:p>
        </w:tc>
        <w:tc>
          <w:tcPr>
            <w:tcW w:type="dxa" w:w="5040"/>
            <w:shd w:fill="D9EAF7"/>
            <w:vAlign w:val="center"/>
          </w:tcPr>
          <w:p>
            <w:r>
              <w:t>Entry</w:t>
            </w:r>
          </w:p>
        </w:tc>
      </w:tr>
      <w:tr>
        <w:tc>
          <w:tcPr>
            <w:tcW w:type="dxa" w:w="5040"/>
          </w:tcPr>
          <w:p>
            <w:r>
              <w:t>Organization</w:t>
            </w:r>
          </w:p>
        </w:tc>
        <w:tc>
          <w:tcPr>
            <w:tcW w:type="dxa" w:w="5040"/>
          </w:tcPr>
          <w:p>
            <w:r>
              <w:t>[[CORP_NAME]]</w:t>
            </w:r>
          </w:p>
        </w:tc>
      </w:tr>
      <w:tr>
        <w:tc>
          <w:tcPr>
            <w:tcW w:type="dxa" w:w="5040"/>
          </w:tcPr>
          <w:p>
            <w:r>
              <w:t>Version</w:t>
            </w:r>
          </w:p>
        </w:tc>
        <w:tc>
          <w:tcPr>
            <w:tcW w:type="dxa" w:w="5040"/>
          </w:tcPr>
          <w:p>
            <w:r>
              <w:t>0.1.0</w:t>
            </w:r>
          </w:p>
        </w:tc>
      </w:tr>
      <w:tr>
        <w:tc>
          <w:tcPr>
            <w:tcW w:type="dxa" w:w="5040"/>
          </w:tcPr>
          <w:p>
            <w:r>
              <w:t>Date of Adoption</w:t>
            </w:r>
          </w:p>
        </w:tc>
        <w:tc>
          <w:tcPr>
            <w:tcW w:type="dxa" w:w="5040"/>
          </w:tcPr>
          <w:p>
            <w:r>
              <w:t>[[DATE]]</w:t>
            </w:r>
          </w:p>
        </w:tc>
      </w:tr>
      <w:tr>
        <w:tc>
          <w:tcPr>
            <w:tcW w:type="dxa" w:w="5040"/>
          </w:tcPr>
          <w:p>
            <w:r>
              <w:t>Adopting Authority</w:t>
            </w:r>
          </w:p>
        </w:tc>
        <w:tc>
          <w:tcPr>
            <w:tcW w:type="dxa" w:w="5040"/>
          </w:tcPr>
          <w:p>
            <w:r>
              <w:t>[[ADOPTING_AUTHORITY]]</w:t>
            </w:r>
          </w:p>
        </w:tc>
      </w:tr>
      <w:tr>
        <w:tc>
          <w:tcPr>
            <w:tcW w:type="dxa" w:w="5040"/>
          </w:tcPr>
          <w:p>
            <w:r>
              <w:t>Ecclesiastical Approval</w:t>
            </w:r>
          </w:p>
        </w:tc>
        <w:tc>
          <w:tcPr>
            <w:tcW w:type="dxa" w:w="5040"/>
          </w:tcPr>
          <w:p>
            <w:r>
              <w:t>[[ECCLESIASTICAL_APPROVAL_RECORD]]</w:t>
            </w:r>
          </w:p>
        </w:tc>
      </w:tr>
      <w:tr>
        <w:tc>
          <w:tcPr>
            <w:tcW w:type="dxa" w:w="5040"/>
          </w:tcPr>
          <w:p>
            <w:r>
              <w:t>Civil Board Action, if required</w:t>
            </w:r>
          </w:p>
        </w:tc>
        <w:tc>
          <w:tcPr>
            <w:tcW w:type="dxa" w:w="5040"/>
          </w:tcPr>
          <w:p>
            <w:r>
              <w:t>[[BOARD_ACTION / N/A]]</w:t>
            </w:r>
          </w:p>
        </w:tc>
      </w:tr>
    </w:tbl>
    <w:p>
      <w:r>
        <w:t>Certification</w:t>
      </w:r>
    </w:p>
    <w:p>
      <w:r>
        <w:t>I certify that the foregoing instrument was duly adopted or approved as stated above and remains in force except as subsequently amended through valid process.</w:t>
      </w:r>
    </w:p>
    <w:p>
      <w:r>
        <w:t>________________________________________</w:t>
      </w:r>
    </w:p>
    <w:p>
      <w:r>
        <w:t>[[NAME / OFFICE]]</w:t>
      </w:r>
    </w:p>
    <w:p>
      <w:r>
        <w:t>[[DATE]]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DOC-001 | [[CORP_NAME]]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