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44"/>
        </w:rPr>
        <w:t>Founding Transition Schedule</w:t>
      </w:r>
    </w:p>
    <w:p>
      <w:pPr>
        <w:spacing w:after="60"/>
        <w:jc w:val="center"/>
      </w:pPr>
      <w:r>
        <w:rPr>
          <w:b/>
          <w:sz w:val="26"/>
        </w:rPr>
        <w:t>[[CORP_NAME]]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5E7EB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FOUND-TRANS-001</w:t>
            </w:r>
          </w:p>
        </w:tc>
      </w:tr>
      <w:tr>
        <w:tc>
          <w:tcPr>
            <w:tcW w:type="dxa" w:w="5040"/>
            <w:shd w:fill="E5E7EB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0.1.0</w:t>
            </w:r>
          </w:p>
        </w:tc>
      </w:tr>
      <w:tr>
        <w:tc>
          <w:tcPr>
            <w:tcW w:type="dxa" w:w="5040"/>
            <w:shd w:fill="E5E7EB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Provisional Constitutional Draft</w:t>
            </w:r>
          </w:p>
        </w:tc>
      </w:tr>
      <w:tr>
        <w:tc>
          <w:tcPr>
            <w:tcW w:type="dxa" w:w="5040"/>
            <w:shd w:fill="E5E7EB"/>
          </w:tcPr>
          <w:p>
            <w:r>
              <w:t>Classification</w:t>
            </w:r>
          </w:p>
        </w:tc>
        <w:tc>
          <w:tcPr>
            <w:tcW w:type="dxa" w:w="5040"/>
          </w:tcPr>
          <w:p>
            <w:r>
              <w:t>Founding-Era Constitutional Transition Instrument</w:t>
            </w:r>
          </w:p>
        </w:tc>
      </w:tr>
      <w:tr>
        <w:tc>
          <w:tcPr>
            <w:tcW w:type="dxa" w:w="5040"/>
            <w:shd w:fill="E5E7EB"/>
          </w:tcPr>
          <w:p>
            <w:r>
              <w:t>Parent</w:t>
            </w:r>
          </w:p>
        </w:tc>
        <w:tc>
          <w:tcPr>
            <w:tcW w:type="dxa" w:w="5040"/>
          </w:tcPr>
          <w:p>
            <w:r>
              <w:t>ECC-CON-001 — Articles XXX–XXXI</w:t>
            </w:r>
          </w:p>
        </w:tc>
      </w:tr>
      <w:tr>
        <w:tc>
          <w:tcPr>
            <w:tcW w:type="dxa" w:w="5040"/>
            <w:shd w:fill="E5E7EB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  <w:shd w:fill="E5E7EB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Time-bounded implementation schedule for movement from founder-dependent formation through institutionalization to mature constitutional order.</w:t>
            </w:r>
          </w:p>
        </w:tc>
      </w:tr>
    </w:tbl>
    <w:p>
      <w:pPr>
        <w:pStyle w:val="SmallNote"/>
        <w:spacing w:after="60"/>
      </w:pPr>
      <w:r>
        <w:t>Drafting notice: This instrument is a governance and ecclesiastical working draft. Bracketed fields require verified facts before adoption. It does not replace advice from qualified Tennessee counsel, tax counsel, safeguarding professionals, or other specialists where applicable.</w:t>
      </w:r>
    </w:p>
    <w:p>
      <w:pPr>
        <w:spacing w:after="60"/>
      </w:pPr>
      <w:r>
        <w:br w:type="page"/>
      </w:r>
    </w:p>
    <w:p>
      <w:pPr>
        <w:pStyle w:val="Heading1"/>
        <w:spacing w:after="60"/>
      </w:pPr>
      <w:r>
        <w:t>Preamble</w:t>
      </w:r>
    </w:p>
    <w:p>
      <w:pPr>
        <w:spacing w:after="60"/>
      </w:pPr>
      <w:r>
        <w:t>The founding period exists to create institutions that can eventually function without special founder power. It is therefore successful only if it makes itself unnecessary.</w:t>
      </w:r>
    </w:p>
    <w:p>
      <w:pPr>
        <w:pStyle w:val="Heading1"/>
        <w:spacing w:after="60"/>
      </w:pPr>
      <w:r>
        <w:t>Article I — Duration</w:t>
      </w:r>
    </w:p>
    <w:p>
      <w:pPr>
        <w:spacing w:after="60"/>
      </w:pPr>
      <w:r>
        <w:t>The Founding Period begins on [[CONSTITUTION_ADOPTION_DATE]]. Unless ended earlier, it expires seven years later. A single extension of not more than three years may occur only through the process stated in ECC-CON-001. No special Founding Period power may continue beyond ten years after initial adoption.</w:t>
      </w:r>
    </w:p>
    <w:p>
      <w:pPr>
        <w:pStyle w:val="Heading1"/>
        <w:spacing w:after="60"/>
      </w:pPr>
      <w:r>
        <w:t>Article II — Founder Powers and Limits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Permitted During Founding Period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Express Limits</w:t>
            </w:r>
          </w:p>
        </w:tc>
      </w:tr>
      <w:tr>
        <w:tc>
          <w:tcPr>
            <w:tcW w:type="dxa" w:w="5040"/>
          </w:tcPr>
          <w:p>
            <w:r>
              <w:t>propose Foundational Principles and Formal Doctrine</w:t>
            </w:r>
          </w:p>
        </w:tc>
        <w:tc>
          <w:tcPr>
            <w:tcW w:type="dxa" w:w="5040"/>
          </w:tcPr>
          <w:p>
            <w:r>
              <w:t>does not unilaterally enact them where concurrence is required</w:t>
            </w:r>
          </w:p>
        </w:tc>
      </w:tr>
      <w:tr>
        <w:tc>
          <w:tcPr>
            <w:tcW w:type="dxa" w:w="5040"/>
          </w:tcPr>
          <w:p>
            <w:r>
              <w:t>nominate initial ecclesiastical leaders</w:t>
            </w:r>
          </w:p>
        </w:tc>
        <w:tc>
          <w:tcPr>
            <w:tcW w:type="dxa" w:w="5040"/>
          </w:tcPr>
          <w:p>
            <w:r>
              <w:t>no hereditary or perpetual appointment power</w:t>
            </w:r>
          </w:p>
        </w:tc>
      </w:tr>
      <w:tr>
        <w:tc>
          <w:tcPr>
            <w:tcW w:type="dxa" w:w="5040"/>
          </w:tcPr>
          <w:p>
            <w:r>
              <w:t>convene initial bodies</w:t>
            </w:r>
          </w:p>
        </w:tc>
        <w:tc>
          <w:tcPr>
            <w:tcW w:type="dxa" w:w="5040"/>
          </w:tcPr>
          <w:p>
            <w:r>
              <w:t>temporary convenience creates no permanent supremacy</w:t>
            </w:r>
          </w:p>
        </w:tc>
      </w:tr>
      <w:tr>
        <w:tc>
          <w:tcPr>
            <w:tcW w:type="dxa" w:w="5040"/>
          </w:tcPr>
          <w:p>
            <w:r>
              <w:t>serve as inaugural PSL if validly designated</w:t>
            </w:r>
          </w:p>
        </w:tc>
        <w:tc>
          <w:tcPr>
            <w:tcW w:type="dxa" w:w="5040"/>
          </w:tcPr>
          <w:p>
            <w:r>
              <w:t>subject to discipline, safeguarding, review, and removal</w:t>
            </w:r>
          </w:p>
        </w:tc>
      </w:tr>
      <w:tr>
        <w:tc>
          <w:tcPr>
            <w:tcW w:type="dxa" w:w="5040"/>
          </w:tcPr>
          <w:p>
            <w:r>
              <w:t>propose institutional structures</w:t>
            </w:r>
          </w:p>
        </w:tc>
        <w:tc>
          <w:tcPr>
            <w:tcW w:type="dxa" w:w="5040"/>
          </w:tcPr>
          <w:p>
            <w:r>
              <w:t>cannot bypass constitutional amendment rules</w:t>
            </w:r>
          </w:p>
        </w:tc>
      </w:tr>
      <w:tr>
        <w:tc>
          <w:tcPr>
            <w:tcW w:type="dxa" w:w="5040"/>
          </w:tcPr>
          <w:p>
            <w:r>
              <w:t>lodge Foundational Objection during first five years</w:t>
            </w:r>
          </w:p>
        </w:tc>
        <w:tc>
          <w:tcPr>
            <w:tcW w:type="dxa" w:w="5040"/>
          </w:tcPr>
          <w:p>
            <w:r>
              <w:t>temporary suspension/reconsideration, not permanent veto</w:t>
            </w:r>
          </w:p>
        </w:tc>
      </w:tr>
    </w:tbl>
    <w:p>
      <w:pPr>
        <w:pStyle w:val="Heading1"/>
        <w:spacing w:after="60"/>
      </w:pPr>
      <w:r>
        <w:t>Article III — Stage I: 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Objective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Completion Evidence</w:t>
            </w:r>
          </w:p>
        </w:tc>
      </w:tr>
      <w:tr>
        <w:tc>
          <w:tcPr>
            <w:tcW w:type="dxa" w:w="5040"/>
          </w:tcPr>
          <w:p>
            <w:r>
              <w:t>Civil entity and Board constituted</w:t>
            </w:r>
          </w:p>
        </w:tc>
        <w:tc>
          <w:tcPr>
            <w:tcW w:type="dxa" w:w="5040"/>
          </w:tcPr>
          <w:p>
            <w:r>
              <w:t>charter, bylaws, roster, minutes</w:t>
            </w:r>
          </w:p>
        </w:tc>
      </w:tr>
      <w:tr>
        <w:tc>
          <w:tcPr>
            <w:tcW w:type="dxa" w:w="5040"/>
          </w:tcPr>
          <w:p>
            <w:r>
              <w:t>Initial EC constituted</w:t>
            </w:r>
          </w:p>
        </w:tc>
        <w:tc>
          <w:tcPr>
            <w:tcW w:type="dxa" w:w="5040"/>
          </w:tcPr>
          <w:p>
            <w:r>
              <w:t>appointments, oath/affirmation, roster</w:t>
            </w:r>
          </w:p>
        </w:tc>
      </w:tr>
      <w:tr>
        <w:tc>
          <w:tcPr>
            <w:tcW w:type="dxa" w:w="5040"/>
          </w:tcPr>
          <w:p>
            <w:r>
              <w:t>Basic belief/doctrine/worship corpus</w:t>
            </w:r>
          </w:p>
        </w:tc>
        <w:tc>
          <w:tcPr>
            <w:tcW w:type="dxa" w:w="5040"/>
          </w:tcPr>
          <w:p>
            <w:r>
              <w:t>CH-007–CH-011 adopted as appropriate</w:t>
            </w:r>
          </w:p>
        </w:tc>
      </w:tr>
      <w:tr>
        <w:tc>
          <w:tcPr>
            <w:tcW w:type="dxa" w:w="5040"/>
          </w:tcPr>
          <w:p>
            <w:r>
              <w:t>Membership system</w:t>
            </w:r>
          </w:p>
        </w:tc>
        <w:tc>
          <w:tcPr>
            <w:tcW w:type="dxa" w:w="5040"/>
          </w:tcPr>
          <w:p>
            <w:r>
              <w:t>MEM-001 / CH-013–015</w:t>
            </w:r>
          </w:p>
        </w:tc>
      </w:tr>
      <w:tr>
        <w:tc>
          <w:tcPr>
            <w:tcW w:type="dxa" w:w="5040"/>
          </w:tcPr>
          <w:p>
            <w:r>
              <w:t>Safeguarding baseline</w:t>
            </w:r>
          </w:p>
        </w:tc>
        <w:tc>
          <w:tcPr>
            <w:tcW w:type="dxa" w:w="5040"/>
          </w:tcPr>
          <w:p>
            <w:r>
              <w:t>SAFE-001 adopted before youth/vulnerable ministries</w:t>
            </w:r>
          </w:p>
        </w:tc>
      </w:tr>
      <w:tr>
        <w:tc>
          <w:tcPr>
            <w:tcW w:type="dxa" w:w="5040"/>
          </w:tcPr>
          <w:p>
            <w:r>
              <w:t>Financial controls</w:t>
            </w:r>
          </w:p>
        </w:tc>
        <w:tc>
          <w:tcPr>
            <w:tcW w:type="dxa" w:w="5040"/>
          </w:tcPr>
          <w:p>
            <w:r>
              <w:t>CH-038–048 operational</w:t>
            </w:r>
          </w:p>
        </w:tc>
      </w:tr>
      <w:tr>
        <w:tc>
          <w:tcPr>
            <w:tcW w:type="dxa" w:w="5040"/>
          </w:tcPr>
          <w:p>
            <w:r>
              <w:t>Leadership pipeline</w:t>
            </w:r>
          </w:p>
        </w:tc>
        <w:tc>
          <w:tcPr>
            <w:tcW w:type="dxa" w:w="5040"/>
          </w:tcPr>
          <w:p>
            <w:r>
              <w:t>MIN-001 / CH-024–033</w:t>
            </w:r>
          </w:p>
        </w:tc>
      </w:tr>
      <w:tr>
        <w:tc>
          <w:tcPr>
            <w:tcW w:type="dxa" w:w="5040"/>
          </w:tcPr>
          <w:p>
            <w:r>
              <w:t>Regular congregation</w:t>
            </w:r>
          </w:p>
        </w:tc>
        <w:tc>
          <w:tcPr>
            <w:tcW w:type="dxa" w:w="5040"/>
          </w:tcPr>
          <w:p>
            <w:r>
              <w:t>actual worship and membership records</w:t>
            </w:r>
          </w:p>
        </w:tc>
      </w:tr>
    </w:tbl>
    <w:p>
      <w:pPr>
        <w:pStyle w:val="Heading1"/>
        <w:spacing w:after="60"/>
      </w:pPr>
      <w:r>
        <w:t>Article IV — Stage II: Institutionalization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Objective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Trigger/Measure</w:t>
            </w:r>
          </w:p>
        </w:tc>
      </w:tr>
      <w:tr>
        <w:tc>
          <w:tcPr>
            <w:tcW w:type="dxa" w:w="5040"/>
          </w:tcPr>
          <w:p>
            <w:r>
              <w:t>CCG constituted</w:t>
            </w:r>
          </w:p>
        </w:tc>
        <w:tc>
          <w:tcPr>
            <w:tcW w:type="dxa" w:w="5040"/>
          </w:tcPr>
          <w:p>
            <w:r>
              <w:t>qualified independent persons available</w:t>
            </w:r>
          </w:p>
        </w:tc>
      </w:tr>
      <w:tr>
        <w:tc>
          <w:tcPr>
            <w:tcW w:type="dxa" w:w="5040"/>
          </w:tcPr>
          <w:p>
            <w:r>
              <w:t>EAC constituted</w:t>
            </w:r>
          </w:p>
        </w:tc>
        <w:tc>
          <w:tcPr>
            <w:tcW w:type="dxa" w:w="5040"/>
          </w:tcPr>
          <w:p>
            <w:r>
              <w:t>before substantial senior hierarchy or serious institutional scale</w:t>
            </w:r>
          </w:p>
        </w:tc>
      </w:tr>
      <w:tr>
        <w:tc>
          <w:tcPr>
            <w:tcW w:type="dxa" w:w="5040"/>
          </w:tcPr>
          <w:p>
            <w:r>
              <w:t>Staggered terms</w:t>
            </w:r>
          </w:p>
        </w:tc>
        <w:tc>
          <w:tcPr>
            <w:tcW w:type="dxa" w:w="5040"/>
          </w:tcPr>
          <w:p>
            <w:r>
              <w:t>implemented for permanent councils</w:t>
            </w:r>
          </w:p>
        </w:tc>
      </w:tr>
      <w:tr>
        <w:tc>
          <w:tcPr>
            <w:tcW w:type="dxa" w:w="5040"/>
          </w:tcPr>
          <w:p>
            <w:r>
              <w:t>Independent nominations</w:t>
            </w:r>
          </w:p>
        </w:tc>
        <w:tc>
          <w:tcPr>
            <w:tcW w:type="dxa" w:w="5040"/>
          </w:tcPr>
          <w:p>
            <w:r>
              <w:t>selection no longer depends on Founder alone</w:t>
            </w:r>
          </w:p>
        </w:tc>
      </w:tr>
      <w:tr>
        <w:tc>
          <w:tcPr>
            <w:tcW w:type="dxa" w:w="5040"/>
          </w:tcPr>
          <w:p>
            <w:r>
              <w:t>Office separation</w:t>
            </w:r>
          </w:p>
        </w:tc>
        <w:tc>
          <w:tcPr>
            <w:tcW w:type="dxa" w:w="5040"/>
          </w:tcPr>
          <w:p>
            <w:r>
              <w:t>incompatible roles separated</w:t>
            </w:r>
          </w:p>
        </w:tc>
      </w:tr>
      <w:tr>
        <w:tc>
          <w:tcPr>
            <w:tcW w:type="dxa" w:w="5040"/>
          </w:tcPr>
          <w:p>
            <w:r>
              <w:t>Succession system</w:t>
            </w:r>
          </w:p>
        </w:tc>
        <w:tc>
          <w:tcPr>
            <w:tcW w:type="dxa" w:w="5040"/>
          </w:tcPr>
          <w:p>
            <w:r>
              <w:t>SUCC-001 operational</w:t>
            </w:r>
          </w:p>
        </w:tc>
      </w:tr>
      <w:tr>
        <w:tc>
          <w:tcPr>
            <w:tcW w:type="dxa" w:w="5040"/>
          </w:tcPr>
          <w:p>
            <w:r>
              <w:t>Decision/records systems</w:t>
            </w:r>
          </w:p>
        </w:tc>
        <w:tc>
          <w:tcPr>
            <w:tcW w:type="dxa" w:w="5040"/>
          </w:tcPr>
          <w:p>
            <w:r>
              <w:t>GOV-PROC-001 and CH-048 operational</w:t>
            </w:r>
          </w:p>
        </w:tc>
      </w:tr>
      <w:tr>
        <w:tc>
          <w:tcPr>
            <w:tcW w:type="dxa" w:w="5040"/>
          </w:tcPr>
          <w:p>
            <w:r>
              <w:t>Local framework</w:t>
            </w:r>
          </w:p>
        </w:tc>
        <w:tc>
          <w:tcPr>
            <w:tcW w:type="dxa" w:w="5040"/>
          </w:tcPr>
          <w:p>
            <w:r>
              <w:t>activate only when multiple communities warrant it</w:t>
            </w:r>
          </w:p>
        </w:tc>
      </w:tr>
    </w:tbl>
    <w:p>
      <w:pPr>
        <w:pStyle w:val="Heading1"/>
        <w:spacing w:after="60"/>
      </w:pPr>
      <w:r>
        <w:t>Article V — Stage III: Mature Constitutional Order</w:t>
      </w:r>
    </w:p>
    <w:p>
      <w:pPr>
        <w:pStyle w:val="ListNumber"/>
        <w:spacing w:after="60"/>
      </w:pPr>
      <w:r>
        <w:t>Every permanent constitutional body is functional.</w:t>
      </w:r>
    </w:p>
    <w:p>
      <w:pPr>
        <w:pStyle w:val="ListNumber"/>
        <w:spacing w:after="60"/>
      </w:pPr>
      <w:r>
        <w:t>Succession no longer depends upon Founder discretion.</w:t>
      </w:r>
    </w:p>
    <w:p>
      <w:pPr>
        <w:pStyle w:val="ListNumber"/>
        <w:spacing w:after="60"/>
      </w:pPr>
      <w:r>
        <w:t>Financial controls operate independently.</w:t>
      </w:r>
    </w:p>
    <w:p>
      <w:pPr>
        <w:pStyle w:val="ListNumber"/>
        <w:spacing w:after="60"/>
      </w:pPr>
      <w:r>
        <w:t>Senior leaders can be investigated independently.</w:t>
      </w:r>
    </w:p>
    <w:p>
      <w:pPr>
        <w:pStyle w:val="ListNumber"/>
        <w:spacing w:after="60"/>
      </w:pPr>
      <w:r>
        <w:t>Constitutional review is functional.</w:t>
      </w:r>
    </w:p>
    <w:p>
      <w:pPr>
        <w:pStyle w:val="ListNumber"/>
        <w:spacing w:after="60"/>
      </w:pPr>
      <w:r>
        <w:t>Membership participation mechanisms operate.</w:t>
      </w:r>
    </w:p>
    <w:p>
      <w:pPr>
        <w:pStyle w:val="ListNumber"/>
        <w:spacing w:after="60"/>
      </w:pPr>
      <w:r>
        <w:t>Governing records are maintained.</w:t>
      </w:r>
    </w:p>
    <w:p>
      <w:pPr>
        <w:pStyle w:val="ListNumber"/>
        <w:spacing w:after="60"/>
      </w:pPr>
      <w:r>
        <w:t>Future leadership can be selected without the Founder.</w:t>
      </w:r>
    </w:p>
    <w:p>
      <w:pPr>
        <w:pStyle w:val="Heading1"/>
        <w:spacing w:after="60"/>
      </w:pPr>
      <w:r>
        <w:t>Article VI — Annual Transition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Review Question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Status</w:t>
            </w:r>
          </w:p>
        </w:tc>
      </w:tr>
      <w:tr>
        <w:tc>
          <w:tcPr>
            <w:tcW w:type="dxa" w:w="5040"/>
          </w:tcPr>
          <w:p>
            <w:r>
              <w:t>Which permanent bodies are not yet functional?</w:t>
            </w:r>
          </w:p>
        </w:tc>
        <w:tc>
          <w:tcPr>
            <w:tcW w:type="dxa" w:w="5040"/>
          </w:tcPr>
          <w:p>
            <w:r>
              <w:t>[[STATUS]]</w:t>
            </w:r>
          </w:p>
        </w:tc>
      </w:tr>
      <w:tr>
        <w:tc>
          <w:tcPr>
            <w:tcW w:type="dxa" w:w="5040"/>
          </w:tcPr>
          <w:p>
            <w:r>
              <w:t>Which powers still depend materially on Founder action?</w:t>
            </w:r>
          </w:p>
        </w:tc>
        <w:tc>
          <w:tcPr>
            <w:tcW w:type="dxa" w:w="5040"/>
          </w:tcPr>
          <w:p>
            <w:r>
              <w:t>[[STATUS]]</w:t>
            </w:r>
          </w:p>
        </w:tc>
      </w:tr>
      <w:tr>
        <w:tc>
          <w:tcPr>
            <w:tcW w:type="dxa" w:w="5040"/>
          </w:tcPr>
          <w:p>
            <w:r>
              <w:t>Are incompatible offices still overlapping?</w:t>
            </w:r>
          </w:p>
        </w:tc>
        <w:tc>
          <w:tcPr>
            <w:tcW w:type="dxa" w:w="5040"/>
          </w:tcPr>
          <w:p>
            <w:r>
              <w:t>[[STATUS]]</w:t>
            </w:r>
          </w:p>
        </w:tc>
      </w:tr>
      <w:tr>
        <w:tc>
          <w:tcPr>
            <w:tcW w:type="dxa" w:w="5040"/>
          </w:tcPr>
          <w:p>
            <w:r>
              <w:t>Can senior leaders be investigated independently?</w:t>
            </w:r>
          </w:p>
        </w:tc>
        <w:tc>
          <w:tcPr>
            <w:tcW w:type="dxa" w:w="5040"/>
          </w:tcPr>
          <w:p>
            <w:r>
              <w:t>[[STATUS]]</w:t>
            </w:r>
          </w:p>
        </w:tc>
      </w:tr>
      <w:tr>
        <w:tc>
          <w:tcPr>
            <w:tcW w:type="dxa" w:w="5040"/>
          </w:tcPr>
          <w:p>
            <w:r>
              <w:t>Can leadership succession occur without Founder appointment?</w:t>
            </w:r>
          </w:p>
        </w:tc>
        <w:tc>
          <w:tcPr>
            <w:tcW w:type="dxa" w:w="5040"/>
          </w:tcPr>
          <w:p>
            <w:r>
              <w:t>[[STATUS]]</w:t>
            </w:r>
          </w:p>
        </w:tc>
      </w:tr>
      <w:tr>
        <w:tc>
          <w:tcPr>
            <w:tcW w:type="dxa" w:w="5040"/>
          </w:tcPr>
          <w:p>
            <w:r>
              <w:t>Are financial controls independent and documented?</w:t>
            </w:r>
          </w:p>
        </w:tc>
        <w:tc>
          <w:tcPr>
            <w:tcW w:type="dxa" w:w="5040"/>
          </w:tcPr>
          <w:p>
            <w:r>
              <w:t>[[STATUS]]</w:t>
            </w:r>
          </w:p>
        </w:tc>
      </w:tr>
      <w:tr>
        <w:tc>
          <w:tcPr>
            <w:tcW w:type="dxa" w:w="5040"/>
          </w:tcPr>
          <w:p>
            <w:r>
              <w:t>Are membership/congregational systems operating?</w:t>
            </w:r>
          </w:p>
        </w:tc>
        <w:tc>
          <w:tcPr>
            <w:tcW w:type="dxa" w:w="5040"/>
          </w:tcPr>
          <w:p>
            <w:r>
              <w:t>[[STATUS]]</w:t>
            </w:r>
          </w:p>
        </w:tc>
      </w:tr>
    </w:tbl>
    <w:p>
      <w:pPr>
        <w:pStyle w:val="Heading1"/>
        <w:spacing w:after="60"/>
      </w:pPr>
      <w:r>
        <w:t>Article VII — Founder Objection Process</w:t>
      </w:r>
    </w:p>
    <w:p>
      <w:pPr>
        <w:pStyle w:val="ListNumber"/>
        <w:spacing w:after="60"/>
      </w:pPr>
      <w:r>
        <w:t>Founder submits written objection identifying the Class D/E action and claimed conflict with founding purpose.</w:t>
      </w:r>
    </w:p>
    <w:p>
      <w:pPr>
        <w:pStyle w:val="ListNumber"/>
        <w:spacing w:after="60"/>
      </w:pPr>
      <w:r>
        <w:t>Implementation pauses for no more than ninety days.</w:t>
      </w:r>
    </w:p>
    <w:p>
      <w:pPr>
        <w:pStyle w:val="ListNumber"/>
        <w:spacing w:after="60"/>
      </w:pPr>
      <w:r>
        <w:t>EC reconsiders the action.</w:t>
      </w:r>
    </w:p>
    <w:p>
      <w:pPr>
        <w:pStyle w:val="ListNumber"/>
        <w:spacing w:after="60"/>
      </w:pPr>
      <w:r>
        <w:t>CCG reviews constitutional implications.</w:t>
      </w:r>
    </w:p>
    <w:p>
      <w:pPr>
        <w:pStyle w:val="ListNumber"/>
        <w:spacing w:after="60"/>
      </w:pPr>
      <w:r>
        <w:t>Required bodies act again under ordinary thresholds.</w:t>
      </w:r>
    </w:p>
    <w:p>
      <w:pPr>
        <w:pStyle w:val="ListNumber"/>
        <w:spacing w:after="60"/>
      </w:pPr>
      <w:r>
        <w:t>If validly reapproved, the action may proceed.</w:t>
      </w:r>
    </w:p>
    <w:p>
      <w:pPr>
        <w:pStyle w:val="Heading1"/>
        <w:spacing w:after="60"/>
      </w:pPr>
      <w:r>
        <w:t>Article VIII — Early Termination of Founding Period</w:t>
      </w:r>
    </w:p>
    <w:p>
      <w:pPr>
        <w:spacing w:after="60"/>
      </w:pPr>
      <w:r>
        <w:t>The Founding Period may end early when the mature constitutional order is demonstrably operational and the competent bodies certify that special founder powers are no longer necessary.</w:t>
      </w:r>
    </w:p>
    <w:p>
      <w:pPr>
        <w:pStyle w:val="Heading1"/>
        <w:spacing w:after="60"/>
      </w:pPr>
      <w:r>
        <w:t>Article IX — Transition of Founder-Held Assets and Accounts</w:t>
      </w:r>
    </w:p>
    <w:p>
      <w:pPr>
        <w:spacing w:after="60"/>
      </w:pPr>
      <w:r>
        <w:t>Before mature transition, every material asset, account, domain, intellectual-property interest, contract, loan, reimbursement claim, or item held personally but used institutionally shall be classified as donated, licensed, reimbursable, retained personally, transferred, or otherwise documented.</w:t>
      </w:r>
    </w:p>
    <w:p>
      <w:pPr>
        <w:pStyle w:val="Heading1"/>
        <w:spacing w:after="60"/>
      </w:pPr>
      <w:r>
        <w:t>Article X — No Informal Extension</w:t>
      </w:r>
    </w:p>
    <w:p>
      <w:pPr>
        <w:spacing w:after="60"/>
      </w:pPr>
      <w:r>
        <w:t>Expired founder authority shall not continue through custom, personal loyalty, control of passwords, control of nominations, donor dependence, family influence, or undocumented “understandings.”</w:t>
      </w:r>
    </w:p>
    <w:p>
      <w:pPr>
        <w:pStyle w:val="Heading1"/>
        <w:spacing w:after="60"/>
      </w:pPr>
      <w:r>
        <w:t>Article XI — Transition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Entry</w:t>
            </w:r>
          </w:p>
        </w:tc>
      </w:tr>
      <w:tr>
        <w:tc>
          <w:tcPr>
            <w:tcW w:type="dxa" w:w="5040"/>
          </w:tcPr>
          <w:p>
            <w:r>
              <w:t>Founding Period Start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Ordinary Expiration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Extension, if any</w:t>
            </w:r>
          </w:p>
        </w:tc>
        <w:tc>
          <w:tcPr>
            <w:tcW w:type="dxa" w:w="5040"/>
          </w:tcPr>
          <w:p>
            <w:r>
              <w:t>[[NONE / DETAILS]]</w:t>
            </w:r>
          </w:p>
        </w:tc>
      </w:tr>
      <w:tr>
        <w:tc>
          <w:tcPr>
            <w:tcW w:type="dxa" w:w="5040"/>
          </w:tcPr>
          <w:p>
            <w:r>
              <w:t>Stage I Complete</w:t>
            </w:r>
          </w:p>
        </w:tc>
        <w:tc>
          <w:tcPr>
            <w:tcW w:type="dxa" w:w="5040"/>
          </w:tcPr>
          <w:p>
            <w:r>
              <w:t>[[DATE / NO]]</w:t>
            </w:r>
          </w:p>
        </w:tc>
      </w:tr>
      <w:tr>
        <w:tc>
          <w:tcPr>
            <w:tcW w:type="dxa" w:w="5040"/>
          </w:tcPr>
          <w:p>
            <w:r>
              <w:t>Stage II Complete</w:t>
            </w:r>
          </w:p>
        </w:tc>
        <w:tc>
          <w:tcPr>
            <w:tcW w:type="dxa" w:w="5040"/>
          </w:tcPr>
          <w:p>
            <w:r>
              <w:t>[[DATE / NO]]</w:t>
            </w:r>
          </w:p>
        </w:tc>
      </w:tr>
      <w:tr>
        <w:tc>
          <w:tcPr>
            <w:tcW w:type="dxa" w:w="5040"/>
          </w:tcPr>
          <w:p>
            <w:r>
              <w:t>Mature Order Certified</w:t>
            </w:r>
          </w:p>
        </w:tc>
        <w:tc>
          <w:tcPr>
            <w:tcW w:type="dxa" w:w="5040"/>
          </w:tcPr>
          <w:p>
            <w:r>
              <w:t>[[DATE / NO]]</w:t>
            </w:r>
          </w:p>
        </w:tc>
      </w:tr>
      <w:tr>
        <w:tc>
          <w:tcPr>
            <w:tcW w:type="dxa" w:w="5040"/>
          </w:tcPr>
          <w:p>
            <w:r>
              <w:t>Founder Special Powers Ended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</w:tbl>
    <w:p>
      <w:pPr>
        <w:pStyle w:val="Heading1"/>
        <w:spacing w:after="60"/>
      </w:pPr>
      <w:r>
        <w:t>Adoption and Certification</w:t>
      </w:r>
    </w:p>
    <w:p>
      <w:pPr>
        <w:spacing w:after="60"/>
      </w:pPr>
      <w:r>
        <w:t>This instrument becomes effective only upon valid adoption by the competent authority under the governing corpus. A draft, training copy, or operational template does not acquire binding force merely because it exists.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Field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Entry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[[CORP_NAME]]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0.1.0</w:t>
            </w:r>
          </w:p>
        </w:tc>
      </w:tr>
      <w:tr>
        <w:tc>
          <w:tcPr>
            <w:tcW w:type="dxa" w:w="5040"/>
          </w:tcPr>
          <w:p>
            <w:r>
              <w:t>Date of Adoption</w:t>
            </w:r>
          </w:p>
        </w:tc>
        <w:tc>
          <w:tcPr>
            <w:tcW w:type="dxa" w:w="5040"/>
          </w:tcPr>
          <w:p>
            <w:r>
              <w:t>[[DATE]]</w:t>
            </w:r>
          </w:p>
        </w:tc>
      </w:tr>
      <w:tr>
        <w:tc>
          <w:tcPr>
            <w:tcW w:type="dxa" w:w="5040"/>
          </w:tcPr>
          <w:p>
            <w:r>
              <w:t>Adopting Authority</w:t>
            </w:r>
          </w:p>
        </w:tc>
        <w:tc>
          <w:tcPr>
            <w:tcW w:type="dxa" w:w="5040"/>
          </w:tcPr>
          <w:p>
            <w:r>
              <w:t>[[ADOPTING_AUTHORITY]]</w:t>
            </w:r>
          </w:p>
        </w:tc>
      </w:tr>
      <w:tr>
        <w:tc>
          <w:tcPr>
            <w:tcW w:type="dxa" w:w="5040"/>
          </w:tcPr>
          <w:p>
            <w:r>
              <w:t>Ecclesiastical Approval</w:t>
            </w:r>
          </w:p>
        </w:tc>
        <w:tc>
          <w:tcPr>
            <w:tcW w:type="dxa" w:w="5040"/>
          </w:tcPr>
          <w:p>
            <w:r>
              <w:t>[[ECCLESIASTICAL_APPROVAL_RECORD]]</w:t>
            </w:r>
          </w:p>
        </w:tc>
      </w:tr>
      <w:tr>
        <w:tc>
          <w:tcPr>
            <w:tcW w:type="dxa" w:w="5040"/>
          </w:tcPr>
          <w:p>
            <w:r>
              <w:t>Civil Board Action, if required</w:t>
            </w:r>
          </w:p>
        </w:tc>
        <w:tc>
          <w:tcPr>
            <w:tcW w:type="dxa" w:w="5040"/>
          </w:tcPr>
          <w:p>
            <w:r>
              <w:t>[[BOARD_ACTION / N/A]]</w:t>
            </w:r>
          </w:p>
        </w:tc>
      </w:tr>
    </w:tbl>
    <w:p>
      <w:pPr>
        <w:spacing w:after="60"/>
      </w:pPr>
      <w:r>
        <w:t>Certification</w:t>
      </w:r>
    </w:p>
    <w:p>
      <w:pPr>
        <w:spacing w:after="60"/>
      </w:pPr>
      <w:r>
        <w:t>I certify that the foregoing instrument was duly adopted or approved as stated above and remains in force except as subsequently amended through valid process.</w:t>
      </w:r>
    </w:p>
    <w:p>
      <w:pPr>
        <w:spacing w:after="60"/>
      </w:pPr>
      <w:r>
        <w:t>________________________________________</w:t>
      </w:r>
    </w:p>
    <w:p>
      <w:pPr>
        <w:spacing w:after="60"/>
      </w:pPr>
      <w:r>
        <w:t>[[NAME / OFFICE]]</w:t>
      </w:r>
    </w:p>
    <w:p>
      <w:pPr>
        <w:spacing w:after="60"/>
      </w:pPr>
      <w:r>
        <w:t>[[DATE]]</w:t>
      </w:r>
    </w:p>
    <w:sectPr w:rsidR="00FC693F" w:rsidRPr="0006063C" w:rsidSect="00034616">
      <w:footerReference w:type="default" r:id="rId9"/>
      <w:pgSz w:w="12240" w:h="15840"/>
      <w:pgMar w:top="835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FOUND-TRANS-001 | [[CORP_NAME]]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