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sz w:val="44"/>
        </w:rPr>
        <w:t>Local Community Constitutional Framework</w:t>
      </w:r>
    </w:p>
    <w:p>
      <w:pPr>
        <w:spacing w:after="60"/>
        <w:jc w:val="center"/>
      </w:pPr>
      <w:r>
        <w:rPr>
          <w:b/>
          <w:sz w:val="26"/>
        </w:rPr>
        <w:t>[[CORP_NAME]]</w:t>
      </w:r>
    </w:p>
    <w:tbl>
      <w:tblPr>
        <w:tblStyle w:val="TableGrid"/>
        <w:tblW w:type="auto" w:w="0"/>
        <w:jc w:val="center"/>
        <w:tblLook w:firstColumn="1" w:firstRow="1" w:lastColumn="0" w:lastRow="0" w:noHBand="0" w:noVBand="1" w:val="04A0"/>
      </w:tblPr>
      <w:tblGrid>
        <w:gridCol w:w="5040"/>
        <w:gridCol w:w="5040"/>
      </w:tblGrid>
      <w:tr>
        <w:tc>
          <w:tcPr>
            <w:tcW w:type="dxa" w:w="5040"/>
            <w:shd w:fill="E5E7EB"/>
          </w:tcPr>
          <w:p>
            <w:r>
              <w:t>Document ID</w:t>
            </w:r>
          </w:p>
        </w:tc>
        <w:tc>
          <w:tcPr>
            <w:tcW w:type="dxa" w:w="5040"/>
          </w:tcPr>
          <w:p>
            <w:r>
              <w:t>LOCAL-001</w:t>
            </w:r>
          </w:p>
        </w:tc>
      </w:tr>
      <w:tr>
        <w:tc>
          <w:tcPr>
            <w:tcW w:type="dxa" w:w="5040"/>
            <w:shd w:fill="E5E7EB"/>
          </w:tcPr>
          <w:p>
            <w:r>
              <w:t>Version</w:t>
            </w:r>
          </w:p>
        </w:tc>
        <w:tc>
          <w:tcPr>
            <w:tcW w:type="dxa" w:w="5040"/>
          </w:tcPr>
          <w:p>
            <w:r>
              <w:t>0.1.0</w:t>
            </w:r>
          </w:p>
        </w:tc>
      </w:tr>
      <w:tr>
        <w:tc>
          <w:tcPr>
            <w:tcW w:type="dxa" w:w="5040"/>
            <w:shd w:fill="E5E7EB"/>
          </w:tcPr>
          <w:p>
            <w:r>
              <w:t>Status</w:t>
            </w:r>
          </w:p>
        </w:tc>
        <w:tc>
          <w:tcPr>
            <w:tcW w:type="dxa" w:w="5040"/>
          </w:tcPr>
          <w:p>
            <w:r>
              <w:t>Provisional Constitutional Draft</w:t>
            </w:r>
          </w:p>
        </w:tc>
      </w:tr>
      <w:tr>
        <w:tc>
          <w:tcPr>
            <w:tcW w:type="dxa" w:w="5040"/>
            <w:shd w:fill="E5E7EB"/>
          </w:tcPr>
          <w:p>
            <w:r>
              <w:t>Classification</w:t>
            </w:r>
          </w:p>
        </w:tc>
        <w:tc>
          <w:tcPr>
            <w:tcW w:type="dxa" w:w="5040"/>
          </w:tcPr>
          <w:p>
            <w:r>
              <w:t>Local Congregation / Community Constitutional Framework</w:t>
            </w:r>
          </w:p>
        </w:tc>
      </w:tr>
      <w:tr>
        <w:tc>
          <w:tcPr>
            <w:tcW w:type="dxa" w:w="5040"/>
            <w:shd w:fill="E5E7EB"/>
          </w:tcPr>
          <w:p>
            <w:r>
              <w:t>Parent</w:t>
            </w:r>
          </w:p>
        </w:tc>
        <w:tc>
          <w:tcPr>
            <w:tcW w:type="dxa" w:w="5040"/>
          </w:tcPr>
          <w:p>
            <w:r>
              <w:t>ECC-CON-001 — Articles XXVIII–XXIX</w:t>
            </w:r>
          </w:p>
        </w:tc>
      </w:tr>
      <w:tr>
        <w:tc>
          <w:tcPr>
            <w:tcW w:type="dxa" w:w="5040"/>
            <w:shd w:fill="E5E7EB"/>
          </w:tcPr>
          <w:p>
            <w:r>
              <w:t>Organization</w:t>
            </w:r>
          </w:p>
        </w:tc>
        <w:tc>
          <w:tcPr>
            <w:tcW w:type="dxa" w:w="5040"/>
          </w:tcPr>
          <w:p>
            <w:r>
              <w:t>[[CORP_NAME]]</w:t>
            </w:r>
          </w:p>
        </w:tc>
      </w:tr>
      <w:tr>
        <w:tc>
          <w:tcPr>
            <w:tcW w:type="dxa" w:w="5040"/>
            <w:shd w:fill="E5E7EB"/>
          </w:tcPr>
          <w:p>
            <w:r>
              <w:t>Description</w:t>
            </w:r>
          </w:p>
        </w:tc>
        <w:tc>
          <w:tcPr>
            <w:tcW w:type="dxa" w:w="5040"/>
          </w:tcPr>
          <w:p>
            <w:r>
              <w:t>Framework for establishing, governing, supervising, recognizing, maturing, merging, suspending, or closing local religious communities within the broader Religious Body.</w:t>
            </w:r>
          </w:p>
        </w:tc>
      </w:tr>
    </w:tbl>
    <w:p>
      <w:pPr>
        <w:pStyle w:val="SmallNote"/>
        <w:spacing w:after="60"/>
      </w:pPr>
      <w:r>
        <w:t>Drafting notice: This instrument is a governance and ecclesiastical working draft. Bracketed fields require verified facts before adoption. It does not replace advice from qualified Tennessee counsel, tax counsel, safeguarding professionals, or other specialists where applicable.</w:t>
      </w:r>
    </w:p>
    <w:p>
      <w:pPr>
        <w:spacing w:after="60"/>
      </w:pPr>
      <w:r>
        <w:br w:type="page"/>
      </w:r>
    </w:p>
    <w:p>
      <w:pPr>
        <w:pStyle w:val="Heading1"/>
        <w:spacing w:after="60"/>
      </w:pPr>
      <w:r>
        <w:t>Preamble</w:t>
      </w:r>
    </w:p>
    <w:p>
      <w:pPr>
        <w:spacing w:after="60"/>
      </w:pPr>
      <w:r>
        <w:t>Local communities are where worship, care, teaching, membership, service, and ordinary religious life become concrete. Subsidiarity therefore requires real local authority, while common doctrine, safeguarding, ministry standards, accountability, and constitutional identity remain shared.</w:t>
      </w:r>
    </w:p>
    <w:p>
      <w:pPr>
        <w:pStyle w:val="Heading1"/>
        <w:spacing w:after="60"/>
      </w:pPr>
      <w:r>
        <w:t>Article I — Local Community Status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Status</w:t>
            </w:r>
          </w:p>
        </w:tc>
        <w:tc>
          <w:tcPr>
            <w:tcW w:type="dxa" w:w="5040"/>
            <w:shd w:fill="D9EAF7"/>
            <w:vAlign w:val="center"/>
          </w:tcPr>
          <w:p>
            <w:r>
              <w:t>Description</w:t>
            </w:r>
          </w:p>
        </w:tc>
      </w:tr>
      <w:tr>
        <w:tc>
          <w:tcPr>
            <w:tcW w:type="dxa" w:w="5040"/>
          </w:tcPr>
          <w:p>
            <w:r>
              <w:t>Mission/Study Group</w:t>
            </w:r>
          </w:p>
        </w:tc>
        <w:tc>
          <w:tcPr>
            <w:tcW w:type="dxa" w:w="5040"/>
          </w:tcPr>
          <w:p>
            <w:r>
              <w:t>pre-congregational gathering; no independent governance</w:t>
            </w:r>
          </w:p>
        </w:tc>
      </w:tr>
      <w:tr>
        <w:tc>
          <w:tcPr>
            <w:tcW w:type="dxa" w:w="5040"/>
          </w:tcPr>
          <w:p>
            <w:r>
              <w:t>Recognized Local Community</w:t>
            </w:r>
          </w:p>
        </w:tc>
        <w:tc>
          <w:tcPr>
            <w:tcW w:type="dxa" w:w="5040"/>
          </w:tcPr>
          <w:p>
            <w:r>
              <w:t>recurring community under general supervision</w:t>
            </w:r>
          </w:p>
        </w:tc>
      </w:tr>
      <w:tr>
        <w:tc>
          <w:tcPr>
            <w:tcW w:type="dxa" w:w="5040"/>
          </w:tcPr>
          <w:p>
            <w:r>
              <w:t>Mature Local Community</w:t>
            </w:r>
          </w:p>
        </w:tc>
        <w:tc>
          <w:tcPr>
            <w:tcW w:type="dxa" w:w="5040"/>
          </w:tcPr>
          <w:p>
            <w:r>
              <w:t>stable membership, leadership, records, and local council</w:t>
            </w:r>
          </w:p>
        </w:tc>
      </w:tr>
      <w:tr>
        <w:tc>
          <w:tcPr>
            <w:tcW w:type="dxa" w:w="5040"/>
          </w:tcPr>
          <w:p>
            <w:r>
              <w:t>Affiliated External Community</w:t>
            </w:r>
          </w:p>
        </w:tc>
        <w:tc>
          <w:tcPr>
            <w:tcW w:type="dxa" w:w="5040"/>
          </w:tcPr>
          <w:p>
            <w:r>
              <w:t>separate entity governed through AFF-001 rather than internal local status</w:t>
            </w:r>
          </w:p>
        </w:tc>
      </w:tr>
    </w:tbl>
    <w:p>
      <w:pPr>
        <w:pStyle w:val="Heading1"/>
        <w:spacing w:after="60"/>
      </w:pPr>
      <w:r>
        <w:t>Article II — Establishment Criteria</w:t>
      </w:r>
    </w:p>
    <w:p>
      <w:pPr>
        <w:pStyle w:val="ListBullet"/>
        <w:spacing w:after="60"/>
      </w:pPr>
      <w:r>
        <w:t>identified local leadership</w:t>
      </w:r>
    </w:p>
    <w:p>
      <w:pPr>
        <w:pStyle w:val="ListBullet"/>
        <w:spacing w:after="60"/>
      </w:pPr>
      <w:r>
        <w:t>recurring worship/formation schedule</w:t>
      </w:r>
    </w:p>
    <w:p>
      <w:pPr>
        <w:pStyle w:val="ListBullet"/>
        <w:spacing w:after="60"/>
      </w:pPr>
      <w:r>
        <w:t>defined geographic or relational community</w:t>
      </w:r>
    </w:p>
    <w:p>
      <w:pPr>
        <w:pStyle w:val="ListBullet"/>
        <w:spacing w:after="60"/>
      </w:pPr>
      <w:r>
        <w:t>safeguarding capacity</w:t>
      </w:r>
    </w:p>
    <w:p>
      <w:pPr>
        <w:pStyle w:val="ListBullet"/>
        <w:spacing w:after="60"/>
      </w:pPr>
      <w:r>
        <w:t>membership/attendance records</w:t>
      </w:r>
    </w:p>
    <w:p>
      <w:pPr>
        <w:pStyle w:val="ListBullet"/>
        <w:spacing w:after="60"/>
      </w:pPr>
      <w:r>
        <w:t>financial controls if handling funds</w:t>
      </w:r>
    </w:p>
    <w:p>
      <w:pPr>
        <w:pStyle w:val="ListBullet"/>
        <w:spacing w:after="60"/>
      </w:pPr>
      <w:r>
        <w:t>recognized ministerial supervision</w:t>
      </w:r>
    </w:p>
    <w:p>
      <w:pPr>
        <w:pStyle w:val="ListBullet"/>
        <w:spacing w:after="60"/>
      </w:pPr>
      <w:r>
        <w:t>commitment to common governing corpus</w:t>
      </w:r>
    </w:p>
    <w:p>
      <w:pPr>
        <w:pStyle w:val="Heading1"/>
        <w:spacing w:after="60"/>
      </w:pPr>
      <w:r>
        <w:t>Article III — Local Authority</w:t>
      </w:r>
    </w:p>
    <w:p>
      <w:pPr>
        <w:pStyle w:val="ListBullet"/>
        <w:spacing w:after="60"/>
      </w:pPr>
      <w:r>
        <w:t>ordinary worship scheduling</w:t>
      </w:r>
    </w:p>
    <w:p>
      <w:pPr>
        <w:pStyle w:val="ListBullet"/>
        <w:spacing w:after="60"/>
      </w:pPr>
      <w:r>
        <w:t>local ministry programming</w:t>
      </w:r>
    </w:p>
    <w:p>
      <w:pPr>
        <w:pStyle w:val="ListBullet"/>
        <w:spacing w:after="60"/>
      </w:pPr>
      <w:r>
        <w:t>local outreach and service</w:t>
      </w:r>
    </w:p>
    <w:p>
      <w:pPr>
        <w:pStyle w:val="ListBullet"/>
        <w:spacing w:after="60"/>
      </w:pPr>
      <w:r>
        <w:t>local formation and education</w:t>
      </w:r>
    </w:p>
    <w:p>
      <w:pPr>
        <w:pStyle w:val="ListBullet"/>
        <w:spacing w:after="60"/>
      </w:pPr>
      <w:r>
        <w:t>ordinary volunteer organization</w:t>
      </w:r>
    </w:p>
    <w:p>
      <w:pPr>
        <w:pStyle w:val="ListBullet"/>
        <w:spacing w:after="60"/>
      </w:pPr>
      <w:r>
        <w:t>local pastoral coordination</w:t>
      </w:r>
    </w:p>
    <w:p>
      <w:pPr>
        <w:pStyle w:val="ListBullet"/>
        <w:spacing w:after="60"/>
      </w:pPr>
      <w:r>
        <w:t>local recommendations for membership and ministry within delegated authority</w:t>
      </w:r>
    </w:p>
    <w:p>
      <w:pPr>
        <w:pStyle w:val="Heading1"/>
        <w:spacing w:after="60"/>
      </w:pPr>
      <w:r>
        <w:t>Article IV — Reserved General Authority</w:t>
      </w:r>
    </w:p>
    <w:p>
      <w:pPr>
        <w:pStyle w:val="ListBullet"/>
        <w:spacing w:after="60"/>
      </w:pPr>
      <w:r>
        <w:t>Foundational Principles and Formal Doctrine</w:t>
      </w:r>
    </w:p>
    <w:p>
      <w:pPr>
        <w:pStyle w:val="ListBullet"/>
        <w:spacing w:after="60"/>
      </w:pPr>
      <w:r>
        <w:t>general ministerial credential standards</w:t>
      </w:r>
    </w:p>
    <w:p>
      <w:pPr>
        <w:pStyle w:val="ListBullet"/>
        <w:spacing w:after="60"/>
      </w:pPr>
      <w:r>
        <w:t>constitutional interpretation</w:t>
      </w:r>
    </w:p>
    <w:p>
      <w:pPr>
        <w:pStyle w:val="ListBullet"/>
        <w:spacing w:after="60"/>
      </w:pPr>
      <w:r>
        <w:t>appeals jurisdiction</w:t>
      </w:r>
    </w:p>
    <w:p>
      <w:pPr>
        <w:pStyle w:val="ListBullet"/>
        <w:spacing w:after="60"/>
      </w:pPr>
      <w:r>
        <w:t>common safeguarding requirements</w:t>
      </w:r>
    </w:p>
    <w:p>
      <w:pPr>
        <w:pStyle w:val="ListBullet"/>
        <w:spacing w:after="60"/>
      </w:pPr>
      <w:r>
        <w:t>general membership standards</w:t>
      </w:r>
    </w:p>
    <w:p>
      <w:pPr>
        <w:pStyle w:val="ListBullet"/>
        <w:spacing w:after="60"/>
      </w:pPr>
      <w:r>
        <w:t>affiliation/disaffiliation rules</w:t>
      </w:r>
    </w:p>
    <w:p>
      <w:pPr>
        <w:pStyle w:val="ListBullet"/>
        <w:spacing w:after="60"/>
      </w:pPr>
      <w:r>
        <w:t>major sacred property rules where applicable</w:t>
      </w:r>
    </w:p>
    <w:p>
      <w:pPr>
        <w:pStyle w:val="Heading1"/>
        <w:spacing w:after="60"/>
      </w:pPr>
      <w:r>
        <w:t>Article V — Local Council</w:t>
      </w:r>
    </w:p>
    <w:p>
      <w:pPr>
        <w:spacing w:after="60"/>
      </w:pPr>
      <w:r>
        <w:t>A mature local community may establish a Local Council of [[SIZE/RANGE]] persons under a Local Charter approved by the EC. The charter shall define selection, terms, quorum, conflicts, records, local authority, and escalation.</w:t>
      </w:r>
    </w:p>
    <w:p>
      <w:pPr>
        <w:pStyle w:val="Heading1"/>
        <w:spacing w:after="60"/>
      </w:pPr>
      <w:r>
        <w:t>Article VI — Local Leader</w:t>
      </w:r>
    </w:p>
    <w:p>
      <w:pPr>
        <w:spacing w:after="60"/>
      </w:pPr>
      <w:r>
        <w:t>The principal local religious leader shall be credentialed or otherwise authorized for the role. Local leadership does not create independent doctrinal sovereignty or ownership of members, property, funds, or institutional identity.</w:t>
      </w:r>
    </w:p>
    <w:p>
      <w:pPr>
        <w:pStyle w:val="Heading1"/>
        <w:spacing w:after="60"/>
      </w:pPr>
      <w:r>
        <w:t>Article VII — Finance</w:t>
      </w:r>
    </w:p>
    <w:p>
      <w:pPr>
        <w:spacing w:after="60"/>
      </w:pPr>
      <w:r>
        <w:t>Funds may be centrally held, locally budgeted, or held by a separate local legal entity only as expressly authorized. Every model shall define ownership, restrictions, reporting, signatories, audit/review rights, and treatment on closure or disaffiliation.</w:t>
      </w:r>
    </w:p>
    <w:p>
      <w:pPr>
        <w:pStyle w:val="Heading1"/>
        <w:spacing w:after="60"/>
      </w:pPr>
      <w:r>
        <w:t>Article VIII — Property</w:t>
      </w:r>
    </w:p>
    <w:p>
      <w:pPr>
        <w:spacing w:after="60"/>
      </w:pPr>
      <w:r>
        <w:t>Property arrangements shall be written. A local community shall not assume it owns property merely because it uses, maintains, improves, or raises money for it.</w:t>
      </w:r>
    </w:p>
    <w:p>
      <w:pPr>
        <w:pStyle w:val="Heading1"/>
        <w:spacing w:after="60"/>
      </w:pPr>
      <w:r>
        <w:t>Article IX — Safeguarding and Discipline</w:t>
      </w:r>
    </w:p>
    <w:p>
      <w:pPr>
        <w:spacing w:after="60"/>
      </w:pPr>
      <w:r>
        <w:t>Local communities must comply with SAFE-001 and DISC-001. Serious allegations involving local leaders shall not be adjudicated solely by persons dependent on or subordinate to the respondent.</w:t>
      </w:r>
    </w:p>
    <w:p>
      <w:pPr>
        <w:pStyle w:val="Heading1"/>
        <w:spacing w:after="60"/>
      </w:pPr>
      <w:r>
        <w:t>Article X — Membership</w:t>
      </w:r>
    </w:p>
    <w:p>
      <w:pPr>
        <w:spacing w:after="60"/>
      </w:pPr>
      <w:r>
        <w:t>Covenant Membership remains defined by MEM-001. Local participation may be recorded separately from general ecclesiastical membership. Transfer between local communities does not ordinarily terminate general membership.</w:t>
      </w:r>
    </w:p>
    <w:p>
      <w:pPr>
        <w:pStyle w:val="Heading1"/>
        <w:spacing w:after="60"/>
      </w:pPr>
      <w:r>
        <w:t>Article XI — Reporting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Report</w:t>
            </w:r>
          </w:p>
        </w:tc>
        <w:tc>
          <w:tcPr>
            <w:tcW w:type="dxa" w:w="5040"/>
            <w:shd w:fill="D9EAF7"/>
            <w:vAlign w:val="center"/>
          </w:tcPr>
          <w:p>
            <w:r>
              <w:t>Minimum Frequency</w:t>
            </w:r>
          </w:p>
        </w:tc>
      </w:tr>
      <w:tr>
        <w:tc>
          <w:tcPr>
            <w:tcW w:type="dxa" w:w="5040"/>
          </w:tcPr>
          <w:p>
            <w:r>
              <w:t>Membership/attendance summary</w:t>
            </w:r>
          </w:p>
        </w:tc>
        <w:tc>
          <w:tcPr>
            <w:tcW w:type="dxa" w:w="5040"/>
          </w:tcPr>
          <w:p>
            <w:r>
              <w:t>Quarterly or as set by EC</w:t>
            </w:r>
          </w:p>
        </w:tc>
      </w:tr>
      <w:tr>
        <w:tc>
          <w:tcPr>
            <w:tcW w:type="dxa" w:w="5040"/>
          </w:tcPr>
          <w:p>
            <w:r>
              <w:t>Financial report if handling funds</w:t>
            </w:r>
          </w:p>
        </w:tc>
        <w:tc>
          <w:tcPr>
            <w:tcW w:type="dxa" w:w="5040"/>
          </w:tcPr>
          <w:p>
            <w:r>
              <w:t>Monthly/quarterly</w:t>
            </w:r>
          </w:p>
        </w:tc>
      </w:tr>
      <w:tr>
        <w:tc>
          <w:tcPr>
            <w:tcW w:type="dxa" w:w="5040"/>
          </w:tcPr>
          <w:p>
            <w:r>
              <w:t>Safeguarding compliance</w:t>
            </w:r>
          </w:p>
        </w:tc>
        <w:tc>
          <w:tcPr>
            <w:tcW w:type="dxa" w:w="5040"/>
          </w:tcPr>
          <w:p>
            <w:r>
              <w:t>At least annually</w:t>
            </w:r>
          </w:p>
        </w:tc>
      </w:tr>
      <w:tr>
        <w:tc>
          <w:tcPr>
            <w:tcW w:type="dxa" w:w="5040"/>
          </w:tcPr>
          <w:p>
            <w:r>
              <w:t>Leadership/credential roster</w:t>
            </w:r>
          </w:p>
        </w:tc>
        <w:tc>
          <w:tcPr>
            <w:tcW w:type="dxa" w:w="5040"/>
          </w:tcPr>
          <w:p>
            <w:r>
              <w:t>Current</w:t>
            </w:r>
          </w:p>
        </w:tc>
      </w:tr>
      <w:tr>
        <w:tc>
          <w:tcPr>
            <w:tcW w:type="dxa" w:w="5040"/>
          </w:tcPr>
          <w:p>
            <w:r>
              <w:t>Annual local ministry report</w:t>
            </w:r>
          </w:p>
        </w:tc>
        <w:tc>
          <w:tcPr>
            <w:tcW w:type="dxa" w:w="5040"/>
          </w:tcPr>
          <w:p>
            <w:r>
              <w:t>Annual</w:t>
            </w:r>
          </w:p>
        </w:tc>
      </w:tr>
    </w:tbl>
    <w:p>
      <w:pPr>
        <w:pStyle w:val="Heading1"/>
        <w:spacing w:after="60"/>
      </w:pPr>
      <w:r>
        <w:t>Article XII — Intervention</w:t>
      </w:r>
    </w:p>
    <w:p>
      <w:pPr>
        <w:spacing w:after="60"/>
      </w:pPr>
      <w:r>
        <w:t>General intervention may occur for safeguarding failure, doctrinal abandonment, financial misconduct, leadership collapse, persistent constitutional violation, or inability to function. Intervention shall be proportionate and shall not permanently centralize authority merely because temporary assistance was needed.</w:t>
      </w:r>
    </w:p>
    <w:p>
      <w:pPr>
        <w:pStyle w:val="Heading1"/>
        <w:spacing w:after="60"/>
      </w:pPr>
      <w:r>
        <w:t>Article XIII — Merger, Closure, and Transition</w:t>
      </w:r>
    </w:p>
    <w:p>
      <w:pPr>
        <w:spacing w:after="60"/>
      </w:pPr>
      <w:r>
        <w:t>A local community may merge, suspend, or close through a documented process addressing members, pastoral care, property, funds, restricted gifts, records, employees, volunteers, credentials, communications, and any path to reconstitution.</w:t>
      </w:r>
    </w:p>
    <w:p>
      <w:pPr>
        <w:pStyle w:val="Heading1"/>
        <w:spacing w:after="60"/>
      </w:pPr>
      <w:r>
        <w:t>Article XIV — Local Charter Template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Required Section</w:t>
            </w:r>
          </w:p>
        </w:tc>
        <w:tc>
          <w:tcPr>
            <w:tcW w:type="dxa" w:w="5040"/>
            <w:shd w:fill="D9EAF7"/>
            <w:vAlign w:val="center"/>
          </w:tcPr>
          <w:p>
            <w:r>
              <w:t>Content</w:t>
            </w:r>
          </w:p>
        </w:tc>
      </w:tr>
      <w:tr>
        <w:tc>
          <w:tcPr>
            <w:tcW w:type="dxa" w:w="5040"/>
          </w:tcPr>
          <w:p>
            <w:r>
              <w:t>Identity</w:t>
            </w:r>
          </w:p>
        </w:tc>
        <w:tc>
          <w:tcPr>
            <w:tcW w:type="dxa" w:w="5040"/>
          </w:tcPr>
          <w:p>
            <w:r>
              <w:t>name, locality, status</w:t>
            </w:r>
          </w:p>
        </w:tc>
      </w:tr>
      <w:tr>
        <w:tc>
          <w:tcPr>
            <w:tcW w:type="dxa" w:w="5040"/>
          </w:tcPr>
          <w:p>
            <w:r>
              <w:t>Authority</w:t>
            </w:r>
          </w:p>
        </w:tc>
        <w:tc>
          <w:tcPr>
            <w:tcW w:type="dxa" w:w="5040"/>
          </w:tcPr>
          <w:p>
            <w:r>
              <w:t>relationship to REL/ECC/LOCAL</w:t>
            </w:r>
          </w:p>
        </w:tc>
      </w:tr>
      <w:tr>
        <w:tc>
          <w:tcPr>
            <w:tcW w:type="dxa" w:w="5040"/>
          </w:tcPr>
          <w:p>
            <w:r>
              <w:t>Leadership</w:t>
            </w:r>
          </w:p>
        </w:tc>
        <w:tc>
          <w:tcPr>
            <w:tcW w:type="dxa" w:w="5040"/>
          </w:tcPr>
          <w:p>
            <w:r>
              <w:t>local leader/council</w:t>
            </w:r>
          </w:p>
        </w:tc>
      </w:tr>
      <w:tr>
        <w:tc>
          <w:tcPr>
            <w:tcW w:type="dxa" w:w="5040"/>
          </w:tcPr>
          <w:p>
            <w:r>
              <w:t>Membership</w:t>
            </w:r>
          </w:p>
        </w:tc>
        <w:tc>
          <w:tcPr>
            <w:tcW w:type="dxa" w:w="5040"/>
          </w:tcPr>
          <w:p>
            <w:r>
              <w:t>participation and Covenant Member interface</w:t>
            </w:r>
          </w:p>
        </w:tc>
      </w:tr>
      <w:tr>
        <w:tc>
          <w:tcPr>
            <w:tcW w:type="dxa" w:w="5040"/>
          </w:tcPr>
          <w:p>
            <w:r>
              <w:t>Worship/formation</w:t>
            </w:r>
          </w:p>
        </w:tc>
        <w:tc>
          <w:tcPr>
            <w:tcW w:type="dxa" w:w="5040"/>
          </w:tcPr>
          <w:p>
            <w:r>
              <w:t>recurring activities</w:t>
            </w:r>
          </w:p>
        </w:tc>
      </w:tr>
      <w:tr>
        <w:tc>
          <w:tcPr>
            <w:tcW w:type="dxa" w:w="5040"/>
          </w:tcPr>
          <w:p>
            <w:r>
              <w:t>Safeguarding</w:t>
            </w:r>
          </w:p>
        </w:tc>
        <w:tc>
          <w:tcPr>
            <w:tcW w:type="dxa" w:w="5040"/>
          </w:tcPr>
          <w:p>
            <w:r>
              <w:t>local implementation</w:t>
            </w:r>
          </w:p>
        </w:tc>
      </w:tr>
      <w:tr>
        <w:tc>
          <w:tcPr>
            <w:tcW w:type="dxa" w:w="5040"/>
          </w:tcPr>
          <w:p>
            <w:r>
              <w:t>Finance/property</w:t>
            </w:r>
          </w:p>
        </w:tc>
        <w:tc>
          <w:tcPr>
            <w:tcW w:type="dxa" w:w="5040"/>
          </w:tcPr>
          <w:p>
            <w:r>
              <w:t>ownership and controls</w:t>
            </w:r>
          </w:p>
        </w:tc>
      </w:tr>
      <w:tr>
        <w:tc>
          <w:tcPr>
            <w:tcW w:type="dxa" w:w="5040"/>
          </w:tcPr>
          <w:p>
            <w:r>
              <w:t>Records</w:t>
            </w:r>
          </w:p>
        </w:tc>
        <w:tc>
          <w:tcPr>
            <w:tcW w:type="dxa" w:w="5040"/>
          </w:tcPr>
          <w:p>
            <w:r>
              <w:t>custody and reporting</w:t>
            </w:r>
          </w:p>
        </w:tc>
      </w:tr>
      <w:tr>
        <w:tc>
          <w:tcPr>
            <w:tcW w:type="dxa" w:w="5040"/>
          </w:tcPr>
          <w:p>
            <w:r>
              <w:t>Amendment</w:t>
            </w:r>
          </w:p>
        </w:tc>
        <w:tc>
          <w:tcPr>
            <w:tcW w:type="dxa" w:w="5040"/>
          </w:tcPr>
          <w:p>
            <w:r>
              <w:t>approval requirements</w:t>
            </w:r>
          </w:p>
        </w:tc>
      </w:tr>
      <w:tr>
        <w:tc>
          <w:tcPr>
            <w:tcW w:type="dxa" w:w="5040"/>
          </w:tcPr>
          <w:p>
            <w:r>
              <w:t>Closure</w:t>
            </w:r>
          </w:p>
        </w:tc>
        <w:tc>
          <w:tcPr>
            <w:tcW w:type="dxa" w:w="5040"/>
          </w:tcPr>
          <w:p>
            <w:r>
              <w:t>assets, records, members</w:t>
            </w:r>
          </w:p>
        </w:tc>
      </w:tr>
    </w:tbl>
    <w:p>
      <w:pPr>
        <w:pStyle w:val="Heading1"/>
        <w:spacing w:after="60"/>
      </w:pPr>
      <w:r>
        <w:t>Adoption and Certification</w:t>
      </w:r>
    </w:p>
    <w:p>
      <w:pPr>
        <w:spacing w:after="60"/>
      </w:pPr>
      <w:r>
        <w:t>This instrument becomes effective only upon valid adoption by the competent authority under the governing corpus. A draft, training copy, or operational template does not acquire binding force merely because it exists.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Field</w:t>
            </w:r>
          </w:p>
        </w:tc>
        <w:tc>
          <w:tcPr>
            <w:tcW w:type="dxa" w:w="5040"/>
            <w:shd w:fill="D9EAF7"/>
            <w:vAlign w:val="center"/>
          </w:tcPr>
          <w:p>
            <w:r>
              <w:t>Entry</w:t>
            </w:r>
          </w:p>
        </w:tc>
      </w:tr>
      <w:tr>
        <w:tc>
          <w:tcPr>
            <w:tcW w:type="dxa" w:w="5040"/>
          </w:tcPr>
          <w:p>
            <w:r>
              <w:t>Organization</w:t>
            </w:r>
          </w:p>
        </w:tc>
        <w:tc>
          <w:tcPr>
            <w:tcW w:type="dxa" w:w="5040"/>
          </w:tcPr>
          <w:p>
            <w:r>
              <w:t>[[CORP_NAME]]</w:t>
            </w:r>
          </w:p>
        </w:tc>
      </w:tr>
      <w:tr>
        <w:tc>
          <w:tcPr>
            <w:tcW w:type="dxa" w:w="5040"/>
          </w:tcPr>
          <w:p>
            <w:r>
              <w:t>Version</w:t>
            </w:r>
          </w:p>
        </w:tc>
        <w:tc>
          <w:tcPr>
            <w:tcW w:type="dxa" w:w="5040"/>
          </w:tcPr>
          <w:p>
            <w:r>
              <w:t>0.1.0</w:t>
            </w:r>
          </w:p>
        </w:tc>
      </w:tr>
      <w:tr>
        <w:tc>
          <w:tcPr>
            <w:tcW w:type="dxa" w:w="5040"/>
          </w:tcPr>
          <w:p>
            <w:r>
              <w:t>Date of Adoption</w:t>
            </w:r>
          </w:p>
        </w:tc>
        <w:tc>
          <w:tcPr>
            <w:tcW w:type="dxa" w:w="5040"/>
          </w:tcPr>
          <w:p>
            <w:r>
              <w:t>[[DATE]]</w:t>
            </w:r>
          </w:p>
        </w:tc>
      </w:tr>
      <w:tr>
        <w:tc>
          <w:tcPr>
            <w:tcW w:type="dxa" w:w="5040"/>
          </w:tcPr>
          <w:p>
            <w:r>
              <w:t>Adopting Authority</w:t>
            </w:r>
          </w:p>
        </w:tc>
        <w:tc>
          <w:tcPr>
            <w:tcW w:type="dxa" w:w="5040"/>
          </w:tcPr>
          <w:p>
            <w:r>
              <w:t>[[ADOPTING_AUTHORITY]]</w:t>
            </w:r>
          </w:p>
        </w:tc>
      </w:tr>
      <w:tr>
        <w:tc>
          <w:tcPr>
            <w:tcW w:type="dxa" w:w="5040"/>
          </w:tcPr>
          <w:p>
            <w:r>
              <w:t>Ecclesiastical Approval</w:t>
            </w:r>
          </w:p>
        </w:tc>
        <w:tc>
          <w:tcPr>
            <w:tcW w:type="dxa" w:w="5040"/>
          </w:tcPr>
          <w:p>
            <w:r>
              <w:t>[[ECCLESIASTICAL_APPROVAL_RECORD]]</w:t>
            </w:r>
          </w:p>
        </w:tc>
      </w:tr>
      <w:tr>
        <w:tc>
          <w:tcPr>
            <w:tcW w:type="dxa" w:w="5040"/>
          </w:tcPr>
          <w:p>
            <w:r>
              <w:t>Civil Board Action, if required</w:t>
            </w:r>
          </w:p>
        </w:tc>
        <w:tc>
          <w:tcPr>
            <w:tcW w:type="dxa" w:w="5040"/>
          </w:tcPr>
          <w:p>
            <w:r>
              <w:t>[[BOARD_ACTION / N/A]]</w:t>
            </w:r>
          </w:p>
        </w:tc>
      </w:tr>
    </w:tbl>
    <w:p>
      <w:pPr>
        <w:spacing w:after="60"/>
      </w:pPr>
      <w:r>
        <w:t>Certification</w:t>
      </w:r>
    </w:p>
    <w:p>
      <w:pPr>
        <w:spacing w:after="60"/>
      </w:pPr>
      <w:r>
        <w:t>I certify that the foregoing instrument was duly adopted or approved as stated above and remains in force except as subsequently amended through valid process.</w:t>
      </w:r>
    </w:p>
    <w:p>
      <w:pPr>
        <w:spacing w:after="60"/>
      </w:pPr>
      <w:r>
        <w:t>________________________________________</w:t>
      </w:r>
    </w:p>
    <w:p>
      <w:pPr>
        <w:spacing w:after="60"/>
      </w:pPr>
      <w:r>
        <w:t>[[NAME / OFFICE]]</w:t>
      </w:r>
    </w:p>
    <w:p>
      <w:pPr>
        <w:spacing w:after="60"/>
      </w:pPr>
      <w:r>
        <w:t>[[DATE]]</w:t>
      </w:r>
    </w:p>
    <w:sectPr w:rsidR="00FC693F" w:rsidRPr="0006063C" w:rsidSect="00034616">
      <w:footerReference w:type="default" r:id="rId9"/>
      <w:pgSz w:w="12240" w:h="15840"/>
      <w:pgMar w:top="835" w:right="1080" w:bottom="835"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LOCAL-001 | [[CORP_NAME]]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