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Safeguarding and Accountability Framework</w:t>
      </w:r>
    </w:p>
    <w:p>
      <w:pPr>
        <w:jc w:val="center"/>
      </w:pPr>
      <w:r>
        <w:rPr>
          <w:b/>
          <w:sz w:val="26"/>
        </w:rPr>
        <w:t>[[CORP_NAME]]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t>Document ID</w:t>
            </w:r>
          </w:p>
        </w:tc>
        <w:tc>
          <w:tcPr>
            <w:tcW w:type="dxa" w:w="5040"/>
          </w:tcPr>
          <w:p>
            <w:r>
              <w:t>SAFE-001</w:t>
            </w:r>
          </w:p>
        </w:tc>
      </w:tr>
      <w:tr>
        <w:tc>
          <w:tcPr>
            <w:tcW w:type="dxa" w:w="5040"/>
            <w:shd w:fill="E5E7EB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0.1.0</w:t>
            </w:r>
          </w:p>
        </w:tc>
      </w:tr>
      <w:tr>
        <w:tc>
          <w:tcPr>
            <w:tcW w:type="dxa" w:w="5040"/>
            <w:shd w:fill="E5E7EB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Provisional Constitutional Draft</w:t>
            </w:r>
          </w:p>
        </w:tc>
      </w:tr>
      <w:tr>
        <w:tc>
          <w:tcPr>
            <w:tcW w:type="dxa" w:w="5040"/>
            <w:shd w:fill="E5E7EB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Safeguarding, Abuse Prevention, and Institutional Accountability Framework</w:t>
            </w:r>
          </w:p>
        </w:tc>
      </w:tr>
      <w:tr>
        <w:tc>
          <w:tcPr>
            <w:tcW w:type="dxa" w:w="5040"/>
            <w:shd w:fill="E5E7EB"/>
          </w:tcPr>
          <w:p>
            <w:r>
              <w:t>Parent</w:t>
            </w:r>
          </w:p>
        </w:tc>
        <w:tc>
          <w:tcPr>
            <w:tcW w:type="dxa" w:w="5040"/>
          </w:tcPr>
          <w:p>
            <w:r>
              <w:t>REL-CON-001 / ECC-CON-001</w:t>
            </w:r>
          </w:p>
        </w:tc>
      </w:tr>
      <w:tr>
        <w:tc>
          <w:tcPr>
            <w:tcW w:type="dxa" w:w="5040"/>
            <w:shd w:fill="E5E7EB"/>
          </w:tcPr>
          <w:p>
            <w:r>
              <w:t>Organization</w:t>
            </w:r>
          </w:p>
        </w:tc>
        <w:tc>
          <w:tcPr>
            <w:tcW w:type="dxa" w:w="5040"/>
          </w:tcPr>
          <w:p>
            <w:r>
              <w:t>[[CORP_NAME]]</w:t>
            </w:r>
          </w:p>
        </w:tc>
      </w:tr>
      <w:tr>
        <w:tc>
          <w:tcPr>
            <w:tcW w:type="dxa" w:w="5040"/>
            <w:shd w:fill="E5E7EB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Comprehensive safeguarding framework for children, vulnerable adults, members, ministers, staff, volunteers, participants, complainants, respondents, and persons affected by religious authority.</w:t>
            </w:r>
          </w:p>
        </w:tc>
      </w:tr>
    </w:tbl>
    <w:p>
      <w:pPr>
        <w:pStyle w:val="SmallNote"/>
      </w:pPr>
      <w:r>
        <w:t>Drafting notice: This instrument is a governance and ecclesiastical working draft. Bracketed fields require verified facts before adoption. It does not replace advice from qualified Tennessee counsel, tax counsel, safeguarding professionals, or other specialists where applicable.</w:t>
      </w:r>
    </w:p>
    <w:p>
      <w:r>
        <w:br w:type="page"/>
      </w:r>
    </w:p>
    <w:p>
      <w:pPr>
        <w:pStyle w:val="Heading1"/>
      </w:pPr>
      <w:r>
        <w:t>Preamble</w:t>
      </w:r>
    </w:p>
    <w:p>
      <w:r>
        <w:t>No religious mission justifies abuse, coercion, exploitation, concealment, retaliation, or institutional self-protection at the expense of persons. Safeguarding is therefore a constitutional obligation, not merely an insurance or public-relations function.</w:t>
      </w:r>
    </w:p>
    <w:p>
      <w:pPr>
        <w:pStyle w:val="Heading1"/>
      </w:pPr>
      <w:r>
        <w:t>Article I — Scope</w:t>
      </w:r>
    </w:p>
    <w:p>
      <w:pPr>
        <w:pStyle w:val="ListBullet"/>
      </w:pPr>
      <w:r>
        <w:t>children and minors</w:t>
      </w:r>
    </w:p>
    <w:p>
      <w:pPr>
        <w:pStyle w:val="ListBullet"/>
      </w:pPr>
      <w:r>
        <w:t>vulnerable adults</w:t>
      </w:r>
    </w:p>
    <w:p>
      <w:pPr>
        <w:pStyle w:val="ListBullet"/>
      </w:pPr>
      <w:r>
        <w:t>members and participants</w:t>
      </w:r>
    </w:p>
    <w:p>
      <w:pPr>
        <w:pStyle w:val="ListBullet"/>
      </w:pPr>
      <w:r>
        <w:t>ministers, candidates, staff, and volunteers</w:t>
      </w:r>
    </w:p>
    <w:p>
      <w:pPr>
        <w:pStyle w:val="ListBullet"/>
      </w:pPr>
      <w:r>
        <w:t>pastoral-care recipients</w:t>
      </w:r>
    </w:p>
    <w:p>
      <w:pPr>
        <w:pStyle w:val="ListBullet"/>
      </w:pPr>
      <w:r>
        <w:t>students and formation participants</w:t>
      </w:r>
    </w:p>
    <w:p>
      <w:pPr>
        <w:pStyle w:val="ListBullet"/>
      </w:pPr>
      <w:r>
        <w:t>online participants</w:t>
      </w:r>
    </w:p>
    <w:p>
      <w:pPr>
        <w:pStyle w:val="ListBullet"/>
      </w:pPr>
      <w:r>
        <w:t>complainants, witnesses, and respondents</w:t>
      </w:r>
    </w:p>
    <w:p>
      <w:pPr>
        <w:pStyle w:val="ListBullet"/>
      </w:pPr>
      <w:r>
        <w:t>persons affected by institutional property, travel, residential, or outreach activities</w:t>
      </w:r>
    </w:p>
    <w:p>
      <w:pPr>
        <w:pStyle w:val="Heading1"/>
      </w:pPr>
      <w:r>
        <w:t>Article II — Safeguarding Principles</w:t>
      </w:r>
    </w:p>
    <w:p>
      <w:pPr>
        <w:pStyle w:val="ListBullet"/>
      </w:pPr>
      <w:r>
        <w:t>dignity and bodily autonomy</w:t>
      </w:r>
    </w:p>
    <w:p>
      <w:pPr>
        <w:pStyle w:val="ListBullet"/>
      </w:pPr>
      <w:r>
        <w:t>freedom of conscience and freedom to leave</w:t>
      </w:r>
    </w:p>
    <w:p>
      <w:pPr>
        <w:pStyle w:val="ListBullet"/>
      </w:pPr>
      <w:r>
        <w:t>least coercive intervention consistent with safety</w:t>
      </w:r>
    </w:p>
    <w:p>
      <w:pPr>
        <w:pStyle w:val="ListBullet"/>
      </w:pPr>
      <w:r>
        <w:t>no retaliation for good-faith reporting</w:t>
      </w:r>
    </w:p>
    <w:p>
      <w:pPr>
        <w:pStyle w:val="ListBullet"/>
      </w:pPr>
      <w:r>
        <w:t>external reporting where law or immediate safety requires</w:t>
      </w:r>
    </w:p>
    <w:p>
      <w:pPr>
        <w:pStyle w:val="ListBullet"/>
      </w:pPr>
      <w:r>
        <w:t>due process proportionate to consequences</w:t>
      </w:r>
    </w:p>
    <w:p>
      <w:pPr>
        <w:pStyle w:val="ListBullet"/>
      </w:pPr>
      <w:r>
        <w:t>independence when allegations involve powerful leaders</w:t>
      </w:r>
    </w:p>
    <w:p>
      <w:pPr>
        <w:pStyle w:val="ListBullet"/>
      </w:pPr>
      <w:r>
        <w:t>privacy without secrecy that protects wrongdoing</w:t>
      </w:r>
    </w:p>
    <w:p>
      <w:pPr>
        <w:pStyle w:val="ListBullet"/>
      </w:pPr>
      <w:r>
        <w:t>evidence preservation</w:t>
      </w:r>
    </w:p>
    <w:p>
      <w:pPr>
        <w:pStyle w:val="ListBullet"/>
      </w:pPr>
      <w:r>
        <w:t>institutional learning after incidents</w:t>
      </w:r>
    </w:p>
    <w:p>
      <w:pPr>
        <w:pStyle w:val="Heading1"/>
      </w:pPr>
      <w:r>
        <w:t>Article III — Prohibited Conduct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Category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Examples</w:t>
            </w:r>
          </w:p>
        </w:tc>
      </w:tr>
      <w:tr>
        <w:tc>
          <w:tcPr>
            <w:tcW w:type="dxa" w:w="5040"/>
          </w:tcPr>
          <w:p>
            <w:r>
              <w:t>Physical abuse</w:t>
            </w:r>
          </w:p>
        </w:tc>
        <w:tc>
          <w:tcPr>
            <w:tcW w:type="dxa" w:w="5040"/>
          </w:tcPr>
          <w:p>
            <w:r>
              <w:t>assault, harmful restraint, reckless endangerment</w:t>
            </w:r>
          </w:p>
        </w:tc>
      </w:tr>
      <w:tr>
        <w:tc>
          <w:tcPr>
            <w:tcW w:type="dxa" w:w="5040"/>
          </w:tcPr>
          <w:p>
            <w:r>
              <w:t>Sexual misconduct</w:t>
            </w:r>
          </w:p>
        </w:tc>
        <w:tc>
          <w:tcPr>
            <w:tcW w:type="dxa" w:w="5040"/>
          </w:tcPr>
          <w:p>
            <w:r>
              <w:t>sexual contact prohibited by law or policy, grooming, exploitation, harassment</w:t>
            </w:r>
          </w:p>
        </w:tc>
      </w:tr>
      <w:tr>
        <w:tc>
          <w:tcPr>
            <w:tcW w:type="dxa" w:w="5040"/>
          </w:tcPr>
          <w:p>
            <w:r>
              <w:t>Spiritual abuse</w:t>
            </w:r>
          </w:p>
        </w:tc>
        <w:tc>
          <w:tcPr>
            <w:tcW w:type="dxa" w:w="5040"/>
          </w:tcPr>
          <w:p>
            <w:r>
              <w:t>threatening divine punishment to control, coercive confession, forced dependency, misuse of prophecy or authority</w:t>
            </w:r>
          </w:p>
        </w:tc>
      </w:tr>
      <w:tr>
        <w:tc>
          <w:tcPr>
            <w:tcW w:type="dxa" w:w="5040"/>
          </w:tcPr>
          <w:p>
            <w:r>
              <w:t>Financial exploitation</w:t>
            </w:r>
          </w:p>
        </w:tc>
        <w:tc>
          <w:tcPr>
            <w:tcW w:type="dxa" w:w="5040"/>
          </w:tcPr>
          <w:p>
            <w:r>
              <w:t>coercive giving, misuse of member funds, exploiting pastoral dependency</w:t>
            </w:r>
          </w:p>
        </w:tc>
      </w:tr>
      <w:tr>
        <w:tc>
          <w:tcPr>
            <w:tcW w:type="dxa" w:w="5040"/>
          </w:tcPr>
          <w:p>
            <w:r>
              <w:t>Emotional/psychological abuse</w:t>
            </w:r>
          </w:p>
        </w:tc>
        <w:tc>
          <w:tcPr>
            <w:tcW w:type="dxa" w:w="5040"/>
          </w:tcPr>
          <w:p>
            <w:r>
              <w:t>humiliation, threats, isolation, degradation, coercive control</w:t>
            </w:r>
          </w:p>
        </w:tc>
      </w:tr>
      <w:tr>
        <w:tc>
          <w:tcPr>
            <w:tcW w:type="dxa" w:w="5040"/>
          </w:tcPr>
          <w:p>
            <w:r>
              <w:t>Neglect</w:t>
            </w:r>
          </w:p>
        </w:tc>
        <w:tc>
          <w:tcPr>
            <w:tcW w:type="dxa" w:w="5040"/>
          </w:tcPr>
          <w:p>
            <w:r>
              <w:t>failure to provide required care or supervision</w:t>
            </w:r>
          </w:p>
        </w:tc>
      </w:tr>
      <w:tr>
        <w:tc>
          <w:tcPr>
            <w:tcW w:type="dxa" w:w="5040"/>
          </w:tcPr>
          <w:p>
            <w:r>
              <w:t>Retaliation</w:t>
            </w:r>
          </w:p>
        </w:tc>
        <w:tc>
          <w:tcPr>
            <w:tcW w:type="dxa" w:w="5040"/>
          </w:tcPr>
          <w:p>
            <w:r>
              <w:t>punishing reporting, participation in investigation, external disclosure, refusal to conceal</w:t>
            </w:r>
          </w:p>
        </w:tc>
      </w:tr>
      <w:tr>
        <w:tc>
          <w:tcPr>
            <w:tcW w:type="dxa" w:w="5040"/>
          </w:tcPr>
          <w:p>
            <w:r>
              <w:t>Boundary violations</w:t>
            </w:r>
          </w:p>
        </w:tc>
        <w:tc>
          <w:tcPr>
            <w:tcW w:type="dxa" w:w="5040"/>
          </w:tcPr>
          <w:p>
            <w:r>
              <w:t>secret relationships, inappropriate messaging, gifts, travel, lodging, or access inconsistent with role</w:t>
            </w:r>
          </w:p>
        </w:tc>
      </w:tr>
      <w:tr>
        <w:tc>
          <w:tcPr>
            <w:tcW w:type="dxa" w:w="5040"/>
          </w:tcPr>
          <w:p>
            <w:r>
              <w:t>Institutional concealment</w:t>
            </w:r>
          </w:p>
        </w:tc>
        <w:tc>
          <w:tcPr>
            <w:tcW w:type="dxa" w:w="5040"/>
          </w:tcPr>
          <w:p>
            <w:r>
              <w:t>destroying evidence, pressuring silence, misleading insurers or authorities</w:t>
            </w:r>
          </w:p>
        </w:tc>
      </w:tr>
    </w:tbl>
    <w:p>
      <w:pPr>
        <w:pStyle w:val="Heading1"/>
      </w:pPr>
      <w:r>
        <w:t>Article IV — Children and Minors</w:t>
      </w:r>
    </w:p>
    <w:p>
      <w:pPr>
        <w:pStyle w:val="ListNumber"/>
      </w:pPr>
      <w:r>
        <w:t>Youth programs shall not begin until supervision, screening, emergency procedures, check-in/out, bathroom/transportation rules, digital-contact rules, and reporting procedures are operational.</w:t>
      </w:r>
    </w:p>
    <w:p>
      <w:pPr>
        <w:pStyle w:val="ListNumber"/>
      </w:pPr>
      <w:r>
        <w:t>Where feasible, avoid one-adult/one-minor isolated situations; documented exceptions require risk controls.</w:t>
      </w:r>
    </w:p>
    <w:p>
      <w:pPr>
        <w:pStyle w:val="ListNumber"/>
      </w:pPr>
      <w:r>
        <w:t>Private electronic communication with minors shall follow approved channels and parent/guardian transparency appropriate to age and circumstance.</w:t>
      </w:r>
    </w:p>
    <w:p>
      <w:pPr>
        <w:pStyle w:val="ListNumber"/>
      </w:pPr>
      <w:r>
        <w:t>Overnight, transportation, residential, and off-site activities require enhanced controls.</w:t>
      </w:r>
    </w:p>
    <w:p>
      <w:pPr>
        <w:pStyle w:val="Heading1"/>
      </w:pPr>
      <w:r>
        <w:t>Article V — Vulnerable Adults</w:t>
      </w:r>
    </w:p>
    <w:p>
      <w:r>
        <w:t>The institution shall account for capacity, dependency, disability, communication needs, economic dependence, pastoral dependence, and power differentials without treating disability itself as disqualifying or infantilizing.</w:t>
      </w:r>
    </w:p>
    <w:p>
      <w:pPr>
        <w:pStyle w:val="Heading1"/>
      </w:pPr>
      <w:r>
        <w:t>Article VI — Spiritual and Pastoral Power</w:t>
      </w:r>
    </w:p>
    <w:p>
      <w:pPr>
        <w:pStyle w:val="ListBullet"/>
      </w:pPr>
      <w:r>
        <w:t>No leader may claim immunity from review because of spiritual status.</w:t>
      </w:r>
    </w:p>
    <w:p>
      <w:pPr>
        <w:pStyle w:val="ListBullet"/>
      </w:pPr>
      <w:r>
        <w:t>Private revelation does not override consent, law, safeguarding, or constitutional authority.</w:t>
      </w:r>
    </w:p>
    <w:p>
      <w:pPr>
        <w:pStyle w:val="ListBullet"/>
      </w:pPr>
      <w:r>
        <w:t>Pastoral counseling shall not be represented as licensed clinical care unless the provider is separately qualified.</w:t>
      </w:r>
    </w:p>
    <w:p>
      <w:pPr>
        <w:pStyle w:val="ListBullet"/>
      </w:pPr>
      <w:r>
        <w:t>Confidentiality has limits where safety, legal reporting, or prevention of serious harm requires disclosure.</w:t>
      </w:r>
    </w:p>
    <w:p>
      <w:pPr>
        <w:pStyle w:val="ListBullet"/>
      </w:pPr>
      <w:r>
        <w:t>No person shall be pressured to remain in the community, relationship, program, or ministry to preserve standing.</w:t>
      </w:r>
    </w:p>
    <w:p>
      <w:pPr>
        <w:pStyle w:val="Heading1"/>
      </w:pPr>
      <w:r>
        <w:t>Article VII — Screening and Authorization</w:t>
      </w:r>
    </w:p>
    <w:p>
      <w:r>
        <w:t>Roles involving minors, vulnerable persons, overnight access, unsupervised pastoral access, money handling, transportation, or high-trust authority shall receive risk-proportionate screening, references, training, and authorization.</w:t>
      </w:r>
    </w:p>
    <w:p>
      <w:pPr>
        <w:pStyle w:val="Heading1"/>
      </w:pPr>
      <w:r>
        <w:t>Article VIII — Reporting 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Channel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Immediate emergency</w:t>
            </w:r>
          </w:p>
        </w:tc>
        <w:tc>
          <w:tcPr>
            <w:tcW w:type="dxa" w:w="5040"/>
          </w:tcPr>
          <w:p>
            <w:r>
              <w:t>Call emergency services / law enforcement as appropriate</w:t>
            </w:r>
          </w:p>
        </w:tc>
      </w:tr>
      <w:tr>
        <w:tc>
          <w:tcPr>
            <w:tcW w:type="dxa" w:w="5040"/>
          </w:tcPr>
          <w:p>
            <w:r>
              <w:t>Safeguarding channel</w:t>
            </w:r>
          </w:p>
        </w:tc>
        <w:tc>
          <w:tcPr>
            <w:tcW w:type="dxa" w:w="5040"/>
          </w:tcPr>
          <w:p>
            <w:r>
              <w:t>[[SAFEGUARDING_EMAIL / PHONE / FORM]]</w:t>
            </w:r>
          </w:p>
        </w:tc>
      </w:tr>
      <w:tr>
        <w:tc>
          <w:tcPr>
            <w:tcW w:type="dxa" w:w="5040"/>
          </w:tcPr>
          <w:p>
            <w:r>
              <w:t>Independent senior-leader channel</w:t>
            </w:r>
          </w:p>
        </w:tc>
        <w:tc>
          <w:tcPr>
            <w:tcW w:type="dxa" w:w="5040"/>
          </w:tcPr>
          <w:p>
            <w:r>
              <w:t>EAC or external reviewer</w:t>
            </w:r>
          </w:p>
        </w:tc>
      </w:tr>
      <w:tr>
        <w:tc>
          <w:tcPr>
            <w:tcW w:type="dxa" w:w="5040"/>
          </w:tcPr>
          <w:p>
            <w:r>
              <w:t>Anonymous channel</w:t>
            </w:r>
          </w:p>
        </w:tc>
        <w:tc>
          <w:tcPr>
            <w:tcW w:type="dxa" w:w="5040"/>
          </w:tcPr>
          <w:p>
            <w:r>
              <w:t>[[ANONYMOUS_REPORTING_MECHANISM]]</w:t>
            </w:r>
          </w:p>
        </w:tc>
      </w:tr>
      <w:tr>
        <w:tc>
          <w:tcPr>
            <w:tcW w:type="dxa" w:w="5040"/>
          </w:tcPr>
          <w:p>
            <w:r>
              <w:t>Civil authorities</w:t>
            </w:r>
          </w:p>
        </w:tc>
        <w:tc>
          <w:tcPr>
            <w:tcW w:type="dxa" w:w="5040"/>
          </w:tcPr>
          <w:p>
            <w:r>
              <w:t>Available directly; internal permission not required</w:t>
            </w:r>
          </w:p>
        </w:tc>
      </w:tr>
    </w:tbl>
    <w:p>
      <w:pPr>
        <w:pStyle w:val="Heading1"/>
      </w:pPr>
      <w:r>
        <w:t>Article IX — Intake and Triage</w:t>
      </w:r>
    </w:p>
    <w:p>
      <w:pPr>
        <w:pStyle w:val="ListNumber"/>
      </w:pPr>
      <w:r>
        <w:t>Record the report without requiring the reporter to prove the case.</w:t>
      </w:r>
    </w:p>
    <w:p>
      <w:pPr>
        <w:pStyle w:val="ListNumber"/>
      </w:pPr>
      <w:r>
        <w:t>Assess immediate danger and mandatory-reporting obligations.</w:t>
      </w:r>
    </w:p>
    <w:p>
      <w:pPr>
        <w:pStyle w:val="ListNumber"/>
      </w:pPr>
      <w:r>
        <w:t>Preserve evidence.</w:t>
      </w:r>
    </w:p>
    <w:p>
      <w:pPr>
        <w:pStyle w:val="ListNumber"/>
      </w:pPr>
      <w:r>
        <w:t>Identify conflicts and appropriate authority.</w:t>
      </w:r>
    </w:p>
    <w:p>
      <w:pPr>
        <w:pStyle w:val="ListNumber"/>
      </w:pPr>
      <w:r>
        <w:t>Determine protective measures distinct from final findings.</w:t>
      </w:r>
    </w:p>
    <w:p>
      <w:pPr>
        <w:pStyle w:val="ListNumber"/>
      </w:pPr>
      <w:r>
        <w:t>Notify affected persons as fairness and safety permit.</w:t>
      </w:r>
    </w:p>
    <w:p>
      <w:pPr>
        <w:pStyle w:val="ListNumber"/>
      </w:pPr>
      <w:r>
        <w:t>Open investigation or refer to the competent external/internal process.</w:t>
      </w:r>
    </w:p>
    <w:p>
      <w:pPr>
        <w:pStyle w:val="Heading1"/>
      </w:pPr>
      <w:r>
        <w:t>Article X — Protective Measures</w:t>
      </w:r>
    </w:p>
    <w:p>
      <w:r>
        <w:t>Protective measures may include supervision changes, no-contact instructions, leave, access restrictions, temporary credential limitations, reassignment, independent chaperoning, facility restrictions, or emergency suspension. Protective measures are not findings of guilt.</w:t>
      </w:r>
    </w:p>
    <w:p>
      <w:pPr>
        <w:pStyle w:val="Heading1"/>
      </w:pPr>
      <w:r>
        <w:t>Article XI — Investigation Standards</w:t>
      </w:r>
    </w:p>
    <w:p>
      <w:pPr>
        <w:pStyle w:val="ListBullet"/>
      </w:pPr>
      <w:r>
        <w:t>investigator independence and competence</w:t>
      </w:r>
    </w:p>
    <w:p>
      <w:pPr>
        <w:pStyle w:val="ListBullet"/>
      </w:pPr>
      <w:r>
        <w:t>documented scope</w:t>
      </w:r>
    </w:p>
    <w:p>
      <w:pPr>
        <w:pStyle w:val="ListBullet"/>
      </w:pPr>
      <w:r>
        <w:t>preservation of exculpatory and inculpatory evidence</w:t>
      </w:r>
    </w:p>
    <w:p>
      <w:pPr>
        <w:pStyle w:val="ListBullet"/>
      </w:pPr>
      <w:r>
        <w:t>opportunity for relevant response</w:t>
      </w:r>
    </w:p>
    <w:p>
      <w:pPr>
        <w:pStyle w:val="ListBullet"/>
      </w:pPr>
      <w:r>
        <w:t>witness protection where appropriate</w:t>
      </w:r>
    </w:p>
    <w:p>
      <w:pPr>
        <w:pStyle w:val="ListBullet"/>
      </w:pPr>
      <w:r>
        <w:t>written findings and evidentiary basis</w:t>
      </w:r>
    </w:p>
    <w:p>
      <w:pPr>
        <w:pStyle w:val="ListBullet"/>
      </w:pPr>
      <w:r>
        <w:t>clear distinction between substantiated, unsubstantiated, inconclusive, and outside-jurisdiction conclusions</w:t>
      </w:r>
    </w:p>
    <w:p>
      <w:pPr>
        <w:pStyle w:val="Heading1"/>
      </w:pPr>
      <w:r>
        <w:t>Article XII — Senior-Leader and Founder Allegations</w:t>
      </w:r>
    </w:p>
    <w:p>
      <w:r>
        <w:t>No Founder, PSL, director, council chair, major donor, or other influential person shall control a serious proceeding concerning themselves. External investigation or adjudication should be used where internal independence is materially compromised.</w:t>
      </w:r>
    </w:p>
    <w:p>
      <w:pPr>
        <w:pStyle w:val="Heading1"/>
      </w:pPr>
      <w:r>
        <w:t>Article XIII — Retaliation</w:t>
      </w:r>
    </w:p>
    <w:p>
      <w:r>
        <w:t>Retaliation is independent misconduct. This includes threats, shunning ordered as punishment, job loss, credential threats, donor pressure, spiritual condemnation, defamation campaigns, denial of ordinary participation, or manipulation of family/community relationships because a person reported in good faith or participated in process.</w:t>
      </w:r>
    </w:p>
    <w:p>
      <w:pPr>
        <w:pStyle w:val="Heading1"/>
      </w:pPr>
      <w:r>
        <w:t>Article XIV — Records and Confidentiality</w:t>
      </w:r>
    </w:p>
    <w:p>
      <w:r>
        <w:t>Safeguarding records shall be access-controlled, preserved according to CH-048 and legal-hold requirements, and never altered to protect reputation. Public transparency shall be balanced with privacy, safety, due process, and legal obligations.</w:t>
      </w:r>
    </w:p>
    <w:p>
      <w:pPr>
        <w:pStyle w:val="Heading1"/>
      </w:pPr>
      <w:r>
        <w:t>Article XV — 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Minimum Training</w:t>
            </w:r>
          </w:p>
        </w:tc>
      </w:tr>
      <w:tr>
        <w:tc>
          <w:tcPr>
            <w:tcW w:type="dxa" w:w="5040"/>
          </w:tcPr>
          <w:p>
            <w:r>
              <w:t>All leaders</w:t>
            </w:r>
          </w:p>
        </w:tc>
        <w:tc>
          <w:tcPr>
            <w:tcW w:type="dxa" w:w="5040"/>
          </w:tcPr>
          <w:p>
            <w:r>
              <w:t>reporting, retaliation, boundaries, emergency response</w:t>
            </w:r>
          </w:p>
        </w:tc>
      </w:tr>
      <w:tr>
        <w:tc>
          <w:tcPr>
            <w:tcW w:type="dxa" w:w="5040"/>
          </w:tcPr>
          <w:p>
            <w:r>
              <w:t>Youth workers</w:t>
            </w:r>
          </w:p>
        </w:tc>
        <w:tc>
          <w:tcPr>
            <w:tcW w:type="dxa" w:w="5040"/>
          </w:tcPr>
          <w:p>
            <w:r>
              <w:t>minor safety, grooming indicators, check-in/out, digital contact</w:t>
            </w:r>
          </w:p>
        </w:tc>
      </w:tr>
      <w:tr>
        <w:tc>
          <w:tcPr>
            <w:tcW w:type="dxa" w:w="5040"/>
          </w:tcPr>
          <w:p>
            <w:r>
              <w:t>Pastoral caregivers</w:t>
            </w:r>
          </w:p>
        </w:tc>
        <w:tc>
          <w:tcPr>
            <w:tcW w:type="dxa" w:w="5040"/>
          </w:tcPr>
          <w:p>
            <w:r>
              <w:t>boundaries, confidentiality limits, referral</w:t>
            </w:r>
          </w:p>
        </w:tc>
      </w:tr>
      <w:tr>
        <w:tc>
          <w:tcPr>
            <w:tcW w:type="dxa" w:w="5040"/>
          </w:tcPr>
          <w:p>
            <w:r>
              <w:t>Investigators/adjudicators</w:t>
            </w:r>
          </w:p>
        </w:tc>
        <w:tc>
          <w:tcPr>
            <w:tcW w:type="dxa" w:w="5040"/>
          </w:tcPr>
          <w:p>
            <w:r>
              <w:t>trauma-informed process, evidence, conflicts, due process</w:t>
            </w:r>
          </w:p>
        </w:tc>
      </w:tr>
      <w:tr>
        <w:tc>
          <w:tcPr>
            <w:tcW w:type="dxa" w:w="5040"/>
          </w:tcPr>
          <w:p>
            <w:r>
              <w:t>Governance bodies</w:t>
            </w:r>
          </w:p>
        </w:tc>
        <w:tc>
          <w:tcPr>
            <w:tcW w:type="dxa" w:w="5040"/>
          </w:tcPr>
          <w:p>
            <w:r>
              <w:t>oversight, reporting lines, insurer/counsel interfaces</w:t>
            </w:r>
          </w:p>
        </w:tc>
      </w:tr>
    </w:tbl>
    <w:p>
      <w:pPr>
        <w:pStyle w:val="Heading1"/>
      </w:pPr>
      <w:r>
        <w:t>Article XVI — Annual Safeguarding Review</w:t>
      </w:r>
    </w:p>
    <w:p>
      <w:pPr>
        <w:pStyle w:val="ListNumber"/>
      </w:pPr>
      <w:r>
        <w:t>Review incidents and near misses without compromising protected details.</w:t>
      </w:r>
    </w:p>
    <w:p>
      <w:pPr>
        <w:pStyle w:val="ListNumber"/>
      </w:pPr>
      <w:r>
        <w:t>Confirm screening/training status.</w:t>
      </w:r>
    </w:p>
    <w:p>
      <w:pPr>
        <w:pStyle w:val="ListNumber"/>
      </w:pPr>
      <w:r>
        <w:t>Audit youth and vulnerable-person programs.</w:t>
      </w:r>
    </w:p>
    <w:p>
      <w:pPr>
        <w:pStyle w:val="ListNumber"/>
      </w:pPr>
      <w:r>
        <w:t>Test reporting channels.</w:t>
      </w:r>
    </w:p>
    <w:p>
      <w:pPr>
        <w:pStyle w:val="ListNumber"/>
      </w:pPr>
      <w:r>
        <w:t>Review insurance and external-reporting obligations.</w:t>
      </w:r>
    </w:p>
    <w:p>
      <w:pPr>
        <w:pStyle w:val="ListNumber"/>
      </w:pPr>
      <w:r>
        <w:t>Assess whether powerful persons possess informal immunity.</w:t>
      </w:r>
    </w:p>
    <w:p>
      <w:pPr>
        <w:pStyle w:val="ListNumber"/>
      </w:pPr>
      <w:r>
        <w:t>Adopt corrective actions and track completion.</w:t>
      </w:r>
    </w:p>
    <w:p>
      <w:pPr>
        <w:pStyle w:val="Heading1"/>
      </w:pPr>
      <w:r>
        <w:t>Article XVII — Forms and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Form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ID</w:t>
            </w:r>
          </w:p>
        </w:tc>
      </w:tr>
      <w:tr>
        <w:tc>
          <w:tcPr>
            <w:tcW w:type="dxa" w:w="5040"/>
          </w:tcPr>
          <w:p>
            <w:r>
              <w:t>Incident report</w:t>
            </w:r>
          </w:p>
        </w:tc>
        <w:tc>
          <w:tcPr>
            <w:tcW w:type="dxa" w:w="5040"/>
          </w:tcPr>
          <w:p>
            <w:r>
              <w:t>SAFE-IR-001</w:t>
            </w:r>
          </w:p>
        </w:tc>
      </w:tr>
      <w:tr>
        <w:tc>
          <w:tcPr>
            <w:tcW w:type="dxa" w:w="5040"/>
          </w:tcPr>
          <w:p>
            <w:r>
              <w:t>Immediate-risk triage</w:t>
            </w:r>
          </w:p>
        </w:tc>
        <w:tc>
          <w:tcPr>
            <w:tcW w:type="dxa" w:w="5040"/>
          </w:tcPr>
          <w:p>
            <w:r>
              <w:t>SAFE-TRI-001</w:t>
            </w:r>
          </w:p>
        </w:tc>
      </w:tr>
      <w:tr>
        <w:tc>
          <w:tcPr>
            <w:tcW w:type="dxa" w:w="5040"/>
          </w:tcPr>
          <w:p>
            <w:r>
              <w:t>Protective action order</w:t>
            </w:r>
          </w:p>
        </w:tc>
        <w:tc>
          <w:tcPr>
            <w:tcW w:type="dxa" w:w="5040"/>
          </w:tcPr>
          <w:p>
            <w:r>
              <w:t>SAFE-PA-001</w:t>
            </w:r>
          </w:p>
        </w:tc>
      </w:tr>
      <w:tr>
        <w:tc>
          <w:tcPr>
            <w:tcW w:type="dxa" w:w="5040"/>
          </w:tcPr>
          <w:p>
            <w:r>
              <w:t>Investigation authorization</w:t>
            </w:r>
          </w:p>
        </w:tc>
        <w:tc>
          <w:tcPr>
            <w:tcW w:type="dxa" w:w="5040"/>
          </w:tcPr>
          <w:p>
            <w:r>
              <w:t>SAFE-INV-001</w:t>
            </w:r>
          </w:p>
        </w:tc>
      </w:tr>
      <w:tr>
        <w:tc>
          <w:tcPr>
            <w:tcW w:type="dxa" w:w="5040"/>
          </w:tcPr>
          <w:p>
            <w:r>
              <w:t>Evidence preservation notice</w:t>
            </w:r>
          </w:p>
        </w:tc>
        <w:tc>
          <w:tcPr>
            <w:tcW w:type="dxa" w:w="5040"/>
          </w:tcPr>
          <w:p>
            <w:r>
              <w:t>SAFE-EP-001</w:t>
            </w:r>
          </w:p>
        </w:tc>
      </w:tr>
      <w:tr>
        <w:tc>
          <w:tcPr>
            <w:tcW w:type="dxa" w:w="5040"/>
          </w:tcPr>
          <w:p>
            <w:r>
              <w:t>Anti-retaliation notice</w:t>
            </w:r>
          </w:p>
        </w:tc>
        <w:tc>
          <w:tcPr>
            <w:tcW w:type="dxa" w:w="5040"/>
          </w:tcPr>
          <w:p>
            <w:r>
              <w:t>SAFE-AR-001</w:t>
            </w:r>
          </w:p>
        </w:tc>
      </w:tr>
      <w:tr>
        <w:tc>
          <w:tcPr>
            <w:tcW w:type="dxa" w:w="5040"/>
          </w:tcPr>
          <w:p>
            <w:r>
              <w:t>Annual safeguarding review</w:t>
            </w:r>
          </w:p>
        </w:tc>
        <w:tc>
          <w:tcPr>
            <w:tcW w:type="dxa" w:w="5040"/>
          </w:tcPr>
          <w:p>
            <w:r>
              <w:t>SAFE-REV-001</w:t>
            </w:r>
          </w:p>
        </w:tc>
      </w:tr>
    </w:tbl>
    <w:p>
      <w:pPr>
        <w:pStyle w:val="Heading1"/>
      </w:pPr>
      <w:r>
        <w:t>Adoption and Certification</w:t>
      </w:r>
    </w:p>
    <w:p>
      <w:r>
        <w:t>This instrument becomes effective only upon valid adoption by the competent authority under the governing corpus. A draft, training copy, or operational template does not acquire binding force merely because it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Entry</w:t>
            </w:r>
          </w:p>
        </w:tc>
      </w:tr>
      <w:tr>
        <w:tc>
          <w:tcPr>
            <w:tcW w:type="dxa" w:w="5040"/>
          </w:tcPr>
          <w:p>
            <w:r>
              <w:t>Organization</w:t>
            </w:r>
          </w:p>
        </w:tc>
        <w:tc>
          <w:tcPr>
            <w:tcW w:type="dxa" w:w="5040"/>
          </w:tcPr>
          <w:p>
            <w:r>
              <w:t>[[CORP_NAME]]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0.1.0</w:t>
            </w:r>
          </w:p>
        </w:tc>
      </w:tr>
      <w:tr>
        <w:tc>
          <w:tcPr>
            <w:tcW w:type="dxa" w:w="5040"/>
          </w:tcPr>
          <w:p>
            <w:r>
              <w:t>Date of Adoption</w:t>
            </w:r>
          </w:p>
        </w:tc>
        <w:tc>
          <w:tcPr>
            <w:tcW w:type="dxa" w:w="5040"/>
          </w:tcPr>
          <w:p>
            <w:r>
              <w:t>[[DATE]]</w:t>
            </w:r>
          </w:p>
        </w:tc>
      </w:tr>
      <w:tr>
        <w:tc>
          <w:tcPr>
            <w:tcW w:type="dxa" w:w="5040"/>
          </w:tcPr>
          <w:p>
            <w:r>
              <w:t>Adopting Authority</w:t>
            </w:r>
          </w:p>
        </w:tc>
        <w:tc>
          <w:tcPr>
            <w:tcW w:type="dxa" w:w="5040"/>
          </w:tcPr>
          <w:p>
            <w:r>
              <w:t>[[ADOPTING_AUTHORITY]]</w:t>
            </w:r>
          </w:p>
        </w:tc>
      </w:tr>
      <w:tr>
        <w:tc>
          <w:tcPr>
            <w:tcW w:type="dxa" w:w="5040"/>
          </w:tcPr>
          <w:p>
            <w:r>
              <w:t>Ecclesiastical Approval</w:t>
            </w:r>
          </w:p>
        </w:tc>
        <w:tc>
          <w:tcPr>
            <w:tcW w:type="dxa" w:w="5040"/>
          </w:tcPr>
          <w:p>
            <w:r>
              <w:t>[[ECCLESIASTICAL_APPROVAL_RECORD]]</w:t>
            </w:r>
          </w:p>
        </w:tc>
      </w:tr>
      <w:tr>
        <w:tc>
          <w:tcPr>
            <w:tcW w:type="dxa" w:w="5040"/>
          </w:tcPr>
          <w:p>
            <w:r>
              <w:t>Civil Board Action, if required</w:t>
            </w:r>
          </w:p>
        </w:tc>
        <w:tc>
          <w:tcPr>
            <w:tcW w:type="dxa" w:w="5040"/>
          </w:tcPr>
          <w:p>
            <w:r>
              <w:t>[[BOARD_ACTION / N/A]]</w:t>
            </w:r>
          </w:p>
        </w:tc>
      </w:tr>
    </w:tbl>
    <w:p>
      <w:r>
        <w:t>Certification</w:t>
      </w:r>
    </w:p>
    <w:p>
      <w:r>
        <w:t>I certify that the foregoing instrument was duly adopted or approved as stated above and remains in force except as subsequently amended through valid process.</w:t>
      </w:r>
    </w:p>
    <w:p>
      <w:r>
        <w:t>________________________________________</w:t>
      </w:r>
    </w:p>
    <w:p>
      <w:r>
        <w:t>[[NAME / OFFICE]]</w:t>
      </w:r>
    </w:p>
    <w:p>
      <w:r>
        <w:t>[[DATE]]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SAFE-001 | [[CORP_NAME]]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