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Leadership Succession Code</w:t>
      </w:r>
    </w:p>
    <w:p>
      <w:pPr>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SUCC-001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Ecclesiastical Leadership and Succession Code</w:t>
            </w:r>
          </w:p>
        </w:tc>
      </w:tr>
      <w:tr>
        <w:tc>
          <w:tcPr>
            <w:tcW w:type="dxa" w:w="5040"/>
            <w:shd w:fill="E5E7EB"/>
          </w:tcPr>
          <w:p>
            <w:r>
              <w:t>Parent</w:t>
            </w:r>
          </w:p>
        </w:tc>
        <w:tc>
          <w:tcPr>
            <w:tcW w:type="dxa" w:w="5040"/>
          </w:tcPr>
          <w:p>
            <w:r>
              <w:t>ECC-CON-001 — Ecclesiastical Constitution</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Rules for succession, vacancy, incapacity, interim authority, selection, transition, removal interfaces, emergency continuity, and transfer of institutional custody for senior religious offices.</w:t>
            </w:r>
          </w:p>
        </w:tc>
      </w:tr>
    </w:tbl>
    <w:p>
      <w:pPr>
        <w:pStyle w:val="SmallNote"/>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r>
        <w:br w:type="page"/>
      </w:r>
    </w:p>
    <w:p>
      <w:pPr>
        <w:pStyle w:val="Heading1"/>
      </w:pPr>
      <w:r>
        <w:t>Preamble</w:t>
      </w:r>
    </w:p>
    <w:p>
      <w:r>
        <w:t>Religious institutions become most vulnerable when authority changes hands. Succession therefore must be governed before a vacancy, not improvised after one. This Code exists to preserve mission, prevent dynastic capture, distinguish spiritual office from personal ownership, and permit orderly transfer even when a leader dies, resigns, becomes incapacitated, is removed, or cannot continue.</w:t>
      </w:r>
    </w:p>
    <w:p>
      <w:pPr>
        <w:pStyle w:val="ListBullet"/>
      </w:pPr>
      <w:r>
        <w:t>No office is hereditary unless an Entrenched constitutional provision expressly says otherwise.</w:t>
      </w:r>
    </w:p>
    <w:p>
      <w:pPr>
        <w:pStyle w:val="ListBullet"/>
      </w:pPr>
      <w:r>
        <w:t>No person owns an ecclesiastical office.</w:t>
      </w:r>
    </w:p>
    <w:p>
      <w:pPr>
        <w:pStyle w:val="ListBullet"/>
      </w:pPr>
      <w:r>
        <w:t>No outgoing leader may condition succession on personal loyalty.</w:t>
      </w:r>
    </w:p>
    <w:p>
      <w:pPr>
        <w:pStyle w:val="ListBullet"/>
      </w:pPr>
      <w:r>
        <w:t>No interim officer may convert temporary custody into permanent entitlement.</w:t>
      </w:r>
    </w:p>
    <w:p>
      <w:pPr>
        <w:pStyle w:val="ListBullet"/>
      </w:pPr>
      <w:r>
        <w:t>Selection should preserve both continuity and genuine institutional freedom.</w:t>
      </w:r>
    </w:p>
    <w:p>
      <w:pPr>
        <w:pStyle w:val="Heading1"/>
      </w:pPr>
      <w:r>
        <w:t>Article I — Scope and Governing Principles</w:t>
      </w:r>
    </w:p>
    <w:p>
      <w:pPr>
        <w:pStyle w:val="ListBullet"/>
      </w:pPr>
      <w:r>
        <w:t>Presiding Spiritual Leader (PSL)</w:t>
      </w:r>
    </w:p>
    <w:p>
      <w:pPr>
        <w:pStyle w:val="ListBullet"/>
      </w:pPr>
      <w:r>
        <w:t>Ecclesiastical Council leadership</w:t>
      </w:r>
    </w:p>
    <w:p>
      <w:pPr>
        <w:pStyle w:val="ListBullet"/>
      </w:pPr>
      <w:r>
        <w:t>Council of Constitutional Guardians leadership</w:t>
      </w:r>
    </w:p>
    <w:p>
      <w:pPr>
        <w:pStyle w:val="ListBullet"/>
      </w:pPr>
      <w:r>
        <w:t>Ecclesiastical Accountability Council leadership</w:t>
      </w:r>
    </w:p>
    <w:p>
      <w:pPr>
        <w:pStyle w:val="ListBullet"/>
      </w:pPr>
      <w:r>
        <w:t>local and regional religious offices designated as succession-sensitive</w:t>
      </w:r>
    </w:p>
    <w:p>
      <w:pPr>
        <w:pStyle w:val="ListBullet"/>
      </w:pPr>
      <w:r>
        <w:t>credentialed offices whose continuity materially affects worship, teaching, pastoral care, or governance</w:t>
      </w:r>
    </w:p>
    <w:p>
      <w:pPr>
        <w:pStyle w:val="Heading2"/>
      </w:pPr>
      <w:r>
        <w:t>1.1 Authority</w:t>
      </w:r>
    </w:p>
    <w:p>
      <w:r>
        <w:t>This Code derives from REL-CON-001, ECC-CON-001, applicable institutional charters, DISC-001, MIN-001, JUR-001, FOUND-TRANS-001, and valid constitutional interpretations.</w:t>
      </w:r>
    </w:p>
    <w:p>
      <w:pPr>
        <w:pStyle w:val="Heading2"/>
      </w:pPr>
      <w:r>
        <w:t>1.2 Succession Classes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Class</w:t>
            </w:r>
          </w:p>
        </w:tc>
        <w:tc>
          <w:tcPr>
            <w:tcW w:type="dxa" w:w="3360"/>
            <w:shd w:fill="D9EAF7"/>
            <w:vAlign w:val="center"/>
          </w:tcPr>
          <w:p>
            <w:r>
              <w:t>Description</w:t>
            </w:r>
          </w:p>
        </w:tc>
        <w:tc>
          <w:tcPr>
            <w:tcW w:type="dxa" w:w="3360"/>
            <w:shd w:fill="D9EAF7"/>
            <w:vAlign w:val="center"/>
          </w:tcPr>
          <w:p>
            <w:r>
              <w:t>Default Mechanism</w:t>
            </w:r>
          </w:p>
        </w:tc>
      </w:tr>
      <w:tr>
        <w:tc>
          <w:tcPr>
            <w:tcW w:type="dxa" w:w="3360"/>
          </w:tcPr>
          <w:p>
            <w:r>
              <w:t>Ordinary</w:t>
            </w:r>
          </w:p>
        </w:tc>
        <w:tc>
          <w:tcPr>
            <w:tcW w:type="dxa" w:w="3360"/>
          </w:tcPr>
          <w:p>
            <w:r>
              <w:t>Known end of term, retirement, planned resignation</w:t>
            </w:r>
          </w:p>
        </w:tc>
        <w:tc>
          <w:tcPr>
            <w:tcW w:type="dxa" w:w="3360"/>
          </w:tcPr>
          <w:p>
            <w:r>
              <w:t>Advance selection process</w:t>
            </w:r>
          </w:p>
        </w:tc>
      </w:tr>
      <w:tr>
        <w:tc>
          <w:tcPr>
            <w:tcW w:type="dxa" w:w="3360"/>
          </w:tcPr>
          <w:p>
            <w:r>
              <w:t>Unexpected</w:t>
            </w:r>
          </w:p>
        </w:tc>
        <w:tc>
          <w:tcPr>
            <w:tcW w:type="dxa" w:w="3360"/>
          </w:tcPr>
          <w:p>
            <w:r>
              <w:t>Death, sudden incapacity, immediate resignation</w:t>
            </w:r>
          </w:p>
        </w:tc>
        <w:tc>
          <w:tcPr>
            <w:tcW w:type="dxa" w:w="3360"/>
          </w:tcPr>
          <w:p>
            <w:r>
              <w:t>Interim custody followed by selection</w:t>
            </w:r>
          </w:p>
        </w:tc>
      </w:tr>
      <w:tr>
        <w:tc>
          <w:tcPr>
            <w:tcW w:type="dxa" w:w="3360"/>
          </w:tcPr>
          <w:p>
            <w:r>
              <w:t>Disciplinary</w:t>
            </w:r>
          </w:p>
        </w:tc>
        <w:tc>
          <w:tcPr>
            <w:tcW w:type="dxa" w:w="3360"/>
          </w:tcPr>
          <w:p>
            <w:r>
              <w:t>Removal, suspension, disqualification</w:t>
            </w:r>
          </w:p>
        </w:tc>
        <w:tc>
          <w:tcPr>
            <w:tcW w:type="dxa" w:w="3360"/>
          </w:tcPr>
          <w:p>
            <w:r>
              <w:t>Independent interim authority; no respondent control</w:t>
            </w:r>
          </w:p>
        </w:tc>
      </w:tr>
      <w:tr>
        <w:tc>
          <w:tcPr>
            <w:tcW w:type="dxa" w:w="3360"/>
          </w:tcPr>
          <w:p>
            <w:r>
              <w:t>Founding-era</w:t>
            </w:r>
          </w:p>
        </w:tc>
        <w:tc>
          <w:tcPr>
            <w:tcW w:type="dxa" w:w="3360"/>
          </w:tcPr>
          <w:p>
            <w:r>
              <w:t>Transition from Founder-dependent structures</w:t>
            </w:r>
          </w:p>
        </w:tc>
        <w:tc>
          <w:tcPr>
            <w:tcW w:type="dxa" w:w="3360"/>
          </w:tcPr>
          <w:p>
            <w:r>
              <w:t>FOUND-TRANS-001 plus this Code</w:t>
            </w:r>
          </w:p>
        </w:tc>
      </w:tr>
      <w:tr>
        <w:tc>
          <w:tcPr>
            <w:tcW w:type="dxa" w:w="3360"/>
          </w:tcPr>
          <w:p>
            <w:r>
              <w:t>Local</w:t>
            </w:r>
          </w:p>
        </w:tc>
        <w:tc>
          <w:tcPr>
            <w:tcW w:type="dxa" w:w="3360"/>
          </w:tcPr>
          <w:p>
            <w:r>
              <w:t>Local office vacancy</w:t>
            </w:r>
          </w:p>
        </w:tc>
        <w:tc>
          <w:tcPr>
            <w:tcW w:type="dxa" w:w="3360"/>
          </w:tcPr>
          <w:p>
            <w:r>
              <w:t>LOCAL-001 and delegated process</w:t>
            </w:r>
          </w:p>
        </w:tc>
      </w:tr>
    </w:tbl>
    <w:p>
      <w:pPr>
        <w:pStyle w:val="Heading1"/>
      </w:pPr>
      <w:r>
        <w:t>Article II — Succession Planning</w:t>
      </w:r>
    </w:p>
    <w:p>
      <w:pPr>
        <w:pStyle w:val="ListNumber"/>
      </w:pPr>
      <w:r>
        <w:t>Every succession-sensitive office shall maintain a current role description and authority map.</w:t>
      </w:r>
    </w:p>
    <w:p>
      <w:pPr>
        <w:pStyle w:val="ListNumber"/>
      </w:pPr>
      <w:r>
        <w:t>The responsible body shall identify at least one emergency continuity arrangement without designating an automatic permanent successor unless constitutionally authorized.</w:t>
      </w:r>
    </w:p>
    <w:p>
      <w:pPr>
        <w:pStyle w:val="ListNumber"/>
      </w:pPr>
      <w:r>
        <w:t>Critical records, passwords, credentials, contracts, calendars, donor or pastoral handoffs, and institutional knowledge shall not remain solely under one person.</w:t>
      </w:r>
    </w:p>
    <w:p>
      <w:pPr>
        <w:pStyle w:val="ListNumber"/>
      </w:pPr>
      <w:r>
        <w:t>Succession planning shall be reviewed at least annually for senior offices.</w:t>
      </w:r>
    </w:p>
    <w:p>
      <w:pPr>
        <w:pStyle w:val="Heading1"/>
      </w:pPr>
      <w:r>
        <w:t>Article III — Vacancy and Incapacity</w:t>
      </w:r>
    </w:p>
    <w:p>
      <w:pPr>
        <w:pStyle w:val="Heading2"/>
      </w:pPr>
      <w:r>
        <w:t>3.1 Vacancy</w:t>
      </w:r>
    </w:p>
    <w:p>
      <w:r>
        <w:t>A vacancy occurs upon death, resignation effective immediately, lawful removal, expiration without successor where the office does not hold over, permanent incapacity, or another event defined by the governing corpus.</w:t>
      </w:r>
    </w:p>
    <w:p>
      <w:pPr>
        <w:pStyle w:val="Heading2"/>
      </w:pPr>
      <w:r>
        <w:t>3.2 Temporary Incapacity</w:t>
      </w:r>
    </w:p>
    <w:p>
      <w:r>
        <w:t>Temporary incapacity shall ordinarily trigger temporary delegation rather than permanent removal. Sensitive health information shall be limited to persons who need it for governance, safety, or lawful administration.</w:t>
      </w:r>
    </w:p>
    <w:p>
      <w:pPr>
        <w:pStyle w:val="Heading2"/>
      </w:pPr>
      <w:r>
        <w:t>3.3 Determination</w:t>
      </w:r>
    </w:p>
    <w:p>
      <w:r>
        <w:t>No single person who stands to gain permanent office shall possess unilateral authority to declare the incumbent permanently incapacitated.</w:t>
      </w:r>
    </w:p>
    <w:p>
      <w:pPr>
        <w:pStyle w:val="Heading1"/>
      </w:pPr>
      <w:r>
        <w:t>Article IV — Interim Leadership</w:t>
      </w:r>
    </w:p>
    <w:p>
      <w:pPr>
        <w:pStyle w:val="ListBullet"/>
      </w:pPr>
      <w:r>
        <w:t>Interim authority is custodial, not proprietary.</w:t>
      </w:r>
    </w:p>
    <w:p>
      <w:pPr>
        <w:pStyle w:val="ListBullet"/>
      </w:pPr>
      <w:r>
        <w:t>Interim leaders shall not amend Entrenched provisions, redesign succession rules for their own benefit, or make irreversible structural changes except where genuinely necessary.</w:t>
      </w:r>
    </w:p>
    <w:p>
      <w:pPr>
        <w:pStyle w:val="ListBullet"/>
      </w:pPr>
      <w:r>
        <w:t>Material appointments by an interim leader should be temporary unless delay would materially harm the institution.</w:t>
      </w:r>
    </w:p>
    <w:p>
      <w:pPr>
        <w:pStyle w:val="ListBullet"/>
      </w:pPr>
      <w:r>
        <w:t>The scope, start date, and termination condition of interim authority shall be recorded.</w:t>
      </w:r>
    </w:p>
    <w:p>
      <w:pPr>
        <w:pStyle w:val="Heading1"/>
      </w:pPr>
      <w:r>
        <w:t>Article V — PSL Succession</w:t>
      </w:r>
    </w:p>
    <w:p>
      <w:pPr>
        <w:pStyle w:val="Heading2"/>
      </w:pPr>
      <w:r>
        <w:t>5.1 Selection Sequence</w:t>
      </w:r>
    </w:p>
    <w:p>
      <w:pPr>
        <w:pStyle w:val="ListNumber"/>
      </w:pPr>
      <w:r>
        <w:t>Declare vacancy or planned transition.</w:t>
      </w:r>
    </w:p>
    <w:p>
      <w:pPr>
        <w:pStyle w:val="ListNumber"/>
      </w:pPr>
      <w:r>
        <w:t>Constitute or confirm a qualified nominating/selection body free from disqualifying conflicts.</w:t>
      </w:r>
    </w:p>
    <w:p>
      <w:pPr>
        <w:pStyle w:val="ListNumber"/>
      </w:pPr>
      <w:r>
        <w:t>Define qualifications from governing instruments and current institutional needs.</w:t>
      </w:r>
    </w:p>
    <w:p>
      <w:pPr>
        <w:pStyle w:val="ListNumber"/>
      </w:pPr>
      <w:r>
        <w:t>Invite nominations and applications through a documented process.</w:t>
      </w:r>
    </w:p>
    <w:p>
      <w:pPr>
        <w:pStyle w:val="ListNumber"/>
      </w:pPr>
      <w:r>
        <w:t>Conduct formation, doctrine, safeguarding, character, leadership, and conflict review appropriate to the office.</w:t>
      </w:r>
    </w:p>
    <w:p>
      <w:pPr>
        <w:pStyle w:val="ListNumber"/>
      </w:pPr>
      <w:r>
        <w:t>Interview and evaluate finalists.</w:t>
      </w:r>
    </w:p>
    <w:p>
      <w:pPr>
        <w:pStyle w:val="ListNumber"/>
      </w:pPr>
      <w:r>
        <w:t>Provide meaningful EC deliberation.</w:t>
      </w:r>
    </w:p>
    <w:p>
      <w:pPr>
        <w:pStyle w:val="ListNumber"/>
      </w:pPr>
      <w:r>
        <w:t>Obtain any CMA concurrence or constitutional certification required by ECC-CON-001.</w:t>
      </w:r>
    </w:p>
    <w:p>
      <w:pPr>
        <w:pStyle w:val="ListNumber"/>
      </w:pPr>
      <w:r>
        <w:t>Complete civil employment action separately through the Civil Board when employment or compensation is involved.</w:t>
      </w:r>
    </w:p>
    <w:p>
      <w:pPr>
        <w:pStyle w:val="ListNumber"/>
      </w:pPr>
      <w:r>
        <w:t>Record the ecclesiastical installation and effective date.</w:t>
      </w:r>
    </w:p>
    <w:p>
      <w:pPr>
        <w:pStyle w:val="Heading2"/>
      </w:pPr>
      <w:r>
        <w:t>5.2 Founder Not Automatic Successor-Maker</w:t>
      </w:r>
    </w:p>
    <w:p>
      <w:r>
        <w:t>The Founder may participate during the Founding Period only to the extent expressly permitted by ECC-CON-001 and FOUND-TRANS-001. Founder preference shall not become a hereditary or perpetual appointment power.</w:t>
      </w:r>
    </w:p>
    <w:p>
      <w:pPr>
        <w:pStyle w:val="Heading1"/>
      </w:pPr>
      <w:r>
        <w:t>Article VI — Removal and Succession Separation</w:t>
      </w:r>
    </w:p>
    <w:p>
      <w:r>
        <w:t>Where a vacancy follows discipline, safeguarding action, or removal, the respondent shall not select the investigator, adjudicator, interim successor, or permanent successor. Forgiveness, reconciliation, credential restoration, and restoration to the former office are separate questions.</w:t>
      </w:r>
    </w:p>
    <w:p>
      <w:pPr>
        <w:pStyle w:val="Heading1"/>
      </w:pPr>
      <w:r>
        <w:t>Article VII — Transfer of Custody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Custody Domain</w:t>
            </w:r>
          </w:p>
        </w:tc>
        <w:tc>
          <w:tcPr>
            <w:tcW w:type="dxa" w:w="5040"/>
            <w:shd w:fill="D9EAF7"/>
            <w:vAlign w:val="center"/>
          </w:tcPr>
          <w:p>
            <w:r>
              <w:t>Required Transfer</w:t>
            </w:r>
          </w:p>
        </w:tc>
      </w:tr>
      <w:tr>
        <w:tc>
          <w:tcPr>
            <w:tcW w:type="dxa" w:w="5040"/>
          </w:tcPr>
          <w:p>
            <w:r>
              <w:t>Governance</w:t>
            </w:r>
          </w:p>
        </w:tc>
        <w:tc>
          <w:tcPr>
            <w:tcW w:type="dxa" w:w="5040"/>
          </w:tcPr>
          <w:p>
            <w:r>
              <w:t>minutes, decision registers, constitutions, pending dockets</w:t>
            </w:r>
          </w:p>
        </w:tc>
      </w:tr>
      <w:tr>
        <w:tc>
          <w:tcPr>
            <w:tcW w:type="dxa" w:w="5040"/>
          </w:tcPr>
          <w:p>
            <w:r>
              <w:t>Finance</w:t>
            </w:r>
          </w:p>
        </w:tc>
        <w:tc>
          <w:tcPr>
            <w:tcW w:type="dxa" w:w="5040"/>
          </w:tcPr>
          <w:p>
            <w:r>
              <w:t>bank access, cards, budgets, liabilities, donor restrictions</w:t>
            </w:r>
          </w:p>
        </w:tc>
      </w:tr>
      <w:tr>
        <w:tc>
          <w:tcPr>
            <w:tcW w:type="dxa" w:w="5040"/>
          </w:tcPr>
          <w:p>
            <w:r>
              <w:t>Technology</w:t>
            </w:r>
          </w:p>
        </w:tc>
        <w:tc>
          <w:tcPr>
            <w:tcW w:type="dxa" w:w="5040"/>
          </w:tcPr>
          <w:p>
            <w:r>
              <w:t>domains, email, cloud accounts, MFA, backups, repositories</w:t>
            </w:r>
          </w:p>
        </w:tc>
      </w:tr>
      <w:tr>
        <w:tc>
          <w:tcPr>
            <w:tcW w:type="dxa" w:w="5040"/>
          </w:tcPr>
          <w:p>
            <w:r>
              <w:t>Ministry</w:t>
            </w:r>
          </w:p>
        </w:tc>
        <w:tc>
          <w:tcPr>
            <w:tcW w:type="dxa" w:w="5040"/>
          </w:tcPr>
          <w:p>
            <w:r>
              <w:t>calendars, pastoral assignments, worship schedules, formation cohorts</w:t>
            </w:r>
          </w:p>
        </w:tc>
      </w:tr>
      <w:tr>
        <w:tc>
          <w:tcPr>
            <w:tcW w:type="dxa" w:w="5040"/>
          </w:tcPr>
          <w:p>
            <w:r>
              <w:t>Legal</w:t>
            </w:r>
          </w:p>
        </w:tc>
        <w:tc>
          <w:tcPr>
            <w:tcW w:type="dxa" w:w="5040"/>
          </w:tcPr>
          <w:p>
            <w:r>
              <w:t>contracts, insurance, filings, counsel contacts</w:t>
            </w:r>
          </w:p>
        </w:tc>
      </w:tr>
      <w:tr>
        <w:tc>
          <w:tcPr>
            <w:tcW w:type="dxa" w:w="5040"/>
          </w:tcPr>
          <w:p>
            <w:r>
              <w:t>Records</w:t>
            </w:r>
          </w:p>
        </w:tc>
        <w:tc>
          <w:tcPr>
            <w:tcW w:type="dxa" w:w="5040"/>
          </w:tcPr>
          <w:p>
            <w:r>
              <w:t>archives, confidential files, credential records, safeguarding records subject to access controls</w:t>
            </w:r>
          </w:p>
        </w:tc>
      </w:tr>
    </w:tbl>
    <w:p>
      <w:pPr>
        <w:pStyle w:val="Heading1"/>
      </w:pPr>
      <w:r>
        <w:t>Article VIII — Emergency Continuity</w:t>
      </w:r>
    </w:p>
    <w:p>
      <w:r>
        <w:t>Emergency continuity may preserve essential worship, safety, payroll, facilities, records, pastoral care, and legal compliance. It shall not be used as a pretext for permanent constitutional consolidation.</w:t>
      </w:r>
    </w:p>
    <w:p>
      <w:pPr>
        <w:pStyle w:val="Heading1"/>
      </w:pPr>
      <w:r>
        <w:t>Article IX — Planned Retirement and Emeritus Status</w:t>
      </w:r>
    </w:p>
    <w:p>
      <w:r>
        <w:t>A retiring leader may receive emeritus recognition, advisory status, or ceremonial honor without retaining command authority. Advisory influence shall not become informal veto power.</w:t>
      </w:r>
    </w:p>
    <w:p>
      <w:pPr>
        <w:pStyle w:val="Heading1"/>
      </w:pPr>
      <w:r>
        <w:t>Article X — Anti-Dynasty and Anti-Capture Rules</w:t>
      </w:r>
    </w:p>
    <w:p>
      <w:pPr>
        <w:pStyle w:val="ListBullet"/>
      </w:pPr>
      <w:r>
        <w:t>Family relationship neither automatically qualifies nor automatically disqualifies a candidate; heightened conflict review applies.</w:t>
      </w:r>
    </w:p>
    <w:p>
      <w:pPr>
        <w:pStyle w:val="ListBullet"/>
      </w:pPr>
      <w:r>
        <w:t>No donor may purchase succession influence.</w:t>
      </w:r>
    </w:p>
    <w:p>
      <w:pPr>
        <w:pStyle w:val="ListBullet"/>
      </w:pPr>
      <w:r>
        <w:t>No incumbent may secretly promise office in exchange for loyalty, money, silence, or political support.</w:t>
      </w:r>
    </w:p>
    <w:p>
      <w:pPr>
        <w:pStyle w:val="ListBullet"/>
      </w:pPr>
      <w:r>
        <w:t>Succession records shall disclose material conflicts and recusals.</w:t>
      </w:r>
    </w:p>
    <w:p>
      <w:pPr>
        <w:pStyle w:val="Heading1"/>
      </w:pPr>
      <w:r>
        <w:t>Article XI — Transition Review</w:t>
      </w:r>
    </w:p>
    <w:p>
      <w:r>
        <w:t>Within ninety days after a major succession, the competent governance body should conduct a transition review addressing authority transfer, unresolved commitments, security access, records, conflicts, pastoral continuity, financial continuity, and lessons learned.</w:t>
      </w:r>
    </w:p>
    <w:p>
      <w:pPr>
        <w:pStyle w:val="Heading1"/>
      </w:pPr>
      <w:r>
        <w:t>Article XII — Required Succession Records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Record</w:t>
            </w:r>
          </w:p>
        </w:tc>
        <w:tc>
          <w:tcPr>
            <w:tcW w:type="dxa" w:w="5040"/>
            <w:shd w:fill="D9EAF7"/>
            <w:vAlign w:val="center"/>
          </w:tcPr>
          <w:p>
            <w:r>
              <w:t>ID Pattern</w:t>
            </w:r>
          </w:p>
        </w:tc>
      </w:tr>
      <w:tr>
        <w:tc>
          <w:tcPr>
            <w:tcW w:type="dxa" w:w="5040"/>
          </w:tcPr>
          <w:p>
            <w:r>
              <w:t>Vacancy declaration</w:t>
            </w:r>
          </w:p>
        </w:tc>
        <w:tc>
          <w:tcPr>
            <w:tcW w:type="dxa" w:w="5040"/>
          </w:tcPr>
          <w:p>
            <w:r>
              <w:t>SUC-VAC-YYYY-NNN</w:t>
            </w:r>
          </w:p>
        </w:tc>
      </w:tr>
      <w:tr>
        <w:tc>
          <w:tcPr>
            <w:tcW w:type="dxa" w:w="5040"/>
          </w:tcPr>
          <w:p>
            <w:r>
              <w:t>Interim appointment</w:t>
            </w:r>
          </w:p>
        </w:tc>
        <w:tc>
          <w:tcPr>
            <w:tcW w:type="dxa" w:w="5040"/>
          </w:tcPr>
          <w:p>
            <w:r>
              <w:t>SUC-INT-YYYY-NNN</w:t>
            </w:r>
          </w:p>
        </w:tc>
      </w:tr>
      <w:tr>
        <w:tc>
          <w:tcPr>
            <w:tcW w:type="dxa" w:w="5040"/>
          </w:tcPr>
          <w:p>
            <w:r>
              <w:t>Selection docket</w:t>
            </w:r>
          </w:p>
        </w:tc>
        <w:tc>
          <w:tcPr>
            <w:tcW w:type="dxa" w:w="5040"/>
          </w:tcPr>
          <w:p>
            <w:r>
              <w:t>SUC-SEL-YYYY-NNN</w:t>
            </w:r>
          </w:p>
        </w:tc>
      </w:tr>
      <w:tr>
        <w:tc>
          <w:tcPr>
            <w:tcW w:type="dxa" w:w="5040"/>
          </w:tcPr>
          <w:p>
            <w:r>
              <w:t>Conflict/recusal record</w:t>
            </w:r>
          </w:p>
        </w:tc>
        <w:tc>
          <w:tcPr>
            <w:tcW w:type="dxa" w:w="5040"/>
          </w:tcPr>
          <w:p>
            <w:r>
              <w:t>SUC-COI-YYYY-NNN</w:t>
            </w:r>
          </w:p>
        </w:tc>
      </w:tr>
      <w:tr>
        <w:tc>
          <w:tcPr>
            <w:tcW w:type="dxa" w:w="5040"/>
          </w:tcPr>
          <w:p>
            <w:r>
              <w:t>Transition checklist</w:t>
            </w:r>
          </w:p>
        </w:tc>
        <w:tc>
          <w:tcPr>
            <w:tcW w:type="dxa" w:w="5040"/>
          </w:tcPr>
          <w:p>
            <w:r>
              <w:t>SUC-TRN-YYYY-NNN</w:t>
            </w:r>
          </w:p>
        </w:tc>
      </w:tr>
      <w:tr>
        <w:tc>
          <w:tcPr>
            <w:tcW w:type="dxa" w:w="5040"/>
          </w:tcPr>
          <w:p>
            <w:r>
              <w:t>Installation record</w:t>
            </w:r>
          </w:p>
        </w:tc>
        <w:tc>
          <w:tcPr>
            <w:tcW w:type="dxa" w:w="5040"/>
          </w:tcPr>
          <w:p>
            <w:r>
              <w:t>SUC-INS-YYYY-NNN</w:t>
            </w:r>
          </w:p>
        </w:tc>
      </w:tr>
    </w:tbl>
    <w:p>
      <w:pPr>
        <w:pStyle w:val="Heading1"/>
      </w:pPr>
      <w:r>
        <w:t>Adoption and Certification</w:t>
      </w:r>
    </w:p>
    <w:p>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r>
        <w:t>Certification</w:t>
      </w:r>
    </w:p>
    <w:p>
      <w:r>
        <w:t>I certify that the foregoing instrument was duly adopted or approved as stated above and remains in force except as subsequently amended through valid process.</w:t>
      </w:r>
    </w:p>
    <w:p>
      <w:r>
        <w:t>________________________________________</w:t>
      </w:r>
    </w:p>
    <w:p>
      <w:r>
        <w:t>[[NAME / OFFICE]]</w:t>
      </w:r>
    </w:p>
    <w:p>
      <w:r>
        <w:t>[[DATE]]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SUCC-001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