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Foundational Statement of Beliefs</w:t>
      </w:r>
    </w:p>
    <w:p>
      <w:pPr>
        <w:jc w:val="center"/>
      </w:pPr>
      <w:r>
        <w:rPr>
          <w:i/>
          <w:color w:val="5B6573"/>
          <w:sz w:val="24"/>
        </w:rPr>
        <w:t>Provisional foundational commitments for an evidence-conscious religious community</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Document ID</w:t>
            </w:r>
          </w:p>
        </w:tc>
        <w:tc>
          <w:tcPr>
            <w:tcW w:type="dxa" w:w="5083"/>
          </w:tcPr>
          <w:p>
            <w:r>
              <w:t>CH-007</w:t>
            </w:r>
          </w:p>
        </w:tc>
      </w:tr>
      <w:tr>
        <w:tc>
          <w:tcPr>
            <w:tcW w:type="dxa" w:w="5083"/>
            <w:shd w:fill="D9EAF7"/>
          </w:tcPr>
          <w:p>
            <w:r>
              <w:rPr>
                <w:b/>
              </w:rPr>
              <w:t>Version</w:t>
            </w:r>
          </w:p>
        </w:tc>
        <w:tc>
          <w:tcPr>
            <w:tcW w:type="dxa" w:w="5083"/>
          </w:tcPr>
          <w:p>
            <w:r>
              <w:t>0.1.0</w:t>
            </w:r>
          </w:p>
        </w:tc>
      </w:tr>
      <w:tr>
        <w:tc>
          <w:tcPr>
            <w:tcW w:type="dxa" w:w="5083"/>
            <w:shd w:fill="D9EAF7"/>
          </w:tcPr>
          <w:p>
            <w:r>
              <w:rPr>
                <w:b/>
              </w:rPr>
              <w:t>Status</w:t>
            </w:r>
          </w:p>
        </w:tc>
        <w:tc>
          <w:tcPr>
            <w:tcW w:type="dxa" w:w="5083"/>
          </w:tcPr>
          <w:p>
            <w:r>
              <w:t>Provisional Working Draft</w:t>
            </w:r>
          </w:p>
        </w:tc>
      </w:tr>
      <w:tr>
        <w:tc>
          <w:tcPr>
            <w:tcW w:type="dxa" w:w="5083"/>
            <w:shd w:fill="D9EAF7"/>
          </w:tcPr>
          <w:p>
            <w:r>
              <w:rPr>
                <w:b/>
              </w:rPr>
              <w:t>Classification</w:t>
            </w:r>
          </w:p>
        </w:tc>
        <w:tc>
          <w:tcPr>
            <w:tcW w:type="dxa" w:w="5083"/>
          </w:tcPr>
          <w:p>
            <w:r>
              <w:t>Religious Governing Instrument</w:t>
            </w:r>
          </w:p>
        </w:tc>
      </w:tr>
      <w:tr>
        <w:tc>
          <w:tcPr>
            <w:tcW w:type="dxa" w:w="5083"/>
            <w:shd w:fill="D9EAF7"/>
          </w:tcPr>
          <w:p>
            <w:r>
              <w:rPr>
                <w:b/>
              </w:rPr>
              <w:t>Organization</w:t>
            </w:r>
          </w:p>
        </w:tc>
        <w:tc>
          <w:tcPr>
            <w:tcW w:type="dxa" w:w="5083"/>
          </w:tcPr>
          <w:p>
            <w:r>
              <w:t>[[CORP_NAME]]</w:t>
            </w:r>
          </w:p>
        </w:tc>
      </w:tr>
      <w:tr>
        <w:tc>
          <w:tcPr>
            <w:tcW w:type="dxa" w:w="5083"/>
            <w:shd w:fill="D9EAF7"/>
          </w:tcPr>
          <w:p>
            <w:r>
              <w:rPr>
                <w:b/>
              </w:rPr>
              <w:t>Adoption Date</w:t>
            </w:r>
          </w:p>
        </w:tc>
        <w:tc>
          <w:tcPr>
            <w:tcW w:type="dxa" w:w="5083"/>
          </w:tcPr>
          <w:p>
            <w:r>
              <w:t>[[DATE]]</w:t>
            </w:r>
          </w:p>
        </w:tc>
      </w:tr>
    </w:tbl>
    <w:p/>
    <w:p>
      <w:pPr>
        <w:pStyle w:val="SmallNote"/>
      </w:pPr>
      <w:r>
        <w:rPr>
          <w:b/>
        </w:rPr>
        <w:t xml:space="preserve">Drafting note: </w:t>
      </w:r>
      <w:r>
        <w:t>Bracketed fields identify facts or decisions that must be verified before adoption. Provisional religious language is intentionally distinguished from binding doctrine.</w:t>
      </w:r>
    </w:p>
    <w:p>
      <w:r>
        <w:br w:type="page"/>
      </w:r>
    </w:p>
    <w:p>
      <w:pPr>
        <w:pStyle w:val="Heading1"/>
      </w:pPr>
      <w:r>
        <w:t>Preamble</w:t>
      </w:r>
    </w:p>
    <w:p>
      <w:r>
        <w:t>This Statement identifies the community’s present foundational religious commitments while preserving a disciplined distinction among encounter, evidence, interpretation, doctrine, symbol, and unresolved question. It is designed for a tradition that takes seriously the global human record of claimed contact with transcendent reality without pretending that historical comparison alone settles every theological question.</w:t>
      </w:r>
    </w:p>
    <w:p>
      <w:pPr>
        <w:pStyle w:val="Principle"/>
      </w:pPr>
      <w:r>
        <w:t>We shall not call uncertainty certainty, interpretation revelation, charisma authority, or institutional preference divine command.</w:t>
      </w:r>
    </w:p>
    <w:p>
      <w:pPr>
        <w:pStyle w:val="Heading1"/>
      </w:pPr>
      <w:r>
        <w:t>Article I — Epistemic Commitments</w:t>
      </w:r>
    </w:p>
    <w:p>
      <w:pPr>
        <w:pStyle w:val="Heading2"/>
      </w:pPr>
      <w:r>
        <w:t>1.1 Reality and Truth</w:t>
      </w:r>
    </w:p>
    <w:p>
      <w:r>
        <w:t>Reality is not created by institutional decree. Religious teaching should seek truth rather than merely preserve prestige, conformity, or inherited formulations.</w:t>
      </w:r>
    </w:p>
    <w:p>
      <w:pPr>
        <w:pStyle w:val="Heading2"/>
      </w:pPr>
      <w:r>
        <w:t>1.2 Human Access Is Limited</w:t>
      </w:r>
    </w:p>
    <w:p>
      <w:r>
        <w:t>Human beings encounter reality through finite perception, language, culture, memory, tradition, reason, embodiment, and community. Every claimed revelation or transcendent encounter therefore reaches later hearers through layers of interpretation and transmission.</w:t>
      </w:r>
    </w:p>
    <w:p>
      <w:pPr>
        <w:pStyle w:val="Heading2"/>
      </w:pPr>
      <w:r>
        <w:t>1.3 Encounter and Interpretation</w:t>
      </w:r>
    </w:p>
    <w:p>
      <w:r>
        <w:t>The community distinguishes a claimed encounter itself from the later explanation of that encounter. A visionary event, prophetic experience, mystical state, dream, audition, divinatory sign, illumination, or contemplative realization may be historically significant without every later interpretation being equally secure.</w:t>
      </w:r>
    </w:p>
    <w:p>
      <w:pPr>
        <w:pStyle w:val="Heading2"/>
      </w:pPr>
      <w:r>
        <w:t>1.4 Evidence and Humility</w:t>
      </w:r>
    </w:p>
    <w:p>
      <w:r>
        <w:t>Historical proximity, independence of witnesses, textual transmission, material evidence, comparative context, internal coherence, moral consequence, and alternative explanations should be considered openly. Uncertainty shall be stated rather than concealed.</w:t>
      </w:r>
    </w:p>
    <w:p>
      <w:pPr>
        <w:pStyle w:val="Heading1"/>
      </w:pPr>
      <w:r>
        <w:t>Article II — Transcendent Reality</w:t>
      </w:r>
    </w:p>
    <w:p>
      <w:r>
        <w:t>The community affirms that reality may exceed the immediately observable material order and remains open to the possibility that human beings have encountered, perceived, participated in, or interpreted dimensions of reality commonly described as divine, sacred, transcendent, ultimate, spiritual, or numinous.</w:t>
      </w:r>
    </w:p>
    <w:p>
      <w:r>
        <w:t>The precise metaphysical nature, unity, personality, agency, names, and modes of manifestation of transcendent reality remain subjects for disciplined theological development unless and until formally adopted as doctrine.</w:t>
      </w:r>
    </w:p>
    <w:p>
      <w:pPr>
        <w:pStyle w:val="Heading1"/>
      </w:pPr>
      <w:r>
        <w:t>Article III — Revelation, Prophecy, and Religious Experience</w:t>
      </w:r>
    </w:p>
    <w:p>
      <w:pPr>
        <w:pStyle w:val="ListBullet"/>
      </w:pPr>
      <w:r>
        <w:t>Claims of revelation or transcendent contact occur across many cultures and historical periods.</w:t>
      </w:r>
    </w:p>
    <w:p>
      <w:pPr>
        <w:pStyle w:val="ListBullet"/>
      </w:pPr>
      <w:r>
        <w:t>No claim becomes binding solely because a claimant reports certainty, charisma, supernatural authority, visions, voices, dreams, miracles, lineage, office, or popular following.</w:t>
      </w:r>
    </w:p>
    <w:p>
      <w:pPr>
        <w:pStyle w:val="ListBullet"/>
      </w:pPr>
      <w:r>
        <w:t>Claims should be evaluated in relation to evidence, context, coherence, moral fruit, competing explanations, and the community’s duly adopted standards.</w:t>
      </w:r>
    </w:p>
    <w:p>
      <w:pPr>
        <w:pStyle w:val="ListBullet"/>
      </w:pPr>
      <w:r>
        <w:t>Private religious experience may guide the experiencer without automatically binding the community.</w:t>
      </w:r>
    </w:p>
    <w:p>
      <w:pPr>
        <w:pStyle w:val="ListBullet"/>
      </w:pPr>
      <w:r>
        <w:t>No living leader may convert an unreviewed private revelation into compulsory doctrine or obedience.</w:t>
      </w:r>
    </w:p>
    <w:p>
      <w:pPr>
        <w:pStyle w:val="Heading1"/>
      </w:pPr>
      <w:r>
        <w:t>Article IV — Human Dignity and Conscience</w:t>
      </w:r>
    </w:p>
    <w:p>
      <w:r>
        <w:t>Every person possesses intrinsic dignity and moral worth independent of office, wealth, status, membership, doctrinal agreement, sex, age, nationality, ethnicity, disability, education, or proximity to leadership.</w:t>
      </w:r>
    </w:p>
    <w:p>
      <w:pPr>
        <w:pStyle w:val="ListBullet"/>
      </w:pPr>
      <w:r>
        <w:t>Membership and participation must be voluntary.</w:t>
      </w:r>
    </w:p>
    <w:p>
      <w:pPr>
        <w:pStyle w:val="ListBullet"/>
      </w:pPr>
      <w:r>
        <w:t>A person may question, disagree, seek outside counsel, associate with nonmembers, or leave the community without harassment, shunning mandates, threats of institutional retaliation, or confiscation of ordinary civil relationships.</w:t>
      </w:r>
    </w:p>
    <w:p>
      <w:pPr>
        <w:pStyle w:val="ListBullet"/>
      </w:pPr>
      <w:r>
        <w:t>Spiritual authority may not be used to demand sexual access, uncompensated personal service, surrender of property, secrecy regarding abuse, or unlawful conduct.</w:t>
      </w:r>
    </w:p>
    <w:p>
      <w:pPr>
        <w:pStyle w:val="ListBullet"/>
      </w:pPr>
      <w:r>
        <w:t>No person is required to treat a human leader as infallible, omniscient, or uniquely immune from correction.</w:t>
      </w:r>
    </w:p>
    <w:p>
      <w:pPr>
        <w:pStyle w:val="Heading1"/>
      </w:pPr>
      <w:r>
        <w:t>Article V — Reason, Scholarship, and Science</w:t>
      </w:r>
    </w:p>
    <w:p>
      <w:r>
        <w:t>Reason, historical inquiry, textual criticism, archaeology, anthropology, psychology, neuroscience, natural science, and other disciplined forms of inquiry are not enemies of religious truth. Their findings may correct mistaken interpretations and deepen understanding.</w:t>
      </w:r>
    </w:p>
    <w:p>
      <w:r>
        <w:t>The community shall not require members to deny well-supported empirical findings merely to preserve an avoidable interpretation of religious language.</w:t>
      </w:r>
    </w:p>
    <w:p>
      <w:pPr>
        <w:pStyle w:val="Heading1"/>
      </w:pPr>
      <w:r>
        <w:t>Article VI — Sacred Texts and Traditions</w:t>
      </w:r>
    </w:p>
    <w:p>
      <w:r>
        <w:t>Texts and traditions may carry profound religious authority, historical memory, wisdom, ritual identity, and testimony to claimed encounters with transcendent reality. Their status, scope, interpretation, and relative authority must be stated explicitly rather than assumed.</w:t>
      </w:r>
    </w:p>
    <w:p>
      <w:r>
        <w:t>Historical texts shall be read with attention to language, genre, redaction, transmission, social setting, and the distinction between what a source reports and what a later community concludes from it.</w:t>
      </w:r>
    </w:p>
    <w:p>
      <w:pPr>
        <w:pStyle w:val="Heading1"/>
      </w:pPr>
      <w:r>
        <w:t>Article VII — Ethics</w:t>
      </w:r>
    </w:p>
    <w:p>
      <w:pPr>
        <w:pStyle w:val="ListBullet"/>
      </w:pPr>
      <w:r>
        <w:t>Truthfulness, justice, compassion, mercy, courage, humility, fidelity, hospitality, and protection of the vulnerable are core ethical commitments.</w:t>
      </w:r>
    </w:p>
    <w:p>
      <w:pPr>
        <w:pStyle w:val="ListBullet"/>
      </w:pPr>
      <w:r>
        <w:t>Ends do not justify deception, coercion, exploitation, abuse, financial impropriety, or concealment of wrongdoing.</w:t>
      </w:r>
    </w:p>
    <w:p>
      <w:pPr>
        <w:pStyle w:val="ListBullet"/>
      </w:pPr>
      <w:r>
        <w:t>Forgiveness does not erase accountability, evidence, restitution, safeguarding, or consequences for misuse of authority.</w:t>
      </w:r>
    </w:p>
    <w:p>
      <w:pPr>
        <w:pStyle w:val="ListBullet"/>
      </w:pPr>
      <w:r>
        <w:t>Leadership increases responsibility; it does not reduce accountability.</w:t>
      </w:r>
    </w:p>
    <w:p>
      <w:pPr>
        <w:pStyle w:val="Heading1"/>
      </w:pPr>
      <w:r>
        <w:t>Article VIII — Community and Worship</w:t>
      </w:r>
    </w:p>
    <w:p>
      <w:r>
        <w:t>Religious life is both personal and communal. The community gathers for worship, contemplation, study, prayer, teaching, ethical formation, mutual care, service, rites, and disciplined inquiry into the sacred.</w:t>
      </w:r>
    </w:p>
    <w:p>
      <w:r>
        <w:t>No single aesthetic form, culture, language, or inherited denominational template is presumed to be universally required. Worship forms should express the community’s actual religious convictions and remain intelligible to participants.</w:t>
      </w:r>
    </w:p>
    <w:p>
      <w:pPr>
        <w:pStyle w:val="Heading1"/>
      </w:pPr>
      <w:r>
        <w:t>Article IX — Authority and Governance</w:t>
      </w:r>
    </w:p>
    <w:p>
      <w:pPr>
        <w:pStyle w:val="ListBullet"/>
      </w:pPr>
      <w:r>
        <w:t>Religious authority is entrusted, bounded, reviewable, and accountable.</w:t>
      </w:r>
    </w:p>
    <w:p>
      <w:pPr>
        <w:pStyle w:val="ListBullet"/>
      </w:pPr>
      <w:r>
        <w:t>No founder owns the religious community or its charitable assets.</w:t>
      </w:r>
    </w:p>
    <w:p>
      <w:pPr>
        <w:pStyle w:val="ListBullet"/>
      </w:pPr>
      <w:r>
        <w:t>No donor purchases doctrine, office, ordination, preferential discipline, or institutional control through gifts.</w:t>
      </w:r>
    </w:p>
    <w:p>
      <w:pPr>
        <w:pStyle w:val="ListBullet"/>
      </w:pPr>
      <w:r>
        <w:t>No minister is above safeguarding, discipline, financial controls, or lawful reporting duties.</w:t>
      </w:r>
    </w:p>
    <w:p>
      <w:pPr>
        <w:pStyle w:val="ListBullet"/>
      </w:pPr>
      <w:r>
        <w:t>Doctrinal development requires the procedures established in the governing corpus.</w:t>
      </w:r>
    </w:p>
    <w:p>
      <w:pPr>
        <w:pStyle w:val="Heading1"/>
      </w:pPr>
      <w:r>
        <w:t>Article X — Religious Plurality and Discernment</w:t>
      </w:r>
    </w:p>
    <w:p>
      <w:r>
        <w:t>The existence of multiple religious traditions is treated as an important historical fact requiring study rather than a problem to be hidden. Similarities may indicate shared human structures, diffusion, recurring psychological patterns, common access to transcendent reality, or other explanations; differences may reflect culture, interpretation, divergent experiences, or incompatible claims. The community shall investigate these possibilities without deciding them in advance.</w:t>
      </w:r>
    </w:p>
    <w:p>
      <w:pPr>
        <w:pStyle w:val="Heading1"/>
      </w:pPr>
      <w:r>
        <w:t>Article XI — Provisional and Reserved Questions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Question</w:t>
            </w:r>
          </w:p>
        </w:tc>
        <w:tc>
          <w:tcPr>
            <w:tcW w:type="dxa" w:w="5083"/>
            <w:shd w:fill="1F4E79"/>
            <w:vAlign w:val="center"/>
          </w:tcPr>
          <w:p>
            <w:r>
              <w:rPr>
                <w:b/>
                <w:color w:val="FFFFFF"/>
              </w:rPr>
              <w:t>Current Constitutional Status</w:t>
            </w:r>
          </w:p>
        </w:tc>
      </w:tr>
      <w:tr>
        <w:trPr>
          <w:cantSplit w:val="true"/>
        </w:trPr>
        <w:tc>
          <w:tcPr>
            <w:tcW w:type="dxa" w:w="5083"/>
          </w:tcPr>
          <w:p>
            <w:r>
              <w:t>The exact metaphysical nature of God / ultimate reality</w:t>
            </w:r>
          </w:p>
        </w:tc>
        <w:tc>
          <w:tcPr>
            <w:tcW w:type="dxa" w:w="5083"/>
          </w:tcPr>
          <w:p>
            <w:r>
              <w:t>Reserved for formal doctrinal development</w:t>
            </w:r>
          </w:p>
        </w:tc>
      </w:tr>
      <w:tr>
        <w:trPr>
          <w:cantSplit w:val="true"/>
        </w:trPr>
        <w:tc>
          <w:tcPr>
            <w:tcW w:type="dxa" w:w="5083"/>
          </w:tcPr>
          <w:p>
            <w:r>
              <w:t>Whether transcendent agency is strictly personal, transpersonal, plural, unified, or otherwise described</w:t>
            </w:r>
          </w:p>
        </w:tc>
        <w:tc>
          <w:tcPr>
            <w:tcW w:type="dxa" w:w="5083"/>
          </w:tcPr>
          <w:p>
            <w:r>
              <w:t>Reserved</w:t>
            </w:r>
          </w:p>
        </w:tc>
      </w:tr>
      <w:tr>
        <w:trPr>
          <w:cantSplit w:val="true"/>
        </w:trPr>
        <w:tc>
          <w:tcPr>
            <w:tcW w:type="dxa" w:w="5083"/>
          </w:tcPr>
          <w:p>
            <w:r>
              <w:t>Canon or hierarchy of sacred texts</w:t>
            </w:r>
          </w:p>
        </w:tc>
        <w:tc>
          <w:tcPr>
            <w:tcW w:type="dxa" w:w="5083"/>
          </w:tcPr>
          <w:p>
            <w:r>
              <w:t>Reserved pending source framework</w:t>
            </w:r>
          </w:p>
        </w:tc>
      </w:tr>
      <w:tr>
        <w:trPr>
          <w:cantSplit w:val="true"/>
        </w:trPr>
        <w:tc>
          <w:tcPr>
            <w:tcW w:type="dxa" w:w="5083"/>
          </w:tcPr>
          <w:p>
            <w:r>
              <w:t>Status of specific prophets, sages, founders, or revelators</w:t>
            </w:r>
          </w:p>
        </w:tc>
        <w:tc>
          <w:tcPr>
            <w:tcW w:type="dxa" w:w="5083"/>
          </w:tcPr>
          <w:p>
            <w:r>
              <w:t>Reserved for evidence-based doctrinal review</w:t>
            </w:r>
          </w:p>
        </w:tc>
      </w:tr>
      <w:tr>
        <w:trPr>
          <w:cantSplit w:val="true"/>
        </w:trPr>
        <w:tc>
          <w:tcPr>
            <w:tcW w:type="dxa" w:w="5083"/>
          </w:tcPr>
          <w:p>
            <w:r>
              <w:t>Cosmology, afterlife, salvation/liberation, eschatology</w:t>
            </w:r>
          </w:p>
        </w:tc>
        <w:tc>
          <w:tcPr>
            <w:tcW w:type="dxa" w:w="5083"/>
          </w:tcPr>
          <w:p>
            <w:r>
              <w:t>Reserved unless separately adopted</w:t>
            </w:r>
          </w:p>
        </w:tc>
      </w:tr>
      <w:tr>
        <w:trPr>
          <w:cantSplit w:val="true"/>
        </w:trPr>
        <w:tc>
          <w:tcPr>
            <w:tcW w:type="dxa" w:w="5083"/>
          </w:tcPr>
          <w:p>
            <w:r>
              <w:t>Sacramental ontology of rites</w:t>
            </w:r>
          </w:p>
        </w:tc>
        <w:tc>
          <w:tcPr>
            <w:tcW w:type="dxa" w:w="5083"/>
          </w:tcPr>
          <w:p>
            <w:r>
              <w:t>Reserved</w:t>
            </w:r>
          </w:p>
        </w:tc>
      </w:tr>
      <w:tr>
        <w:trPr>
          <w:cantSplit w:val="true"/>
        </w:trPr>
        <w:tc>
          <w:tcPr>
            <w:tcW w:type="dxa" w:w="5083"/>
          </w:tcPr>
          <w:p>
            <w:r>
              <w:t>Exclusive truth claims</w:t>
            </w:r>
          </w:p>
        </w:tc>
        <w:tc>
          <w:tcPr>
            <w:tcW w:type="dxa" w:w="5083"/>
          </w:tcPr>
          <w:p>
            <w:r>
              <w:t>Not presumed; any such claim requires explicit formal adoption and evidentiary/theological justification</w:t>
            </w:r>
          </w:p>
        </w:tc>
      </w:tr>
    </w:tbl>
    <w:p>
      <w:pPr>
        <w:pStyle w:val="Heading1"/>
      </w:pPr>
      <w:r>
        <w:t>Article XII — Foundational Test</w:t>
      </w:r>
    </w:p>
    <w:p>
      <w:pPr>
        <w:pStyle w:val="Principle"/>
      </w:pPr>
      <w:r>
        <w:t>A belief should not become foundational merely because it is ancient, emotionally powerful, convenient to leadership, popular with members, or useful for tax classification. It should be adopted because the community sincerely judges it religiously true or normatively essential through valid process.</w:t>
      </w:r>
    </w:p>
    <w:p>
      <w:r>
        <w:br w:type="page"/>
      </w:r>
    </w:p>
    <w:p>
      <w:pPr>
        <w:pStyle w:val="Heading1"/>
      </w:pPr>
      <w:r>
        <w:t>Adoption and Certification</w:t>
      </w:r>
    </w:p>
    <w:p>
      <w:r>
        <w:t>This instrument becomes effective only upon valid adoption by the competent authority under the governing corpus. No draft language acquires binding religious force merely because it appears in a working copy.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Corporation / Religious Body</w:t>
            </w:r>
          </w:p>
        </w:tc>
        <w:tc>
          <w:tcPr>
            <w:tcW w:type="dxa" w:w="5083"/>
          </w:tcPr>
          <w:p>
            <w:r>
              <w:t>[[CORP_NAME]]</w:t>
            </w:r>
          </w:p>
        </w:tc>
      </w:tr>
      <w:tr>
        <w:trPr>
          <w:cantSplit w:val="true"/>
        </w:trPr>
        <w:tc>
          <w:tcPr>
            <w:tcW w:type="dxa" w:w="5083"/>
          </w:tcPr>
          <w:p>
            <w:r>
              <w:t>Date of Adoption</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[[ECCLESIASTICAL_COUNCIL_APPROVAL]]</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CH-007  |  Foundational Statement of Beliefs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7"/>
    </w:rPr>
  </w:style>
  <w:style w:type="paragraph" w:customStyle="1" w:styleId="Principle">
    <w:name w:val="Principle"/>
    <w:pPr>
      <w:spacing w:before="120" w:after="120"/>
      <w:ind w:left="360" w:right="360"/>
    </w:pPr>
    <w:rPr>
      <w:rFonts w:ascii="Aptos" w:hAnsi="Aptos"/>
      <w:b/>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