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Formal Doctrine</w:t>
      </w:r>
    </w:p>
    <w:p>
      <w:pPr>
        <w:jc w:val="center"/>
      </w:pPr>
      <w:r>
        <w:rPr>
          <w:i/>
          <w:color w:val="5B6573"/>
          <w:sz w:val="24"/>
        </w:rPr>
        <w:t>Doctrinal architecture, authority levels, and provisional doctrinal corpus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Document ID</w:t>
            </w:r>
          </w:p>
        </w:tc>
        <w:tc>
          <w:tcPr>
            <w:tcW w:type="dxa" w:w="5083"/>
          </w:tcPr>
          <w:p>
            <w:r>
              <w:t>CH-008</w:t>
            </w:r>
          </w:p>
        </w:tc>
      </w:tr>
      <w:tr>
        <w:tc>
          <w:tcPr>
            <w:tcW w:type="dxa" w:w="5083"/>
            <w:shd w:fill="D9EAF7"/>
          </w:tcPr>
          <w:p>
            <w:r>
              <w:rPr>
                <w:b/>
              </w:rPr>
              <w:t>Version</w:t>
            </w:r>
          </w:p>
        </w:tc>
        <w:tc>
          <w:tcPr>
            <w:tcW w:type="dxa" w:w="5083"/>
          </w:tcPr>
          <w:p>
            <w:r>
              <w:t>0.1.0</w:t>
            </w:r>
          </w:p>
        </w:tc>
      </w:tr>
      <w:tr>
        <w:tc>
          <w:tcPr>
            <w:tcW w:type="dxa" w:w="5083"/>
            <w:shd w:fill="D9EAF7"/>
          </w:tcPr>
          <w:p>
            <w:r>
              <w:rPr>
                <w:b/>
              </w:rPr>
              <w:t>Status</w:t>
            </w:r>
          </w:p>
        </w:tc>
        <w:tc>
          <w:tcPr>
            <w:tcW w:type="dxa" w:w="5083"/>
          </w:tcPr>
          <w:p>
            <w:r>
              <w:t>Provisional Working Draft</w:t>
            </w:r>
          </w:p>
        </w:tc>
      </w:tr>
      <w:tr>
        <w:tc>
          <w:tcPr>
            <w:tcW w:type="dxa" w:w="5083"/>
            <w:shd w:fill="D9EAF7"/>
          </w:tcPr>
          <w:p>
            <w:r>
              <w:rPr>
                <w:b/>
              </w:rPr>
              <w:t>Classification</w:t>
            </w:r>
          </w:p>
        </w:tc>
        <w:tc>
          <w:tcPr>
            <w:tcW w:type="dxa" w:w="5083"/>
          </w:tcPr>
          <w:p>
            <w:r>
              <w:t>Religious Governing Instrument</w:t>
            </w:r>
          </w:p>
        </w:tc>
      </w:tr>
      <w:tr>
        <w:tc>
          <w:tcPr>
            <w:tcW w:type="dxa" w:w="5083"/>
            <w:shd w:fill="D9EAF7"/>
          </w:tcPr>
          <w:p>
            <w:r>
              <w:rPr>
                <w:b/>
              </w:rPr>
              <w:t>Organization</w:t>
            </w:r>
          </w:p>
        </w:tc>
        <w:tc>
          <w:tcPr>
            <w:tcW w:type="dxa" w:w="5083"/>
          </w:tcPr>
          <w:p>
            <w:r>
              <w:t>[[CORP_NAME]]</w:t>
            </w:r>
          </w:p>
        </w:tc>
      </w:tr>
      <w:tr>
        <w:tc>
          <w:tcPr>
            <w:tcW w:type="dxa" w:w="5083"/>
            <w:shd w:fill="D9EAF7"/>
          </w:tcPr>
          <w:p>
            <w:r>
              <w:rPr>
                <w:b/>
              </w:rPr>
              <w:t>Adoption Date</w:t>
            </w:r>
          </w:p>
        </w:tc>
        <w:tc>
          <w:tcPr>
            <w:tcW w:type="dxa" w:w="5083"/>
          </w:tcPr>
          <w:p>
            <w:r>
              <w:t>[[DATE]]</w:t>
            </w:r>
          </w:p>
        </w:tc>
      </w:tr>
    </w:tbl>
    <w:p/>
    <w:p>
      <w:pPr>
        <w:pStyle w:val="SmallNote"/>
      </w:pPr>
      <w:r>
        <w:rPr>
          <w:b/>
        </w:rPr>
        <w:t xml:space="preserve">Drafting note: </w:t>
      </w:r>
      <w:r>
        <w:t>Bracketed fields identify facts or decisions that must be verified before adoption. Provisional religious language is intentionally distinguished from binding doctrine.</w:t>
      </w:r>
    </w:p>
    <w:p>
      <w:r>
        <w:br w:type="page"/>
      </w:r>
    </w:p>
    <w:p>
      <w:pPr>
        <w:pStyle w:val="Heading1"/>
      </w:pPr>
      <w:r>
        <w:t>Preamble</w:t>
      </w:r>
    </w:p>
    <w:p>
      <w:r>
        <w:t>Formal Doctrine translates foundational commitments into a structured body of religious teaching. Because the community is still conducting historical and comparative inquiry, this instrument distinguishes settled doctrine from provisional theological hypotheses and from questions deliberately left open.</w:t>
      </w:r>
    </w:p>
    <w:p>
      <w:pPr>
        <w:pStyle w:val="Heading1"/>
      </w:pPr>
      <w:r>
        <w:t>Article I — Doctrine Classes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true"/>
        </w:trPr>
        <w:tc>
          <w:tcPr>
            <w:tcW w:type="dxa" w:w="2541"/>
            <w:shd w:fill="1F4E79"/>
            <w:vAlign w:val="center"/>
          </w:tcPr>
          <w:p>
            <w:r>
              <w:rPr>
                <w:b/>
                <w:color w:val="FFFFFF"/>
              </w:rPr>
              <w:t>Level</w:t>
            </w:r>
          </w:p>
        </w:tc>
        <w:tc>
          <w:tcPr>
            <w:tcW w:type="dxa" w:w="2541"/>
            <w:shd w:fill="1F4E79"/>
            <w:vAlign w:val="center"/>
          </w:tcPr>
          <w:p>
            <w:r>
              <w:rPr>
                <w:b/>
                <w:color w:val="FFFFFF"/>
              </w:rPr>
              <w:t>Name</w:t>
            </w:r>
          </w:p>
        </w:tc>
        <w:tc>
          <w:tcPr>
            <w:tcW w:type="dxa" w:w="2541"/>
            <w:shd w:fill="1F4E79"/>
            <w:vAlign w:val="center"/>
          </w:tcPr>
          <w:p>
            <w:r>
              <w:rPr>
                <w:b/>
                <w:color w:val="FFFFFF"/>
              </w:rPr>
              <w:t>Binding Force</w:t>
            </w:r>
          </w:p>
        </w:tc>
        <w:tc>
          <w:tcPr>
            <w:tcW w:type="dxa" w:w="2541"/>
            <w:shd w:fill="1F4E79"/>
            <w:vAlign w:val="center"/>
          </w:tcPr>
          <w:p>
            <w:r>
              <w:rPr>
                <w:b/>
                <w:color w:val="FFFFFF"/>
              </w:rPr>
              <w:t>Amendment Burden</w:t>
            </w:r>
          </w:p>
        </w:tc>
      </w:tr>
      <w:tr>
        <w:trPr>
          <w:cantSplit w:val="true"/>
        </w:trPr>
        <w:tc>
          <w:tcPr>
            <w:tcW w:type="dxa" w:w="2541"/>
          </w:tcPr>
          <w:p>
            <w:r>
              <w:t>I</w:t>
            </w:r>
          </w:p>
        </w:tc>
        <w:tc>
          <w:tcPr>
            <w:tcW w:type="dxa" w:w="2541"/>
          </w:tcPr>
          <w:p>
            <w:r>
              <w:t>Foundational Principles</w:t>
            </w:r>
          </w:p>
        </w:tc>
        <w:tc>
          <w:tcPr>
            <w:tcW w:type="dxa" w:w="2541"/>
          </w:tcPr>
          <w:p>
            <w:r>
              <w:t>Essential religious identity</w:t>
            </w:r>
          </w:p>
        </w:tc>
        <w:tc>
          <w:tcPr>
            <w:tcW w:type="dxa" w:w="2541"/>
          </w:tcPr>
          <w:p>
            <w:r>
              <w:t>Highest</w:t>
            </w:r>
          </w:p>
        </w:tc>
      </w:tr>
      <w:tr>
        <w:trPr>
          <w:cantSplit w:val="true"/>
        </w:trPr>
        <w:tc>
          <w:tcPr>
            <w:tcW w:type="dxa" w:w="2541"/>
          </w:tcPr>
          <w:p>
            <w:r>
              <w:t>II</w:t>
            </w:r>
          </w:p>
        </w:tc>
        <w:tc>
          <w:tcPr>
            <w:tcW w:type="dxa" w:w="2541"/>
          </w:tcPr>
          <w:p>
            <w:r>
              <w:t>Formal Doctrine</w:t>
            </w:r>
          </w:p>
        </w:tc>
        <w:tc>
          <w:tcPr>
            <w:tcW w:type="dxa" w:w="2541"/>
          </w:tcPr>
          <w:p>
            <w:r>
              <w:t>Authoritative community teaching</w:t>
            </w:r>
          </w:p>
        </w:tc>
        <w:tc>
          <w:tcPr>
            <w:tcW w:type="dxa" w:w="2541"/>
          </w:tcPr>
          <w:p>
            <w:r>
              <w:t>High</w:t>
            </w:r>
          </w:p>
        </w:tc>
      </w:tr>
      <w:tr>
        <w:trPr>
          <w:cantSplit w:val="true"/>
        </w:trPr>
        <w:tc>
          <w:tcPr>
            <w:tcW w:type="dxa" w:w="2541"/>
          </w:tcPr>
          <w:p>
            <w:r>
              <w:t>III</w:t>
            </w:r>
          </w:p>
        </w:tc>
        <w:tc>
          <w:tcPr>
            <w:tcW w:type="dxa" w:w="2541"/>
          </w:tcPr>
          <w:p>
            <w:r>
              <w:t>Authoritative Interpretation</w:t>
            </w:r>
          </w:p>
        </w:tc>
        <w:tc>
          <w:tcPr>
            <w:tcW w:type="dxa" w:w="2541"/>
          </w:tcPr>
          <w:p>
            <w:r>
              <w:t>Controlling interpretation unless revised</w:t>
            </w:r>
          </w:p>
        </w:tc>
        <w:tc>
          <w:tcPr>
            <w:tcW w:type="dxa" w:w="2541"/>
          </w:tcPr>
          <w:p>
            <w:r>
              <w:t>Moderate</w:t>
            </w:r>
          </w:p>
        </w:tc>
      </w:tr>
      <w:tr>
        <w:trPr>
          <w:cantSplit w:val="true"/>
        </w:trPr>
        <w:tc>
          <w:tcPr>
            <w:tcW w:type="dxa" w:w="2541"/>
          </w:tcPr>
          <w:p>
            <w:r>
              <w:t>IV</w:t>
            </w:r>
          </w:p>
        </w:tc>
        <w:tc>
          <w:tcPr>
            <w:tcW w:type="dxa" w:w="2541"/>
          </w:tcPr>
          <w:p>
            <w:r>
              <w:t>Religious Practice and Discipline</w:t>
            </w:r>
          </w:p>
        </w:tc>
        <w:tc>
          <w:tcPr>
            <w:tcW w:type="dxa" w:w="2541"/>
          </w:tcPr>
          <w:p>
            <w:r>
              <w:t>Normative practice</w:t>
            </w:r>
          </w:p>
        </w:tc>
        <w:tc>
          <w:tcPr>
            <w:tcW w:type="dxa" w:w="2541"/>
          </w:tcPr>
          <w:p>
            <w:r>
              <w:t>Ordinary-to-significant</w:t>
            </w:r>
          </w:p>
        </w:tc>
      </w:tr>
      <w:tr>
        <w:trPr>
          <w:cantSplit w:val="true"/>
        </w:trPr>
        <w:tc>
          <w:tcPr>
            <w:tcW w:type="dxa" w:w="2541"/>
          </w:tcPr>
          <w:p>
            <w:r>
              <w:t>V</w:t>
            </w:r>
          </w:p>
        </w:tc>
        <w:tc>
          <w:tcPr>
            <w:tcW w:type="dxa" w:w="2541"/>
          </w:tcPr>
          <w:p>
            <w:r>
              <w:t>Theological / Scholarly Opinion</w:t>
            </w:r>
          </w:p>
        </w:tc>
        <w:tc>
          <w:tcPr>
            <w:tcW w:type="dxa" w:w="2541"/>
          </w:tcPr>
          <w:p>
            <w:r>
              <w:t>Nonbinding</w:t>
            </w:r>
          </w:p>
        </w:tc>
        <w:tc>
          <w:tcPr>
            <w:tcW w:type="dxa" w:w="2541"/>
          </w:tcPr>
          <w:p>
            <w:r>
              <w:t>None; open inquiry</w:t>
            </w:r>
          </w:p>
        </w:tc>
      </w:tr>
    </w:tbl>
    <w:p>
      <w:pPr>
        <w:pStyle w:val="Heading1"/>
      </w:pPr>
      <w:r>
        <w:t>Article II — Doctrine of Religious Knowledge</w:t>
      </w:r>
    </w:p>
    <w:p>
      <w:r>
        <w:t>Religious knowledge may arise through a combination of claimed encounter, inherited testimony, sacred texts, reason, conscience, contemplative practice, historical inquiry, empirical knowledge, moral experience, and accumulated community wisdom. No source is automatically self-interpreting.</w:t>
      </w:r>
    </w:p>
    <w:p>
      <w:r>
        <w:t>The community rejects the proposition that institutional office alone can convert an unsupported assertion into truth.</w:t>
      </w:r>
    </w:p>
    <w:p>
      <w:pPr>
        <w:pStyle w:val="Heading1"/>
      </w:pPr>
      <w:r>
        <w:t>Article III — Doctrine of Revelation</w:t>
      </w:r>
    </w:p>
    <w:p>
      <w:r>
        <w:t>Revelation is provisionally understood as disclosure, apprehension, encounter, insight, communication, or manifestation through which persons or communities believe reality beyond ordinary human construction becomes known or experienced.</w:t>
      </w:r>
    </w:p>
    <w:p>
      <w:pPr>
        <w:pStyle w:val="ListBullet"/>
      </w:pPr>
      <w:r>
        <w:t>Revelation claims may differ in mode, clarity, symbolic content, and reliability.</w:t>
      </w:r>
    </w:p>
    <w:p>
      <w:pPr>
        <w:pStyle w:val="ListBullet"/>
      </w:pPr>
      <w:r>
        <w:t>A report of revelation is evidence that a person claimed or experienced something; it is not by itself proof of every metaphysical interpretation attached to the report.</w:t>
      </w:r>
    </w:p>
    <w:p>
      <w:pPr>
        <w:pStyle w:val="ListBullet"/>
      </w:pPr>
      <w:r>
        <w:t>Communal discernment is required before a claimed revelation is treated as binding.</w:t>
      </w:r>
    </w:p>
    <w:p>
      <w:pPr>
        <w:pStyle w:val="ListBullet"/>
      </w:pPr>
      <w:r>
        <w:t>Later textual, institutional, or doctrinal development must be distinguished from the originating claim when historically possible.</w:t>
      </w:r>
    </w:p>
    <w:p>
      <w:pPr>
        <w:pStyle w:val="Heading1"/>
      </w:pPr>
      <w:r>
        <w:t>Article IV — Doctrine of Ultimate Reality</w:t>
      </w:r>
    </w:p>
    <w:p>
      <w:r>
        <w:t>The community affirms that the question of ultimate reality is genuinely religious and not exhausted by ordinary material description. At the present provisional stage, the community does not constitutionalize a final answer to whether ultimate reality is best described as one God, divine unity, personal intelligence, transcendent ground, immanent presence, plural manifestations, or another formulation.</w:t>
      </w:r>
    </w:p>
    <w:p>
      <w:r>
        <w:t>Any future formal definition shall document the evidence, sources, philosophical reasoning, religious experiences, and interpretive decisions upon which it rests.</w:t>
      </w:r>
    </w:p>
    <w:p>
      <w:pPr>
        <w:pStyle w:val="Heading1"/>
      </w:pPr>
      <w:r>
        <w:t>Article V — Doctrine of the Human Person</w:t>
      </w:r>
    </w:p>
    <w:p>
      <w:pPr>
        <w:pStyle w:val="ListBullet"/>
      </w:pPr>
      <w:r>
        <w:t>Human persons possess dignity and moral agency.</w:t>
      </w:r>
    </w:p>
    <w:p>
      <w:pPr>
        <w:pStyle w:val="ListBullet"/>
      </w:pPr>
      <w:r>
        <w:t>Human perception and judgment are limited and susceptible to error, self-interest, suggestion, memory distortion, social influence, and cultural conditioning.</w:t>
      </w:r>
    </w:p>
    <w:p>
      <w:pPr>
        <w:pStyle w:val="ListBullet"/>
      </w:pPr>
      <w:r>
        <w:t>Human beings also exhibit capacities for reason, conscience, compassion, symbolic thought, self-transcendence, contemplation, moral transformation, and religious experience.</w:t>
      </w:r>
    </w:p>
    <w:p>
      <w:pPr>
        <w:pStyle w:val="ListBullet"/>
      </w:pPr>
      <w:r>
        <w:t>No minister or governing body possesses a different order of human dignity from ordinary members.</w:t>
      </w:r>
    </w:p>
    <w:p>
      <w:pPr>
        <w:pStyle w:val="Heading1"/>
      </w:pPr>
      <w:r>
        <w:t>Article VI — Doctrine of Moral Life</w:t>
      </w:r>
    </w:p>
    <w:p>
      <w:r>
        <w:t>The moral life seeks alignment between truth, character, action, relationship, and the good. Religious devotion that produces exploitation, cruelty, dishonesty, domination, or contempt for human dignity is subject to moral scrutiny rather than exemption from it.</w:t>
      </w:r>
    </w:p>
    <w:p>
      <w:pPr>
        <w:pStyle w:val="Heading1"/>
      </w:pPr>
      <w:r>
        <w:t>Article VII — Doctrine of Community</w:t>
      </w:r>
    </w:p>
    <w:p>
      <w:r>
        <w:t>The religious community is a voluntary covenantal association for worship, formation, inquiry, service, mutual care, and transmission of a religious way of life. The community is not the personal property of its founder, clergy, board, donors, or a family.</w:t>
      </w:r>
    </w:p>
    <w:p>
      <w:pPr>
        <w:pStyle w:val="Heading1"/>
      </w:pPr>
      <w:r>
        <w:t>Article VIII — Doctrine of Religious Authority</w:t>
      </w:r>
    </w:p>
    <w:p>
      <w:r>
        <w:t>Authority is functional and fiduciary rather than ontological superiority. Legitimate authority arises from valid constitutional process, qualification, trust, defined jurisdiction, and continuing accountability.</w:t>
      </w:r>
    </w:p>
    <w:p>
      <w:pPr>
        <w:pStyle w:val="ListBullet"/>
      </w:pPr>
      <w:r>
        <w:t>No officeholder is infallible by virtue of office.</w:t>
      </w:r>
    </w:p>
    <w:p>
      <w:pPr>
        <w:pStyle w:val="ListBullet"/>
      </w:pPr>
      <w:r>
        <w:t>No claim of spiritual insight cancels conflicts-of-interest rules.</w:t>
      </w:r>
    </w:p>
    <w:p>
      <w:pPr>
        <w:pStyle w:val="ListBullet"/>
      </w:pPr>
      <w:r>
        <w:t>No doctrine of obedience authorizes unlawful conduct or concealment of abuse.</w:t>
      </w:r>
    </w:p>
    <w:p>
      <w:pPr>
        <w:pStyle w:val="ListBullet"/>
      </w:pPr>
      <w:r>
        <w:t>Members retain conscience and may seek information or counsel outside the community.</w:t>
      </w:r>
    </w:p>
    <w:p>
      <w:pPr>
        <w:pStyle w:val="Heading1"/>
      </w:pPr>
      <w:r>
        <w:t>Article IX — Doctrine of Worship and Practice</w:t>
      </w:r>
    </w:p>
    <w:p>
      <w:r>
        <w:t>Worship is the communal orientation of attention, gratitude, reverence, inquiry, confession, praise, silence, petition, remembrance, ethical commitment, and other fitting practices toward what the community recognizes as sacred or ultimate.</w:t>
      </w:r>
    </w:p>
    <w:p>
      <w:r>
        <w:t>Particular forms are governed by CH-010 and may develop as the community’s theology matures.</w:t>
      </w:r>
    </w:p>
    <w:p>
      <w:pPr>
        <w:pStyle w:val="Heading1"/>
      </w:pPr>
      <w:r>
        <w:t>Article X — Doctrine of Religious Experience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1F4E79"/>
            <w:vAlign w:val="center"/>
          </w:tcPr>
          <w:p>
            <w:r>
              <w:rPr>
                <w:b/>
                <w:color w:val="FFFFFF"/>
              </w:rPr>
              <w:t>Category</w:t>
            </w:r>
          </w:p>
        </w:tc>
        <w:tc>
          <w:tcPr>
            <w:tcW w:type="dxa" w:w="3389"/>
            <w:shd w:fill="1F4E79"/>
            <w:vAlign w:val="center"/>
          </w:tcPr>
          <w:p>
            <w:r>
              <w:rPr>
                <w:b/>
                <w:color w:val="FFFFFF"/>
              </w:rPr>
              <w:t>Description</w:t>
            </w:r>
          </w:p>
        </w:tc>
        <w:tc>
          <w:tcPr>
            <w:tcW w:type="dxa" w:w="3389"/>
            <w:shd w:fill="1F4E79"/>
            <w:vAlign w:val="center"/>
          </w:tcPr>
          <w:p>
            <w:r>
              <w:rPr>
                <w:b/>
                <w:color w:val="FFFFFF"/>
              </w:rPr>
              <w:t>Doctrinal Treatment</w:t>
            </w:r>
          </w:p>
        </w:tc>
      </w:tr>
      <w:tr>
        <w:trPr>
          <w:cantSplit w:val="true"/>
        </w:trPr>
        <w:tc>
          <w:tcPr>
            <w:tcW w:type="dxa" w:w="3389"/>
          </w:tcPr>
          <w:p>
            <w:r>
              <w:t>Prophetic</w:t>
            </w:r>
          </w:p>
        </w:tc>
        <w:tc>
          <w:tcPr>
            <w:tcW w:type="dxa" w:w="3389"/>
          </w:tcPr>
          <w:p>
            <w:r>
              <w:t>Perceived communication, commission, warning, or message</w:t>
            </w:r>
          </w:p>
        </w:tc>
        <w:tc>
          <w:tcPr>
            <w:tcW w:type="dxa" w:w="3389"/>
          </w:tcPr>
          <w:p>
            <w:r>
              <w:t>Evaluate claim and interpretation separately</w:t>
            </w:r>
          </w:p>
        </w:tc>
      </w:tr>
      <w:tr>
        <w:trPr>
          <w:cantSplit w:val="true"/>
        </w:trPr>
        <w:tc>
          <w:tcPr>
            <w:tcW w:type="dxa" w:w="3389"/>
          </w:tcPr>
          <w:p>
            <w:r>
              <w:t>Mystical</w:t>
            </w:r>
          </w:p>
        </w:tc>
        <w:tc>
          <w:tcPr>
            <w:tcW w:type="dxa" w:w="3389"/>
          </w:tcPr>
          <w:p>
            <w:r>
              <w:t>Union, presence, nonduality, overwhelming sacred encounter</w:t>
            </w:r>
          </w:p>
        </w:tc>
        <w:tc>
          <w:tcPr>
            <w:tcW w:type="dxa" w:w="3389"/>
          </w:tcPr>
          <w:p>
            <w:r>
              <w:t>Respect experience; avoid automatic metaphysical overreach</w:t>
            </w:r>
          </w:p>
        </w:tc>
      </w:tr>
      <w:tr>
        <w:trPr>
          <w:cantSplit w:val="true"/>
        </w:trPr>
        <w:tc>
          <w:tcPr>
            <w:tcW w:type="dxa" w:w="3389"/>
          </w:tcPr>
          <w:p>
            <w:r>
              <w:t>Visionary / Auditory</w:t>
            </w:r>
          </w:p>
        </w:tc>
        <w:tc>
          <w:tcPr>
            <w:tcW w:type="dxa" w:w="3389"/>
          </w:tcPr>
          <w:p>
            <w:r>
              <w:t>Images, beings, scenes, voices, auditions</w:t>
            </w:r>
          </w:p>
        </w:tc>
        <w:tc>
          <w:tcPr>
            <w:tcW w:type="dxa" w:w="3389"/>
          </w:tcPr>
          <w:p>
            <w:r>
              <w:t>Evaluate context, corroboration, alternatives, fruit</w:t>
            </w:r>
          </w:p>
        </w:tc>
      </w:tr>
      <w:tr>
        <w:trPr>
          <w:cantSplit w:val="true"/>
        </w:trPr>
        <w:tc>
          <w:tcPr>
            <w:tcW w:type="dxa" w:w="3389"/>
          </w:tcPr>
          <w:p>
            <w:r>
              <w:t>Dream</w:t>
            </w:r>
          </w:p>
        </w:tc>
        <w:tc>
          <w:tcPr>
            <w:tcW w:type="dxa" w:w="3389"/>
          </w:tcPr>
          <w:p>
            <w:r>
              <w:t>Religiously significant dream experience</w:t>
            </w:r>
          </w:p>
        </w:tc>
        <w:tc>
          <w:tcPr>
            <w:tcW w:type="dxa" w:w="3389"/>
          </w:tcPr>
          <w:p>
            <w:r>
              <w:t>May inform individual discernment; not automatically binding</w:t>
            </w:r>
          </w:p>
        </w:tc>
      </w:tr>
      <w:tr>
        <w:trPr>
          <w:cantSplit w:val="true"/>
        </w:trPr>
        <w:tc>
          <w:tcPr>
            <w:tcW w:type="dxa" w:w="3389"/>
          </w:tcPr>
          <w:p>
            <w:r>
              <w:t>Divinatory / Oracular</w:t>
            </w:r>
          </w:p>
        </w:tc>
        <w:tc>
          <w:tcPr>
            <w:tcW w:type="dxa" w:w="3389"/>
          </w:tcPr>
          <w:p>
            <w:r>
              <w:t>Signs, lots, omens, structured divination</w:t>
            </w:r>
          </w:p>
        </w:tc>
        <w:tc>
          <w:tcPr>
            <w:tcW w:type="dxa" w:w="3389"/>
          </w:tcPr>
          <w:p>
            <w:r>
              <w:t>Historical phenomenon; community authorization required before normative use</w:t>
            </w:r>
          </w:p>
        </w:tc>
      </w:tr>
      <w:tr>
        <w:trPr>
          <w:cantSplit w:val="true"/>
        </w:trPr>
        <w:tc>
          <w:tcPr>
            <w:tcW w:type="dxa" w:w="3389"/>
          </w:tcPr>
          <w:p>
            <w:r>
              <w:t>Contemplative / Illuminative</w:t>
            </w:r>
          </w:p>
        </w:tc>
        <w:tc>
          <w:tcPr>
            <w:tcW w:type="dxa" w:w="3389"/>
          </w:tcPr>
          <w:p>
            <w:r>
              <w:t>Insight associated with prayer, meditation, ascetic or contemplative practice</w:t>
            </w:r>
          </w:p>
        </w:tc>
        <w:tc>
          <w:tcPr>
            <w:tcW w:type="dxa" w:w="3389"/>
          </w:tcPr>
          <w:p>
            <w:r>
              <w:t>May form practice and theology with appropriate discernment</w:t>
            </w:r>
          </w:p>
        </w:tc>
      </w:tr>
    </w:tbl>
    <w:p>
      <w:pPr>
        <w:pStyle w:val="Heading1"/>
      </w:pPr>
      <w:r>
        <w:t>Article XI — Doctrine of Religious Sources</w:t>
      </w:r>
    </w:p>
    <w:p>
      <w:r>
        <w:t>A separate Foundational Sources Instrument should eventually classify texts, traditions, historical testimonies, reason, empirical knowledge, conscience, and experience according to recognized authority. Until then, no text or tradition not explicitly adopted shall be presumed to possess canonical status for the community.</w:t>
      </w:r>
    </w:p>
    <w:p>
      <w:pPr>
        <w:pStyle w:val="Heading1"/>
      </w:pPr>
      <w:r>
        <w:t>Article XII — Doctrine of Error and Correction</w:t>
      </w:r>
    </w:p>
    <w:p>
      <w:r>
        <w:t>Institutions can err. Doctrinal correction undertaken through valid process is compatible with fidelity. The community shall preserve the historical record of major corrections rather than rewriting institutional memory to imply that leadership was always right.</w:t>
      </w:r>
    </w:p>
    <w:p>
      <w:pPr>
        <w:pStyle w:val="Heading1"/>
      </w:pPr>
      <w:r>
        <w:t>Article XIII — Reserved Doctrinal Domains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1F4E79"/>
            <w:vAlign w:val="center"/>
          </w:tcPr>
          <w:p>
            <w:r>
              <w:rPr>
                <w:b/>
                <w:color w:val="FFFFFF"/>
              </w:rPr>
              <w:t>Domain</w:t>
            </w:r>
          </w:p>
        </w:tc>
        <w:tc>
          <w:tcPr>
            <w:tcW w:type="dxa" w:w="3389"/>
            <w:shd w:fill="1F4E79"/>
            <w:vAlign w:val="center"/>
          </w:tcPr>
          <w:p>
            <w:r>
              <w:rPr>
                <w:b/>
                <w:color w:val="FFFFFF"/>
              </w:rPr>
              <w:t>Status</w:t>
            </w:r>
          </w:p>
        </w:tc>
        <w:tc>
          <w:tcPr>
            <w:tcW w:type="dxa" w:w="3389"/>
            <w:shd w:fill="1F4E79"/>
            <w:vAlign w:val="center"/>
          </w:tcPr>
          <w:p>
            <w:r>
              <w:rPr>
                <w:b/>
                <w:color w:val="FFFFFF"/>
              </w:rPr>
              <w:t>Required Future Work</w:t>
            </w:r>
          </w:p>
        </w:tc>
      </w:tr>
      <w:tr>
        <w:trPr>
          <w:cantSplit w:val="true"/>
        </w:trPr>
        <w:tc>
          <w:tcPr>
            <w:tcW w:type="dxa" w:w="3389"/>
          </w:tcPr>
          <w:p>
            <w:r>
              <w:t>Divine names and attributes</w:t>
            </w:r>
          </w:p>
        </w:tc>
        <w:tc>
          <w:tcPr>
            <w:tcW w:type="dxa" w:w="3389"/>
          </w:tcPr>
          <w:p>
            <w:r>
              <w:t>Reserved</w:t>
            </w:r>
          </w:p>
        </w:tc>
        <w:tc>
          <w:tcPr>
            <w:tcW w:type="dxa" w:w="3389"/>
          </w:tcPr>
          <w:p>
            <w:r>
              <w:t>Comparative historical-theological study</w:t>
            </w:r>
          </w:p>
        </w:tc>
      </w:tr>
      <w:tr>
        <w:trPr>
          <w:cantSplit w:val="true"/>
        </w:trPr>
        <w:tc>
          <w:tcPr>
            <w:tcW w:type="dxa" w:w="3389"/>
          </w:tcPr>
          <w:p>
            <w:r>
              <w:t>Creation / cosmology</w:t>
            </w:r>
          </w:p>
        </w:tc>
        <w:tc>
          <w:tcPr>
            <w:tcW w:type="dxa" w:w="3389"/>
          </w:tcPr>
          <w:p>
            <w:r>
              <w:t>Reserved</w:t>
            </w:r>
          </w:p>
        </w:tc>
        <w:tc>
          <w:tcPr>
            <w:tcW w:type="dxa" w:w="3389"/>
          </w:tcPr>
          <w:p>
            <w:r>
              <w:t>Textual, philosophical, scientific integration</w:t>
            </w:r>
          </w:p>
        </w:tc>
      </w:tr>
      <w:tr>
        <w:trPr>
          <w:cantSplit w:val="true"/>
        </w:trPr>
        <w:tc>
          <w:tcPr>
            <w:tcW w:type="dxa" w:w="3389"/>
          </w:tcPr>
          <w:p>
            <w:r>
              <w:t>Soul / consciousness</w:t>
            </w:r>
          </w:p>
        </w:tc>
        <w:tc>
          <w:tcPr>
            <w:tcW w:type="dxa" w:w="3389"/>
          </w:tcPr>
          <w:p>
            <w:r>
              <w:t>Reserved</w:t>
            </w:r>
          </w:p>
        </w:tc>
        <w:tc>
          <w:tcPr>
            <w:tcW w:type="dxa" w:w="3389"/>
          </w:tcPr>
          <w:p>
            <w:r>
              <w:t>Philosophical, experiential, scientific review</w:t>
            </w:r>
          </w:p>
        </w:tc>
      </w:tr>
      <w:tr>
        <w:trPr>
          <w:cantSplit w:val="true"/>
        </w:trPr>
        <w:tc>
          <w:tcPr>
            <w:tcW w:type="dxa" w:w="3389"/>
          </w:tcPr>
          <w:p>
            <w:r>
              <w:t>Afterlife</w:t>
            </w:r>
          </w:p>
        </w:tc>
        <w:tc>
          <w:tcPr>
            <w:tcW w:type="dxa" w:w="3389"/>
          </w:tcPr>
          <w:p>
            <w:r>
              <w:t>Reserved</w:t>
            </w:r>
          </w:p>
        </w:tc>
        <w:tc>
          <w:tcPr>
            <w:tcW w:type="dxa" w:w="3389"/>
          </w:tcPr>
          <w:p>
            <w:r>
              <w:t>Comparative source analysis</w:t>
            </w:r>
          </w:p>
        </w:tc>
      </w:tr>
      <w:tr>
        <w:trPr>
          <w:cantSplit w:val="true"/>
        </w:trPr>
        <w:tc>
          <w:tcPr>
            <w:tcW w:type="dxa" w:w="3389"/>
          </w:tcPr>
          <w:p>
            <w:r>
              <w:t>Salvation / liberation / transformation</w:t>
            </w:r>
          </w:p>
        </w:tc>
        <w:tc>
          <w:tcPr>
            <w:tcW w:type="dxa" w:w="3389"/>
          </w:tcPr>
          <w:p>
            <w:r>
              <w:t>Reserved</w:t>
            </w:r>
          </w:p>
        </w:tc>
        <w:tc>
          <w:tcPr>
            <w:tcW w:type="dxa" w:w="3389"/>
          </w:tcPr>
          <w:p>
            <w:r>
              <w:t>Define soteriological framework</w:t>
            </w:r>
          </w:p>
        </w:tc>
      </w:tr>
      <w:tr>
        <w:trPr>
          <w:cantSplit w:val="true"/>
        </w:trPr>
        <w:tc>
          <w:tcPr>
            <w:tcW w:type="dxa" w:w="3389"/>
          </w:tcPr>
          <w:p>
            <w:r>
              <w:t>Eschatology</w:t>
            </w:r>
          </w:p>
        </w:tc>
        <w:tc>
          <w:tcPr>
            <w:tcW w:type="dxa" w:w="3389"/>
          </w:tcPr>
          <w:p>
            <w:r>
              <w:t>Reserved</w:t>
            </w:r>
          </w:p>
        </w:tc>
        <w:tc>
          <w:tcPr>
            <w:tcW w:type="dxa" w:w="3389"/>
          </w:tcPr>
          <w:p>
            <w:r>
              <w:t>Historical and theological review</w:t>
            </w:r>
          </w:p>
        </w:tc>
      </w:tr>
      <w:tr>
        <w:trPr>
          <w:cantSplit w:val="true"/>
        </w:trPr>
        <w:tc>
          <w:tcPr>
            <w:tcW w:type="dxa" w:w="3389"/>
          </w:tcPr>
          <w:p>
            <w:r>
              <w:t>Canon</w:t>
            </w:r>
          </w:p>
        </w:tc>
        <w:tc>
          <w:tcPr>
            <w:tcW w:type="dxa" w:w="3389"/>
          </w:tcPr>
          <w:p>
            <w:r>
              <w:t>Reserved</w:t>
            </w:r>
          </w:p>
        </w:tc>
        <w:tc>
          <w:tcPr>
            <w:tcW w:type="dxa" w:w="3389"/>
          </w:tcPr>
          <w:p>
            <w:r>
              <w:t>Source-authority specification</w:t>
            </w:r>
          </w:p>
        </w:tc>
      </w:tr>
      <w:tr>
        <w:trPr>
          <w:cantSplit w:val="true"/>
        </w:trPr>
        <w:tc>
          <w:tcPr>
            <w:tcW w:type="dxa" w:w="3389"/>
          </w:tcPr>
          <w:p>
            <w:r>
              <w:t>Status of Jesus, Abraham, Moses, Muhammad, Buddha, sages, prophets, mystics and other figures</w:t>
            </w:r>
          </w:p>
        </w:tc>
        <w:tc>
          <w:tcPr>
            <w:tcW w:type="dxa" w:w="3389"/>
          </w:tcPr>
          <w:p>
            <w:r>
              <w:t>Reserved individually</w:t>
            </w:r>
          </w:p>
        </w:tc>
        <w:tc>
          <w:tcPr>
            <w:tcW w:type="dxa" w:w="3389"/>
          </w:tcPr>
          <w:p>
            <w:r>
              <w:t>Evidence dossier + doctrinal decision for each</w:t>
            </w:r>
          </w:p>
        </w:tc>
      </w:tr>
      <w:tr>
        <w:trPr>
          <w:cantSplit w:val="true"/>
        </w:trPr>
        <w:tc>
          <w:tcPr>
            <w:tcW w:type="dxa" w:w="3389"/>
          </w:tcPr>
          <w:p>
            <w:r>
              <w:t>Miracles / paranormal claims</w:t>
            </w:r>
          </w:p>
        </w:tc>
        <w:tc>
          <w:tcPr>
            <w:tcW w:type="dxa" w:w="3389"/>
          </w:tcPr>
          <w:p>
            <w:r>
              <w:t>Open</w:t>
            </w:r>
          </w:p>
        </w:tc>
        <w:tc>
          <w:tcPr>
            <w:tcW w:type="dxa" w:w="3389"/>
          </w:tcPr>
          <w:p>
            <w:r>
              <w:t>Case-specific evidentiary standards</w:t>
            </w:r>
          </w:p>
        </w:tc>
      </w:tr>
    </w:tbl>
    <w:p>
      <w:pPr>
        <w:pStyle w:val="Heading1"/>
      </w:pPr>
      <w:r>
        <w:t>Article XIV — Doctrinal Adoption Procedure</w:t>
      </w:r>
    </w:p>
    <w:p>
      <w:pPr>
        <w:ind w:left="0" w:firstLine="0"/>
      </w:pPr>
      <w:r>
        <w:t>1.  State the proposed doctrine precisely.</w:t>
      </w:r>
    </w:p>
    <w:p>
      <w:pPr>
        <w:ind w:left="0" w:firstLine="0"/>
      </w:pPr>
      <w:r>
        <w:t>2.  Identify the claimed religious sources and their authority.</w:t>
      </w:r>
    </w:p>
    <w:p>
      <w:pPr>
        <w:ind w:left="0" w:firstLine="0"/>
      </w:pPr>
      <w:r>
        <w:t>3.  Separate historical claims from theological interpretation.</w:t>
      </w:r>
    </w:p>
    <w:p>
      <w:pPr>
        <w:ind w:left="0" w:firstLine="0"/>
      </w:pPr>
      <w:r>
        <w:t>4.  Present material supporting and contrary evidence.</w:t>
      </w:r>
    </w:p>
    <w:p>
      <w:pPr>
        <w:ind w:left="0" w:firstLine="0"/>
      </w:pPr>
      <w:r>
        <w:t>5.  Identify alternative interpretations.</w:t>
      </w:r>
    </w:p>
    <w:p>
      <w:pPr>
        <w:ind w:left="0" w:firstLine="0"/>
      </w:pPr>
      <w:r>
        <w:t>6.  Assess ethical and institutional consequences.</w:t>
      </w:r>
    </w:p>
    <w:p>
      <w:pPr>
        <w:ind w:left="0" w:firstLine="0"/>
      </w:pPr>
      <w:r>
        <w:t>7.  Provide a period for scholarly, ministerial, and member review appropriate to significance.</w:t>
      </w:r>
    </w:p>
    <w:p>
      <w:pPr>
        <w:ind w:left="0" w:firstLine="0"/>
      </w:pPr>
      <w:r>
        <w:t>8.  Obtain the approvals required by the governing corpus.</w:t>
      </w:r>
    </w:p>
    <w:p>
      <w:pPr>
        <w:ind w:left="0" w:firstLine="0"/>
      </w:pPr>
      <w:r>
        <w:t>9.  Publish the adopted text, rationale, effective date, and dissenting or unresolved questions where appropriate.</w:t>
      </w:r>
    </w:p>
    <w:p>
      <w:pPr>
        <w:pStyle w:val="Principle"/>
      </w:pPr>
      <w:r>
        <w:t>The community’s doctrinal strength shall be measured partly by its ability to state what it does not yet know.</w:t>
      </w:r>
    </w:p>
    <w:p>
      <w:r>
        <w:br w:type="page"/>
      </w:r>
    </w:p>
    <w:p>
      <w:pPr>
        <w:pStyle w:val="Heading1"/>
      </w:pPr>
      <w:r>
        <w:t>Adoption and Certification</w:t>
      </w:r>
    </w:p>
    <w:p>
      <w:r>
        <w:t>This instrument becomes effective only upon valid adoption by the competent authority under the governing corpus. No draft language acquires binding religious force merely because it appears in a working copy.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Corporation / Religious Body</w:t>
            </w:r>
          </w:p>
        </w:tc>
        <w:tc>
          <w:tcPr>
            <w:tcW w:type="dxa" w:w="5083"/>
          </w:tcPr>
          <w:p>
            <w:r>
              <w:t>[[CORP_NAME]]</w:t>
            </w:r>
          </w:p>
        </w:tc>
      </w:tr>
      <w:tr>
        <w:trPr>
          <w:cantSplit w:val="true"/>
        </w:trPr>
        <w:tc>
          <w:tcPr>
            <w:tcW w:type="dxa" w:w="5083"/>
          </w:tcPr>
          <w:p>
            <w:r>
              <w:t>Date of Adoption</w:t>
            </w:r>
          </w:p>
        </w:tc>
        <w:tc>
          <w:tcPr>
            <w:tcW w:type="dxa" w:w="5083"/>
          </w:tcPr>
          <w:p>
            <w:r>
              <w:t>[[DATE]]</w:t>
            </w:r>
          </w:p>
        </w:tc>
      </w:tr>
      <w:tr>
        <w:trPr>
          <w:cantSplit w:val="true"/>
        </w:trPr>
        <w:tc>
          <w:tcPr>
            <w:tcW w:type="dxa" w:w="5083"/>
          </w:tcPr>
          <w:p>
            <w:r>
              <w:t>Adopting Authority</w:t>
            </w:r>
          </w:p>
        </w:tc>
        <w:tc>
          <w:tcPr>
            <w:tcW w:type="dxa" w:w="5083"/>
          </w:tcPr>
          <w:p>
            <w:r>
              <w:t>[[ADOPTING_AUTHORITY]]</w:t>
            </w:r>
          </w:p>
        </w:tc>
      </w:tr>
      <w:tr>
        <w:trPr>
          <w:cantSplit w:val="true"/>
        </w:trPr>
        <w:tc>
          <w:tcPr>
            <w:tcW w:type="dxa" w:w="5083"/>
          </w:tcPr>
          <w:p>
            <w:r>
              <w:t>Ecclesiastical Approval</w:t>
            </w:r>
          </w:p>
        </w:tc>
        <w:tc>
          <w:tcPr>
            <w:tcW w:type="dxa" w:w="5083"/>
          </w:tcPr>
          <w:p>
            <w:r>
              <w:t>[[ECCLESIASTICAL_COUNCIL_APPROVAL]]</w:t>
            </w:r>
          </w:p>
        </w:tc>
      </w:tr>
      <w:tr>
        <w:trPr>
          <w:cantSplit w:val="true"/>
        </w:trPr>
        <w:tc>
          <w:tcPr>
            <w:tcW w:type="dxa" w:w="5083"/>
          </w:tcPr>
          <w:p>
            <w:r>
              <w:t>Version</w:t>
            </w:r>
          </w:p>
        </w:tc>
        <w:tc>
          <w:tcPr>
            <w:tcW w:type="dxa" w:w="5083"/>
          </w:tcPr>
          <w:p>
            <w:r>
              <w:t>0.1.0</w:t>
            </w:r>
          </w:p>
        </w:tc>
      </w:tr>
    </w:tbl>
    <w:p>
      <w:pPr>
        <w:pStyle w:val="Heading2"/>
      </w:pPr>
      <w:r>
        <w:t>Certification</w:t>
      </w:r>
    </w:p>
    <w:p>
      <w:r>
        <w:t>I certify that the foregoing instrument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CH-008  |  Formal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7"/>
    </w:rPr>
  </w:style>
  <w:style w:type="paragraph" w:customStyle="1" w:styleId="Principle">
    <w:name w:val="Principle"/>
    <w:pPr>
      <w:spacing w:before="120" w:after="120"/>
      <w:ind w:left="360" w:right="360"/>
    </w:pPr>
    <w:rPr>
      <w:rFonts w:ascii="Aptos" w:hAnsi="Aptos"/>
      <w:b/>
      <w:color w:val="1F293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