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Religious History</w:t>
      </w:r>
    </w:p>
    <w:p>
      <w:pPr>
        <w:jc w:val="center"/>
      </w:pPr>
      <w:r>
        <w:rPr>
          <w:i/>
          <w:color w:val="5B6573"/>
          <w:sz w:val="24"/>
        </w:rPr>
        <w:t>Institutional history, intellectual antecedents, and evidence-based origin narrative</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Document ID</w:t>
            </w:r>
          </w:p>
        </w:tc>
        <w:tc>
          <w:tcPr>
            <w:tcW w:type="dxa" w:w="5083"/>
          </w:tcPr>
          <w:p>
            <w:r>
              <w:t>CH-012</w:t>
            </w:r>
          </w:p>
        </w:tc>
      </w:tr>
      <w:tr>
        <w:tc>
          <w:tcPr>
            <w:tcW w:type="dxa" w:w="5083"/>
            <w:shd w:fill="D9EAF7"/>
          </w:tcPr>
          <w:p>
            <w:r>
              <w:rPr>
                <w:b/>
              </w:rPr>
              <w:t>Version</w:t>
            </w:r>
          </w:p>
        </w:tc>
        <w:tc>
          <w:tcPr>
            <w:tcW w:type="dxa" w:w="5083"/>
          </w:tcPr>
          <w:p>
            <w:r>
              <w:t>0.1.0</w:t>
            </w:r>
          </w:p>
        </w:tc>
      </w:tr>
      <w:tr>
        <w:tc>
          <w:tcPr>
            <w:tcW w:type="dxa" w:w="5083"/>
            <w:shd w:fill="D9EAF7"/>
          </w:tcPr>
          <w:p>
            <w:r>
              <w:rPr>
                <w:b/>
              </w:rPr>
              <w:t>Status</w:t>
            </w:r>
          </w:p>
        </w:tc>
        <w:tc>
          <w:tcPr>
            <w:tcW w:type="dxa" w:w="5083"/>
          </w:tcPr>
          <w:p>
            <w:r>
              <w:t>Provisional Working Draft</w:t>
            </w:r>
          </w:p>
        </w:tc>
      </w:tr>
      <w:tr>
        <w:tc>
          <w:tcPr>
            <w:tcW w:type="dxa" w:w="5083"/>
            <w:shd w:fill="D9EAF7"/>
          </w:tcPr>
          <w:p>
            <w:r>
              <w:rPr>
                <w:b/>
              </w:rPr>
              <w:t>Classification</w:t>
            </w:r>
          </w:p>
        </w:tc>
        <w:tc>
          <w:tcPr>
            <w:tcW w:type="dxa" w:w="5083"/>
          </w:tcPr>
          <w:p>
            <w:r>
              <w:t>Religious Governing Instrument</w:t>
            </w:r>
          </w:p>
        </w:tc>
      </w:tr>
      <w:tr>
        <w:tc>
          <w:tcPr>
            <w:tcW w:type="dxa" w:w="5083"/>
            <w:shd w:fill="D9EAF7"/>
          </w:tcPr>
          <w:p>
            <w:r>
              <w:rPr>
                <w:b/>
              </w:rPr>
              <w:t>Organization</w:t>
            </w:r>
          </w:p>
        </w:tc>
        <w:tc>
          <w:tcPr>
            <w:tcW w:type="dxa" w:w="5083"/>
          </w:tcPr>
          <w:p>
            <w:r>
              <w:t>[[CORP_NAME]]</w:t>
            </w:r>
          </w:p>
        </w:tc>
      </w:tr>
      <w:tr>
        <w:tc>
          <w:tcPr>
            <w:tcW w:type="dxa" w:w="5083"/>
            <w:shd w:fill="D9EAF7"/>
          </w:tcPr>
          <w:p>
            <w:r>
              <w:rPr>
                <w:b/>
              </w:rPr>
              <w:t>Adoption Date</w:t>
            </w:r>
          </w:p>
        </w:tc>
        <w:tc>
          <w:tcPr>
            <w:tcW w:type="dxa" w:w="5083"/>
          </w:tcPr>
          <w:p>
            <w:r>
              <w:t>[[DATE]]</w:t>
            </w:r>
          </w:p>
        </w:tc>
      </w:tr>
    </w:tbl>
    <w:p/>
    <w:p>
      <w:pPr>
        <w:pStyle w:val="SmallNote"/>
      </w:pPr>
      <w:r>
        <w:rPr>
          <w:b/>
        </w:rPr>
        <w:t xml:space="preserve">Drafting note: </w:t>
      </w:r>
      <w:r>
        <w:t>Bracketed fields identify facts or decisions that must be verified before adoption. Provisional religious language is intentionally distinguished from binding doctrine.</w:t>
      </w:r>
    </w:p>
    <w:p>
      <w:r>
        <w:br w:type="page"/>
      </w:r>
    </w:p>
    <w:p>
      <w:pPr>
        <w:pStyle w:val="Heading1"/>
      </w:pPr>
      <w:r>
        <w:t>Purpose of This History</w:t>
      </w:r>
    </w:p>
    <w:p>
      <w:r>
        <w:t>This document records the actual origin and development of the Religious Body while distinguishing institutional history from sacred history, theological interpretation, and the broader history of religion. It is intended to grow through contemporaneous records rather than retrospective mythmaking.</w:t>
      </w:r>
    </w:p>
    <w:p>
      <w:pPr>
        <w:pStyle w:val="Heading1"/>
      </w:pPr>
      <w:r>
        <w:t>Part I — Historical Antecedents</w:t>
      </w:r>
    </w:p>
    <w:p>
      <w:r>
        <w:t>The project arises within a much older human history of reported encounters with transcendent or sacred reality. Across cultures, humans have reported prophecy, visions, dreams, auditions, mystical union, divine presence, possession, oracle, divination, enlightenment, contemplative insight, shamanic journey, miracle, revelation, sacred law, and other experiences interpreted as contact with realities beyond ordinary human agency.</w:t>
      </w:r>
    </w:p>
    <w:p>
      <w:r>
        <w:t>These phenomena developed within different languages, cosmologies, institutions, literary traditions, and political settings. Similar vocabulary does not prove identical experiences; different vocabulary does not prove wholly unrelated experiences. The project therefore treats comparison as a historical and phenomenological question before treating it as a theological conclusion.</w:t>
      </w:r>
    </w:p>
    <w:p>
      <w:pPr>
        <w:pStyle w:val="Heading1"/>
      </w:pPr>
      <w:r>
        <w:t>Part II — Abrahamic Antecedents</w:t>
      </w:r>
    </w:p>
    <w:p>
      <w:r>
        <w:t>A major initial line of inquiry concerned the Abrahamic traditions: ancient Mesopotamian context, Abraham traditions, the divine names associated with El, El Elyon, YHWH and related titles, the figure of Melchizedek, the prophetic traditions of Israel, the ministry and claims surrounding Jesus, and later Jewish, Christian, and Islamic understandings of revelation.</w:t>
      </w:r>
    </w:p>
    <w:p>
      <w:r>
        <w:t>This inquiry raised a broader question: if different communities describe encounters with transcendent reality using different names, concepts, and interpretive frameworks, should research begin with later religious systems or with the underlying history of claimed encounters themselves?</w:t>
      </w:r>
    </w:p>
    <w:p>
      <w:pPr>
        <w:pStyle w:val="Heading1"/>
      </w:pPr>
      <w:r>
        <w:t>Part III — Expansion to a Global Research Program</w:t>
      </w:r>
    </w:p>
    <w:p>
      <w:r>
        <w:t>The project subsequently widened from an Abrahamic synthesis toward a global historical phenomenology of claimed human contact with transcendent reality. The working method became: identify encounter claims; reconstruct the earliest recoverable evidence; distinguish encounter from interpretation; compare analogous phenomena across cultures; assess historical proximity and evidentiary strength; and only then ask what theological framework, if any, best accounts for the record.</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Research Stream</w:t>
            </w:r>
          </w:p>
        </w:tc>
        <w:tc>
          <w:tcPr>
            <w:tcW w:type="dxa" w:w="5083"/>
            <w:shd w:fill="1F4E79"/>
            <w:vAlign w:val="center"/>
          </w:tcPr>
          <w:p>
            <w:r>
              <w:rPr>
                <w:b/>
                <w:color w:val="FFFFFF"/>
              </w:rPr>
              <w:t>Illustrative Phenomena</w:t>
            </w:r>
          </w:p>
        </w:tc>
      </w:tr>
      <w:tr>
        <w:trPr>
          <w:cantSplit w:val="true"/>
        </w:trPr>
        <w:tc>
          <w:tcPr>
            <w:tcW w:type="dxa" w:w="5083"/>
          </w:tcPr>
          <w:p>
            <w:r>
              <w:t>Prophetic</w:t>
            </w:r>
          </w:p>
        </w:tc>
        <w:tc>
          <w:tcPr>
            <w:tcW w:type="dxa" w:w="5083"/>
          </w:tcPr>
          <w:p>
            <w:r>
              <w:t>Oracles, commissions, divine speech, warning, lawgiving</w:t>
            </w:r>
          </w:p>
        </w:tc>
      </w:tr>
      <w:tr>
        <w:trPr>
          <w:cantSplit w:val="true"/>
        </w:trPr>
        <w:tc>
          <w:tcPr>
            <w:tcW w:type="dxa" w:w="5083"/>
          </w:tcPr>
          <w:p>
            <w:r>
              <w:t>Mystical</w:t>
            </w:r>
          </w:p>
        </w:tc>
        <w:tc>
          <w:tcPr>
            <w:tcW w:type="dxa" w:w="5083"/>
          </w:tcPr>
          <w:p>
            <w:r>
              <w:t>Union, presence, nonduality, beatific or numinous states</w:t>
            </w:r>
          </w:p>
        </w:tc>
      </w:tr>
      <w:tr>
        <w:trPr>
          <w:cantSplit w:val="true"/>
        </w:trPr>
        <w:tc>
          <w:tcPr>
            <w:tcW w:type="dxa" w:w="5083"/>
          </w:tcPr>
          <w:p>
            <w:r>
              <w:t>Visionary</w:t>
            </w:r>
          </w:p>
        </w:tc>
        <w:tc>
          <w:tcPr>
            <w:tcW w:type="dxa" w:w="5083"/>
          </w:tcPr>
          <w:p>
            <w:r>
              <w:t>Heavenly journeys, beings, symbolic scenes, apparitions</w:t>
            </w:r>
          </w:p>
        </w:tc>
      </w:tr>
      <w:tr>
        <w:trPr>
          <w:cantSplit w:val="true"/>
        </w:trPr>
        <w:tc>
          <w:tcPr>
            <w:tcW w:type="dxa" w:w="5083"/>
          </w:tcPr>
          <w:p>
            <w:r>
              <w:t>Dream</w:t>
            </w:r>
          </w:p>
        </w:tc>
        <w:tc>
          <w:tcPr>
            <w:tcW w:type="dxa" w:w="5083"/>
          </w:tcPr>
          <w:p>
            <w:r>
              <w:t>Revelatory dreams, incubation, symbolic instruction</w:t>
            </w:r>
          </w:p>
        </w:tc>
      </w:tr>
      <w:tr>
        <w:trPr>
          <w:cantSplit w:val="true"/>
        </w:trPr>
        <w:tc>
          <w:tcPr>
            <w:tcW w:type="dxa" w:w="5083"/>
          </w:tcPr>
          <w:p>
            <w:r>
              <w:t>Divinatory</w:t>
            </w:r>
          </w:p>
        </w:tc>
        <w:tc>
          <w:tcPr>
            <w:tcW w:type="dxa" w:w="5083"/>
          </w:tcPr>
          <w:p>
            <w:r>
              <w:t>Lots, oracle systems, omens, sacred consultation</w:t>
            </w:r>
          </w:p>
        </w:tc>
      </w:tr>
      <w:tr>
        <w:trPr>
          <w:cantSplit w:val="true"/>
        </w:trPr>
        <w:tc>
          <w:tcPr>
            <w:tcW w:type="dxa" w:w="5083"/>
          </w:tcPr>
          <w:p>
            <w:r>
              <w:t>Shamanic / ecstatic</w:t>
            </w:r>
          </w:p>
        </w:tc>
        <w:tc>
          <w:tcPr>
            <w:tcW w:type="dxa" w:w="5083"/>
          </w:tcPr>
          <w:p>
            <w:r>
              <w:t>Spirit journey, possession, trance, healing</w:t>
            </w:r>
          </w:p>
        </w:tc>
      </w:tr>
      <w:tr>
        <w:trPr>
          <w:cantSplit w:val="true"/>
        </w:trPr>
        <w:tc>
          <w:tcPr>
            <w:tcW w:type="dxa" w:w="5083"/>
          </w:tcPr>
          <w:p>
            <w:r>
              <w:t>Contemplative / illuminative</w:t>
            </w:r>
          </w:p>
        </w:tc>
        <w:tc>
          <w:tcPr>
            <w:tcW w:type="dxa" w:w="5083"/>
          </w:tcPr>
          <w:p>
            <w:r>
              <w:t>Meditative insight, awakening, gnosis, enlightenment</w:t>
            </w:r>
          </w:p>
        </w:tc>
      </w:tr>
      <w:tr>
        <w:trPr>
          <w:cantSplit w:val="true"/>
        </w:trPr>
        <w:tc>
          <w:tcPr>
            <w:tcW w:type="dxa" w:w="5083"/>
          </w:tcPr>
          <w:p>
            <w:r>
              <w:t>Ritual encounter</w:t>
            </w:r>
          </w:p>
        </w:tc>
        <w:tc>
          <w:tcPr>
            <w:tcW w:type="dxa" w:w="5083"/>
          </w:tcPr>
          <w:p>
            <w:r>
              <w:t>Temple, sacrifice, sacrament, communal possession, sacred meal</w:t>
            </w:r>
          </w:p>
        </w:tc>
      </w:tr>
      <w:tr>
        <w:trPr>
          <w:cantSplit w:val="true"/>
        </w:trPr>
        <w:tc>
          <w:tcPr>
            <w:tcW w:type="dxa" w:w="5083"/>
          </w:tcPr>
          <w:p>
            <w:r>
              <w:t>Near-death / threshold</w:t>
            </w:r>
          </w:p>
        </w:tc>
        <w:tc>
          <w:tcPr>
            <w:tcW w:type="dxa" w:w="5083"/>
          </w:tcPr>
          <w:p>
            <w:r>
              <w:t>Experiences reported near death or extreme physiological states</w:t>
            </w:r>
          </w:p>
        </w:tc>
      </w:tr>
      <w:tr>
        <w:trPr>
          <w:cantSplit w:val="true"/>
        </w:trPr>
        <w:tc>
          <w:tcPr>
            <w:tcW w:type="dxa" w:w="5083"/>
          </w:tcPr>
          <w:p>
            <w:r>
              <w:t>Modern anomalous</w:t>
            </w:r>
          </w:p>
        </w:tc>
        <w:tc>
          <w:tcPr>
            <w:tcW w:type="dxa" w:w="5083"/>
          </w:tcPr>
          <w:p>
            <w:r>
              <w:t>Contemporary visionary, apparition, channeling, psi or related claims where historically relevant</w:t>
            </w:r>
          </w:p>
        </w:tc>
      </w:tr>
    </w:tbl>
    <w:p>
      <w:pPr>
        <w:pStyle w:val="Heading1"/>
      </w:pPr>
      <w:r>
        <w:t>Part IV — Institutional Formation</w:t>
      </w:r>
    </w:p>
    <w:p>
      <w:r>
        <w:t>During 2026, the project began developing the legal, governance, and institutional structures necessary to determine whether the research program and resulting religious life should mature into a durable religious community. The design work deliberately separated civil corporate governance from ecclesiastical authority and emphasized accountability, succession, safeguarding, freedom of conscience, financial integrity, and the ability of the institution to survive its founder.</w:t>
      </w:r>
    </w:p>
    <w:p>
      <w:r>
        <w:t>The governance corpus developed a Foundational Religious Constitution, Ecclesiastical Constitution, Civil Bylaws, ministry and credentialing framework, discipline and appeals architecture, financial governance, and related institutional mechanisms. These documents were designed before final theology was fixed so that no later doctrinal claim would automatically become unchecked personal power.</w:t>
      </w:r>
    </w:p>
    <w:p>
      <w:pPr>
        <w:pStyle w:val="Heading1"/>
      </w:pPr>
      <w:r>
        <w:t>Part V — Foundational Method</w:t>
      </w:r>
    </w:p>
    <w:p>
      <w:pPr>
        <w:ind w:left="0" w:firstLine="0"/>
      </w:pPr>
      <w:r>
        <w:t>1.  Recover the earliest accessible evidence for a claimed encounter.</w:t>
      </w:r>
    </w:p>
    <w:p>
      <w:pPr>
        <w:ind w:left="0" w:firstLine="0"/>
      </w:pPr>
      <w:r>
        <w:t>2.  Identify source date, provenance, genre, transmission, and historical distance.</w:t>
      </w:r>
    </w:p>
    <w:p>
      <w:pPr>
        <w:ind w:left="0" w:firstLine="0"/>
      </w:pPr>
      <w:r>
        <w:t>3.  Separate what the source says happened from later doctrinal interpretation.</w:t>
      </w:r>
    </w:p>
    <w:p>
      <w:pPr>
        <w:ind w:left="0" w:firstLine="0"/>
      </w:pPr>
      <w:r>
        <w:t>4.  Identify cultural and linguistic context.</w:t>
      </w:r>
    </w:p>
    <w:p>
      <w:pPr>
        <w:ind w:left="0" w:firstLine="0"/>
      </w:pPr>
      <w:r>
        <w:t>5.  Compare similar and dissimilar phenomena without forcing equivalence.</w:t>
      </w:r>
    </w:p>
    <w:p>
      <w:pPr>
        <w:ind w:left="0" w:firstLine="0"/>
      </w:pPr>
      <w:r>
        <w:t>6.  Evaluate naturalistic, psychological, sociological, literary, political, and transcendent explanations where relevant.</w:t>
      </w:r>
    </w:p>
    <w:p>
      <w:pPr>
        <w:ind w:left="0" w:firstLine="0"/>
      </w:pPr>
      <w:r>
        <w:t>7.  State degrees of confidence rather than binary certainty where evidence is limited.</w:t>
      </w:r>
    </w:p>
    <w:p>
      <w:pPr>
        <w:ind w:left="0" w:firstLine="0"/>
      </w:pPr>
      <w:r>
        <w:t>8.  Record how institutional interests may shape later tradition.</w:t>
      </w:r>
    </w:p>
    <w:p>
      <w:pPr>
        <w:ind w:left="0" w:firstLine="0"/>
      </w:pPr>
      <w:r>
        <w:t>9.  Only after the evidentiary phase formulate theological interpretations.</w:t>
      </w:r>
    </w:p>
    <w:p>
      <w:pPr>
        <w:pStyle w:val="Heading1"/>
      </w:pPr>
      <w:r>
        <w:t>Part VI — Anti-Mythmaking Rule</w:t>
      </w:r>
    </w:p>
    <w:p>
      <w:pPr>
        <w:pStyle w:val="Principle"/>
      </w:pPr>
      <w:r>
        <w:t>The Religious Body shall not fabricate an ancient lineage, apostolic succession, secret transmission, prophecy of its own founding, miraculous founder narrative, or retrospective sacred history that is unsupported by evidence.</w:t>
      </w:r>
    </w:p>
    <w:p>
      <w:r>
        <w:t>If later members develop symbolic or theological interpretations of the community’s origin, those interpretations must be labeled as such and preserved alongside the historical record rather than substituted for it.</w:t>
      </w:r>
    </w:p>
    <w:p>
      <w:pPr>
        <w:pStyle w:val="Heading1"/>
      </w:pPr>
      <w:r>
        <w:t>Part VII — Provisional Institutional Timeline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Date / Period</w:t>
            </w:r>
          </w:p>
        </w:tc>
        <w:tc>
          <w:tcPr>
            <w:tcW w:type="dxa" w:w="3389"/>
            <w:shd w:fill="1F4E79"/>
            <w:vAlign w:val="center"/>
          </w:tcPr>
          <w:p>
            <w:r>
              <w:rPr>
                <w:b/>
                <w:color w:val="FFFFFF"/>
              </w:rPr>
              <w:t>Event</w:t>
            </w:r>
          </w:p>
        </w:tc>
        <w:tc>
          <w:tcPr>
            <w:tcW w:type="dxa" w:w="3389"/>
            <w:shd w:fill="1F4E79"/>
            <w:vAlign w:val="center"/>
          </w:tcPr>
          <w:p>
            <w:r>
              <w:rPr>
                <w:b/>
                <w:color w:val="FFFFFF"/>
              </w:rPr>
              <w:t>Evidence Status</w:t>
            </w:r>
          </w:p>
        </w:tc>
      </w:tr>
      <w:tr>
        <w:trPr>
          <w:cantSplit w:val="true"/>
        </w:trPr>
        <w:tc>
          <w:tcPr>
            <w:tcW w:type="dxa" w:w="3389"/>
          </w:tcPr>
          <w:p>
            <w:r>
              <w:t>2026 (early research phase)</w:t>
            </w:r>
          </w:p>
        </w:tc>
        <w:tc>
          <w:tcPr>
            <w:tcW w:type="dxa" w:w="3389"/>
          </w:tcPr>
          <w:p>
            <w:r>
              <w:t>Comparative investigation of Abrahamic revelation, prophetic claims, divine names, and historical context</w:t>
            </w:r>
          </w:p>
        </w:tc>
        <w:tc>
          <w:tcPr>
            <w:tcW w:type="dxa" w:w="3389"/>
          </w:tcPr>
          <w:p>
            <w:r>
              <w:t>Documented through research conversations and working notes</w:t>
            </w:r>
          </w:p>
        </w:tc>
      </w:tr>
      <w:tr>
        <w:trPr>
          <w:cantSplit w:val="true"/>
        </w:trPr>
        <w:tc>
          <w:tcPr>
            <w:tcW w:type="dxa" w:w="3389"/>
          </w:tcPr>
          <w:p>
            <w:r>
              <w:t>2026 (expanded research phase)</w:t>
            </w:r>
          </w:p>
        </w:tc>
        <w:tc>
          <w:tcPr>
            <w:tcW w:type="dxa" w:w="3389"/>
          </w:tcPr>
          <w:p>
            <w:r>
              <w:t>Shift toward global history / phenomenology of claimed contact with transcendent reality</w:t>
            </w:r>
          </w:p>
        </w:tc>
        <w:tc>
          <w:tcPr>
            <w:tcW w:type="dxa" w:w="3389"/>
          </w:tcPr>
          <w:p>
            <w:r>
              <w:t>Documented project decision</w:t>
            </w:r>
          </w:p>
        </w:tc>
      </w:tr>
      <w:tr>
        <w:trPr>
          <w:cantSplit w:val="true"/>
        </w:trPr>
        <w:tc>
          <w:tcPr>
            <w:tcW w:type="dxa" w:w="3389"/>
          </w:tcPr>
          <w:p>
            <w:r>
              <w:t>2026-08</w:t>
            </w:r>
          </w:p>
        </w:tc>
        <w:tc>
          <w:tcPr>
            <w:tcW w:type="dxa" w:w="3389"/>
          </w:tcPr>
          <w:p>
            <w:r>
              <w:t>Development of Tennessee religious nonprofit governance architecture</w:t>
            </w:r>
          </w:p>
        </w:tc>
        <w:tc>
          <w:tcPr>
            <w:tcW w:type="dxa" w:w="3389"/>
          </w:tcPr>
          <w:p>
            <w:r>
              <w:t>Documented governance drafts</w:t>
            </w:r>
          </w:p>
        </w:tc>
      </w:tr>
      <w:tr>
        <w:trPr>
          <w:cantSplit w:val="true"/>
        </w:trPr>
        <w:tc>
          <w:tcPr>
            <w:tcW w:type="dxa" w:w="3389"/>
          </w:tcPr>
          <w:p>
            <w:r>
              <w:t>2026-09</w:t>
            </w:r>
          </w:p>
        </w:tc>
        <w:tc>
          <w:tcPr>
            <w:tcW w:type="dxa" w:w="3389"/>
          </w:tcPr>
          <w:p>
            <w:r>
              <w:t>Development of church-establishment and IRS-recognition program</w:t>
            </w:r>
          </w:p>
        </w:tc>
        <w:tc>
          <w:tcPr>
            <w:tcW w:type="dxa" w:w="3389"/>
          </w:tcPr>
          <w:p>
            <w:r>
              <w:t>Documented CEP / CH work products</w:t>
            </w:r>
          </w:p>
        </w:tc>
      </w:tr>
      <w:tr>
        <w:trPr>
          <w:cantSplit w:val="true"/>
        </w:trPr>
        <w:tc>
          <w:tcPr>
            <w:tcW w:type="dxa" w:w="3389"/>
          </w:tcPr>
          <w:p>
            <w:r>
              <w:t>[[DATE]]</w:t>
            </w:r>
          </w:p>
        </w:tc>
        <w:tc>
          <w:tcPr>
            <w:tcW w:type="dxa" w:w="3389"/>
          </w:tcPr>
          <w:p>
            <w:r>
              <w:t>Legal incorporation of [[CORP_NAME]]</w:t>
            </w:r>
          </w:p>
        </w:tc>
        <w:tc>
          <w:tcPr>
            <w:tcW w:type="dxa" w:w="3389"/>
          </w:tcPr>
          <w:p>
            <w:r>
              <w:t>Pending / insert filed charter</w:t>
            </w:r>
          </w:p>
        </w:tc>
      </w:tr>
      <w:tr>
        <w:trPr>
          <w:cantSplit w:val="true"/>
        </w:trPr>
        <w:tc>
          <w:tcPr>
            <w:tcW w:type="dxa" w:w="3389"/>
          </w:tcPr>
          <w:p>
            <w:r>
              <w:t>[[DATE]]</w:t>
            </w:r>
          </w:p>
        </w:tc>
        <w:tc>
          <w:tcPr>
            <w:tcW w:type="dxa" w:w="3389"/>
          </w:tcPr>
          <w:p>
            <w:r>
              <w:t>First governing-body organizational meeting</w:t>
            </w:r>
          </w:p>
        </w:tc>
        <w:tc>
          <w:tcPr>
            <w:tcW w:type="dxa" w:w="3389"/>
          </w:tcPr>
          <w:p>
            <w:r>
              <w:t>Pending</w:t>
            </w:r>
          </w:p>
        </w:tc>
      </w:tr>
      <w:tr>
        <w:trPr>
          <w:cantSplit w:val="true"/>
        </w:trPr>
        <w:tc>
          <w:tcPr>
            <w:tcW w:type="dxa" w:w="3389"/>
          </w:tcPr>
          <w:p>
            <w:r>
              <w:t>[[DATE]]</w:t>
            </w:r>
          </w:p>
        </w:tc>
        <w:tc>
          <w:tcPr>
            <w:tcW w:type="dxa" w:w="3389"/>
          </w:tcPr>
          <w:p>
            <w:r>
              <w:t>First regular congregational worship service</w:t>
            </w:r>
          </w:p>
        </w:tc>
        <w:tc>
          <w:tcPr>
            <w:tcW w:type="dxa" w:w="3389"/>
          </w:tcPr>
          <w:p>
            <w:r>
              <w:t>Pending</w:t>
            </w:r>
          </w:p>
        </w:tc>
      </w:tr>
      <w:tr>
        <w:trPr>
          <w:cantSplit w:val="true"/>
        </w:trPr>
        <w:tc>
          <w:tcPr>
            <w:tcW w:type="dxa" w:w="3389"/>
          </w:tcPr>
          <w:p>
            <w:r>
              <w:t>[[DATE]]</w:t>
            </w:r>
          </w:p>
        </w:tc>
        <w:tc>
          <w:tcPr>
            <w:tcW w:type="dxa" w:w="3389"/>
          </w:tcPr>
          <w:p>
            <w:r>
              <w:t>First Covenant Members admitted</w:t>
            </w:r>
          </w:p>
        </w:tc>
        <w:tc>
          <w:tcPr>
            <w:tcW w:type="dxa" w:w="3389"/>
          </w:tcPr>
          <w:p>
            <w:r>
              <w:t>Pending</w:t>
            </w:r>
          </w:p>
        </w:tc>
      </w:tr>
      <w:tr>
        <w:trPr>
          <w:cantSplit w:val="true"/>
        </w:trPr>
        <w:tc>
          <w:tcPr>
            <w:tcW w:type="dxa" w:w="3389"/>
          </w:tcPr>
          <w:p>
            <w:r>
              <w:t>[[DATE]]</w:t>
            </w:r>
          </w:p>
        </w:tc>
        <w:tc>
          <w:tcPr>
            <w:tcW w:type="dxa" w:w="3389"/>
          </w:tcPr>
          <w:p>
            <w:r>
              <w:t>First ministers credentialed under substantive formation program</w:t>
            </w:r>
          </w:p>
        </w:tc>
        <w:tc>
          <w:tcPr>
            <w:tcW w:type="dxa" w:w="3389"/>
          </w:tcPr>
          <w:p>
            <w:r>
              <w:t>Pending</w:t>
            </w:r>
          </w:p>
        </w:tc>
      </w:tr>
      <w:tr>
        <w:trPr>
          <w:cantSplit w:val="true"/>
        </w:trPr>
        <w:tc>
          <w:tcPr>
            <w:tcW w:type="dxa" w:w="3389"/>
          </w:tcPr>
          <w:p>
            <w:r>
              <w:t>[[DATE]]</w:t>
            </w:r>
          </w:p>
        </w:tc>
        <w:tc>
          <w:tcPr>
            <w:tcW w:type="dxa" w:w="3389"/>
          </w:tcPr>
          <w:p>
            <w:r>
              <w:t>Federal recognition / determination, if sought</w:t>
            </w:r>
          </w:p>
        </w:tc>
        <w:tc>
          <w:tcPr>
            <w:tcW w:type="dxa" w:w="3389"/>
          </w:tcPr>
          <w:p>
            <w:r>
              <w:t>Pending</w:t>
            </w:r>
          </w:p>
        </w:tc>
      </w:tr>
    </w:tbl>
    <w:p>
      <w:pPr>
        <w:pStyle w:val="Heading1"/>
      </w:pPr>
      <w:r>
        <w:t>Part VIII — Relationship to Existing Religions</w:t>
      </w:r>
    </w:p>
    <w:p>
      <w:r>
        <w:t>The community’s history should not describe itself as the hidden completion, replacement, or secret inner core of another tradition unless future evidence and doctrine actually support such a claim. Jewish, Christian, Islamic, Hindu, Buddhist, Jain, Sikh, Zoroastrian, indigenous, classical, esoteric, philosophical, and other traditions should be represented in their own terms before comparative conclusions are drawn.</w:t>
      </w:r>
    </w:p>
    <w:p>
      <w:pPr>
        <w:pStyle w:val="Heading1"/>
      </w:pPr>
      <w:r>
        <w:t>Part IX — Founder and Institutional Memory</w:t>
      </w:r>
    </w:p>
    <w:p>
      <w:r>
        <w:t>The Founder may have a historically important role in initiating research, convening the community, and drafting early structures. Founder status does not imply ownership, infallibility, unique access to ultimate reality, hereditary control, or exemption from discipline. The historical record should include disagreement, revision, failed hypotheses, and institutional corrections where material.</w:t>
      </w:r>
    </w:p>
    <w:p>
      <w:pPr>
        <w:pStyle w:val="Heading1"/>
      </w:pPr>
      <w:r>
        <w:t>Part X — Required Historical Archive</w:t>
      </w:r>
    </w:p>
    <w:p>
      <w:pPr>
        <w:pStyle w:val="ListBullet"/>
      </w:pPr>
      <w:r>
        <w:t>Founding correspondence and major project decisions</w:t>
      </w:r>
    </w:p>
    <w:p>
      <w:pPr>
        <w:pStyle w:val="ListBullet"/>
      </w:pPr>
      <w:r>
        <w:t>Filed corporate documents</w:t>
      </w:r>
    </w:p>
    <w:p>
      <w:pPr>
        <w:pStyle w:val="ListBullet"/>
      </w:pPr>
      <w:r>
        <w:t>Adopted constitutions and amendments</w:t>
      </w:r>
    </w:p>
    <w:p>
      <w:pPr>
        <w:pStyle w:val="ListBullet"/>
      </w:pPr>
      <w:r>
        <w:t>Minutes of governing and ecclesiastical bodies</w:t>
      </w:r>
    </w:p>
    <w:p>
      <w:pPr>
        <w:pStyle w:val="ListBullet"/>
      </w:pPr>
      <w:r>
        <w:t>Membership and service records subject to privacy rules</w:t>
      </w:r>
    </w:p>
    <w:p>
      <w:pPr>
        <w:pStyle w:val="ListBullet"/>
      </w:pPr>
      <w:r>
        <w:t>Major doctrinal decisions and source dossiers</w:t>
      </w:r>
    </w:p>
    <w:p>
      <w:pPr>
        <w:pStyle w:val="ListBullet"/>
      </w:pPr>
      <w:r>
        <w:t>Ministerial formation and credentialing history</w:t>
      </w:r>
    </w:p>
    <w:p>
      <w:pPr>
        <w:pStyle w:val="ListBullet"/>
      </w:pPr>
      <w:r>
        <w:t>Publications, sermons, liturgies, and educational materials</w:t>
      </w:r>
    </w:p>
    <w:p>
      <w:pPr>
        <w:pStyle w:val="ListBullet"/>
      </w:pPr>
      <w:r>
        <w:t>Material disciplinary and safeguarding precedents with appropriate confidentiality</w:t>
      </w:r>
    </w:p>
    <w:p>
      <w:pPr>
        <w:pStyle w:val="ListBullet"/>
      </w:pPr>
      <w:r>
        <w:t>Annual institutional histories summarizing significant developments</w:t>
      </w:r>
    </w:p>
    <w:p>
      <w:pPr>
        <w:pStyle w:val="Heading1"/>
      </w:pPr>
      <w:r>
        <w:t>Part XI — Annual History Update Procedure</w:t>
      </w:r>
    </w:p>
    <w:p>
      <w:pPr>
        <w:ind w:left="0" w:firstLine="0"/>
      </w:pPr>
      <w:r>
        <w:t>1.  At fiscal or religious year-end, identify material institutional events.</w:t>
      </w:r>
    </w:p>
    <w:p>
      <w:pPr>
        <w:ind w:left="0" w:firstLine="0"/>
      </w:pPr>
      <w:r>
        <w:t>2.  Verify dates and documentary support.</w:t>
      </w:r>
    </w:p>
    <w:p>
      <w:pPr>
        <w:ind w:left="0" w:firstLine="0"/>
      </w:pPr>
      <w:r>
        <w:t>3.  Distinguish fact from interpretation.</w:t>
      </w:r>
    </w:p>
    <w:p>
      <w:pPr>
        <w:ind w:left="0" w:firstLine="0"/>
      </w:pPr>
      <w:r>
        <w:t>4.  Record major growth, contraction, controversies, corrections, leadership changes, doctrinal developments, rites, and new communities.</w:t>
      </w:r>
    </w:p>
    <w:p>
      <w:pPr>
        <w:ind w:left="0" w:firstLine="0"/>
      </w:pPr>
      <w:r>
        <w:t>5.  Preserve superseded versions rather than overwrite history.</w:t>
      </w:r>
    </w:p>
    <w:p>
      <w:pPr>
        <w:ind w:left="0" w:firstLine="0"/>
      </w:pPr>
      <w:r>
        <w:t>6.  Obtain approval for the annual historical supplement.</w:t>
      </w:r>
    </w:p>
    <w:p>
      <w:pPr>
        <w:pStyle w:val="Heading1"/>
      </w:pPr>
      <w:r>
        <w:t>Part XII — Current Historical Conclusion</w:t>
      </w:r>
    </w:p>
    <w:p>
      <w:r>
        <w:t>At this stage, the Religious Body is best described as an emerging religious community and research-driven institutional project whose distinctive method begins with the comparative historical study of claimed human encounters with transcendent reality and postpones final theological synthesis until after evidence has been examined. This description should be revised as actual congregational, doctrinal, ministerial, and ritual life develops.</w:t>
      </w:r>
    </w:p>
    <w:p>
      <w:r>
        <w:br w:type="page"/>
      </w:r>
    </w:p>
    <w:p>
      <w:pPr>
        <w:pStyle w:val="Heading1"/>
      </w:pPr>
      <w:r>
        <w:t>Adoption and Certification</w:t>
      </w:r>
    </w:p>
    <w:p>
      <w:r>
        <w:t>This instrument becomes effective only upon valid adoption by the competent authority under the governing corpus. No draft language acquires binding religious force merely because it appears in a working copy.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Corporation / Religious Body</w:t>
            </w:r>
          </w:p>
        </w:tc>
        <w:tc>
          <w:tcPr>
            <w:tcW w:type="dxa" w:w="5083"/>
          </w:tcPr>
          <w:p>
            <w:r>
              <w:t>[[CORP_NAME]]</w:t>
            </w:r>
          </w:p>
        </w:tc>
      </w:tr>
      <w:tr>
        <w:trPr>
          <w:cantSplit w:val="true"/>
        </w:trPr>
        <w:tc>
          <w:tcPr>
            <w:tcW w:type="dxa" w:w="5083"/>
          </w:tcPr>
          <w:p>
            <w:r>
              <w:t>Date of Adoption</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[[ECCLESIASTICAL_COUNCIL_APPROVAL]]</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CH-012  |  Religious History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7"/>
    </w:rPr>
  </w:style>
  <w:style w:type="paragraph" w:customStyle="1" w:styleId="Principle">
    <w:name w:val="Principle"/>
    <w:pPr>
      <w:spacing w:before="120" w:after="120"/>
      <w:ind w:left="360" w:right="360"/>
    </w:pPr>
    <w:rPr>
      <w:rFonts w:ascii="Aptos" w:hAnsi="Aptos"/>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